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ind w:firstLine="0" w:firstLineChars="0"/>
        <w:jc w:val="center"/>
        <w:rPr>
          <w:rFonts w:hint="default" w:ascii="Times New Roman" w:hAnsi="Times New Roman" w:eastAsia="华文新魏" w:cs="Times New Roman"/>
          <w:color w:val="auto"/>
          <w:sz w:val="48"/>
          <w:szCs w:val="48"/>
        </w:rPr>
      </w:pPr>
    </w:p>
    <w:p>
      <w:pPr>
        <w:widowControl w:val="0"/>
        <w:autoSpaceDE w:val="0"/>
        <w:autoSpaceDN w:val="0"/>
        <w:adjustRightInd w:val="0"/>
        <w:rPr>
          <w:rFonts w:hint="default" w:ascii="Times New Roman" w:hAnsi="Times New Roman" w:cs="Times New Roman" w:eastAsiaTheme="minorHAnsi"/>
          <w:color w:val="auto"/>
          <w:sz w:val="24"/>
          <w:szCs w:val="24"/>
          <w:lang w:val="en-US" w:eastAsia="zh-CN" w:bidi="ar-SA"/>
        </w:rPr>
      </w:pPr>
    </w:p>
    <w:p>
      <w:pPr>
        <w:spacing w:line="360" w:lineRule="auto"/>
        <w:ind w:firstLine="0" w:firstLineChars="0"/>
        <w:jc w:val="center"/>
        <w:rPr>
          <w:rFonts w:hint="default" w:ascii="Times New Roman" w:hAnsi="Times New Roman" w:eastAsia="华文新魏" w:cs="Times New Roman"/>
          <w:color w:val="auto"/>
          <w:sz w:val="48"/>
          <w:szCs w:val="48"/>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0"/>
        <w:rPr>
          <w:rFonts w:hint="eastAsia" w:ascii="宋体" w:hAnsi="宋体" w:eastAsia="宋体" w:cs="宋体"/>
          <w:b/>
          <w:color w:val="auto"/>
          <w:sz w:val="44"/>
          <w:szCs w:val="44"/>
          <w:lang w:val="en-US" w:eastAsia="zh-CN"/>
        </w:rPr>
      </w:pPr>
      <w:bookmarkStart w:id="0" w:name="_Toc5788"/>
      <w:r>
        <w:rPr>
          <w:rFonts w:hint="eastAsia" w:ascii="宋体" w:hAnsi="宋体" w:eastAsia="宋体" w:cs="宋体"/>
          <w:b/>
          <w:color w:val="auto"/>
          <w:sz w:val="44"/>
          <w:szCs w:val="44"/>
          <w:lang w:val="en-US" w:eastAsia="zh-CN"/>
        </w:rPr>
        <w:t>张家港市骏马钢帘线有限公司</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0"/>
        <w:rPr>
          <w:rFonts w:hint="eastAsia" w:ascii="宋体" w:hAnsi="宋体" w:eastAsia="宋体" w:cs="宋体"/>
          <w:b/>
          <w:color w:val="auto"/>
          <w:sz w:val="44"/>
          <w:szCs w:val="44"/>
        </w:rPr>
      </w:pPr>
      <w:r>
        <w:rPr>
          <w:rFonts w:hint="eastAsia" w:ascii="宋体" w:hAnsi="宋体" w:eastAsia="宋体" w:cs="宋体"/>
          <w:b/>
          <w:color w:val="auto"/>
          <w:sz w:val="44"/>
          <w:szCs w:val="44"/>
          <w:lang w:val="en-US" w:eastAsia="zh-CN"/>
        </w:rPr>
        <w:t>环保节能技术改造项目</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0"/>
        <w:rPr>
          <w:rFonts w:hint="eastAsia" w:ascii="宋体" w:hAnsi="宋体" w:eastAsia="宋体" w:cs="宋体"/>
          <w:color w:val="auto"/>
          <w:sz w:val="48"/>
          <w:szCs w:val="48"/>
        </w:rPr>
      </w:pPr>
      <w:bookmarkStart w:id="1" w:name="_Toc12470"/>
      <w:bookmarkStart w:id="2" w:name="_Toc5354"/>
      <w:bookmarkStart w:id="3" w:name="_Toc15717"/>
      <w:bookmarkStart w:id="4" w:name="_Toc8660"/>
      <w:r>
        <w:rPr>
          <w:rFonts w:hint="eastAsia" w:ascii="宋体" w:hAnsi="宋体" w:eastAsia="宋体" w:cs="宋体"/>
          <w:b/>
          <w:color w:val="auto"/>
          <w:sz w:val="48"/>
          <w:szCs w:val="48"/>
        </w:rPr>
        <w:t>竣工环境保护验收监测报告表</w:t>
      </w:r>
      <w:bookmarkEnd w:id="0"/>
      <w:bookmarkEnd w:id="1"/>
      <w:bookmarkEnd w:id="2"/>
      <w:bookmarkEnd w:id="3"/>
      <w:bookmarkEnd w:id="4"/>
    </w:p>
    <w:p>
      <w:pPr>
        <w:spacing w:line="240" w:lineRule="auto"/>
        <w:ind w:firstLine="0" w:firstLineChars="0"/>
        <w:jc w:val="center"/>
        <w:rPr>
          <w:rFonts w:hint="default" w:ascii="Times New Roman" w:hAnsi="Times New Roman" w:eastAsia="仿宋_GB2312" w:cs="Times New Roman"/>
          <w:color w:val="auto"/>
          <w:sz w:val="28"/>
        </w:rPr>
      </w:pPr>
    </w:p>
    <w:p>
      <w:pPr>
        <w:widowControl w:val="0"/>
        <w:autoSpaceDE w:val="0"/>
        <w:autoSpaceDN w:val="0"/>
        <w:adjustRightInd w:val="0"/>
        <w:rPr>
          <w:rFonts w:hint="default" w:ascii="Times New Roman" w:hAnsi="Times New Roman" w:cs="Times New Roman" w:eastAsiaTheme="minorHAnsi"/>
          <w:color w:val="auto"/>
          <w:sz w:val="24"/>
          <w:szCs w:val="24"/>
          <w:lang w:val="en-US" w:eastAsia="zh-CN" w:bidi="ar-SA"/>
        </w:rPr>
      </w:pPr>
    </w:p>
    <w:p>
      <w:pPr>
        <w:pStyle w:val="19"/>
        <w:rPr>
          <w:rFonts w:hint="default" w:ascii="Times New Roman" w:hAnsi="Times New Roman" w:eastAsia="仿宋_GB2312" w:cs="Times New Roman"/>
          <w:color w:val="auto"/>
          <w:sz w:val="28"/>
        </w:rPr>
      </w:pPr>
    </w:p>
    <w:p>
      <w:pPr>
        <w:pStyle w:val="19"/>
        <w:rPr>
          <w:rFonts w:hint="default" w:ascii="Times New Roman" w:hAnsi="Times New Roman" w:eastAsia="仿宋_GB2312" w:cs="Times New Roman"/>
          <w:color w:val="auto"/>
          <w:sz w:val="28"/>
        </w:rPr>
      </w:pPr>
    </w:p>
    <w:p>
      <w:pPr>
        <w:spacing w:line="240" w:lineRule="auto"/>
        <w:ind w:firstLine="0" w:firstLineChars="0"/>
        <w:jc w:val="center"/>
        <w:rPr>
          <w:rFonts w:hint="default" w:ascii="Times New Roman" w:hAnsi="Times New Roman" w:eastAsia="仿宋_GB2312" w:cs="Times New Roman"/>
          <w:color w:val="auto"/>
          <w:sz w:val="28"/>
        </w:rPr>
      </w:pPr>
    </w:p>
    <w:p>
      <w:pPr>
        <w:pStyle w:val="19"/>
        <w:rPr>
          <w:rFonts w:hint="default" w:ascii="Times New Roman" w:hAnsi="Times New Roman" w:eastAsia="仿宋_GB2312" w:cs="Times New Roman"/>
          <w:color w:val="auto"/>
          <w:sz w:val="28"/>
        </w:rPr>
      </w:pPr>
    </w:p>
    <w:p>
      <w:pPr>
        <w:pStyle w:val="19"/>
        <w:rPr>
          <w:rFonts w:hint="default" w:ascii="Times New Roman" w:hAnsi="Times New Roman" w:eastAsia="仿宋_GB2312" w:cs="Times New Roman"/>
          <w:color w:val="auto"/>
          <w:sz w:val="28"/>
        </w:rPr>
      </w:pPr>
    </w:p>
    <w:p>
      <w:pPr>
        <w:pStyle w:val="19"/>
        <w:rPr>
          <w:rFonts w:hint="default" w:ascii="Times New Roman" w:hAnsi="Times New Roman" w:eastAsia="仿宋_GB2312" w:cs="Times New Roman"/>
          <w:color w:val="auto"/>
          <w:sz w:val="28"/>
        </w:rPr>
      </w:pPr>
    </w:p>
    <w:p>
      <w:pPr>
        <w:rPr>
          <w:rFonts w:hint="default" w:ascii="Times New Roman" w:hAnsi="Times New Roman" w:eastAsia="仿宋_GB2312" w:cs="Times New Roman"/>
          <w:color w:val="auto"/>
          <w:sz w:val="28"/>
        </w:rPr>
      </w:pPr>
    </w:p>
    <w:p>
      <w:pPr>
        <w:pStyle w:val="8"/>
        <w:rPr>
          <w:rFonts w:hint="default" w:ascii="Times New Roman" w:hAnsi="Times New Roman" w:eastAsia="仿宋_GB2312" w:cs="Times New Roman"/>
          <w:color w:val="auto"/>
          <w:sz w:val="28"/>
        </w:rPr>
      </w:pPr>
    </w:p>
    <w:p>
      <w:pPr>
        <w:rPr>
          <w:rFonts w:hint="default" w:ascii="Times New Roman" w:hAnsi="Times New Roman" w:eastAsia="仿宋_GB2312" w:cs="Times New Roman"/>
          <w:color w:val="auto"/>
          <w:sz w:val="28"/>
        </w:rPr>
      </w:pPr>
    </w:p>
    <w:p>
      <w:pPr>
        <w:pStyle w:val="19"/>
        <w:rPr>
          <w:rFonts w:hint="default" w:ascii="Times New Roman" w:hAnsi="Times New Roman" w:eastAsia="仿宋_GB2312" w:cs="Times New Roman"/>
          <w:color w:val="auto"/>
          <w:sz w:val="28"/>
        </w:rPr>
      </w:pPr>
    </w:p>
    <w:p>
      <w:pPr>
        <w:rPr>
          <w:rFonts w:hint="default"/>
          <w:color w:val="auto"/>
        </w:rPr>
      </w:pPr>
    </w:p>
    <w:p>
      <w:pPr>
        <w:pStyle w:val="19"/>
        <w:rPr>
          <w:rFonts w:hint="default" w:ascii="Times New Roman" w:hAnsi="Times New Roman" w:eastAsia="仿宋_GB2312" w:cs="Times New Roman"/>
          <w:color w:val="auto"/>
          <w:sz w:val="28"/>
        </w:rPr>
      </w:pPr>
    </w:p>
    <w:p>
      <w:pPr>
        <w:widowControl w:val="0"/>
        <w:autoSpaceDE w:val="0"/>
        <w:autoSpaceDN w:val="0"/>
        <w:adjustRightInd w:val="0"/>
        <w:rPr>
          <w:rFonts w:hint="default" w:ascii="Times New Roman" w:hAnsi="Times New Roman" w:cs="Times New Roman" w:eastAsiaTheme="minorHAnsi"/>
          <w:color w:val="auto"/>
          <w:sz w:val="24"/>
          <w:szCs w:val="24"/>
          <w:lang w:val="en-US" w:eastAsia="zh-CN" w:bidi="ar-SA"/>
        </w:rPr>
      </w:pPr>
    </w:p>
    <w:p>
      <w:pPr>
        <w:spacing w:line="240" w:lineRule="auto"/>
        <w:ind w:firstLine="0" w:firstLineChars="0"/>
        <w:rPr>
          <w:rFonts w:hint="default" w:ascii="Times New Roman" w:hAnsi="Times New Roman" w:eastAsia="仿宋_GB2312" w:cs="Times New Roman"/>
          <w:color w:val="auto"/>
          <w:sz w:val="28"/>
        </w:rPr>
      </w:pPr>
    </w:p>
    <w:p>
      <w:pPr>
        <w:spacing w:line="240" w:lineRule="auto"/>
        <w:ind w:firstLine="0" w:firstLineChars="0"/>
        <w:rPr>
          <w:rFonts w:hint="default" w:ascii="Times New Roman" w:hAnsi="Times New Roman" w:eastAsia="华文新魏" w:cs="Times New Roman"/>
          <w:color w:val="auto"/>
          <w:sz w:val="28"/>
          <w:szCs w:val="28"/>
        </w:rPr>
      </w:pPr>
      <w:r>
        <w:rPr>
          <w:rFonts w:hint="default" w:ascii="Times New Roman" w:hAnsi="Times New Roman" w:eastAsia="仿宋_GB2312" w:cs="Times New Roman"/>
          <w:color w:val="auto"/>
          <w:sz w:val="28"/>
        </w:rPr>
        <w:tab/>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建设单位</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张家港市骏马钢帘线有限公司</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编制单位</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张家港市骏马钢帘线有限公司</w:t>
      </w:r>
    </w:p>
    <w:p>
      <w:pPr>
        <w:spacing w:line="240" w:lineRule="auto"/>
        <w:ind w:firstLine="0" w:firstLineChars="0"/>
        <w:rPr>
          <w:rFonts w:hint="default" w:ascii="Times New Roman" w:hAnsi="Times New Roman" w:eastAsia="华文新魏" w:cs="Times New Roman"/>
          <w:color w:val="auto"/>
          <w:sz w:val="28"/>
          <w:szCs w:val="28"/>
        </w:rPr>
      </w:pPr>
    </w:p>
    <w:p>
      <w:pPr>
        <w:spacing w:line="240" w:lineRule="auto"/>
        <w:ind w:firstLine="0" w:firstLineChars="0"/>
        <w:jc w:val="center"/>
        <w:rPr>
          <w:rFonts w:hint="default" w:ascii="Times New Roman" w:hAnsi="Times New Roman" w:eastAsia="华文新魏" w:cs="Times New Roman"/>
          <w:color w:val="auto"/>
          <w:sz w:val="28"/>
          <w:szCs w:val="28"/>
        </w:rPr>
      </w:pPr>
      <w:r>
        <w:rPr>
          <w:rFonts w:hint="default" w:ascii="Times New Roman" w:hAnsi="Times New Roman" w:eastAsia="华文新魏" w:cs="Times New Roman"/>
          <w:b/>
          <w:color w:val="auto"/>
          <w:sz w:val="28"/>
          <w:szCs w:val="28"/>
          <w:lang w:val="en-US" w:eastAsia="zh-CN"/>
        </w:rPr>
        <w:t>202</w:t>
      </w:r>
      <w:r>
        <w:rPr>
          <w:rFonts w:hint="eastAsia" w:ascii="Times New Roman" w:hAnsi="Times New Roman" w:eastAsia="华文新魏" w:cs="Times New Roman"/>
          <w:b/>
          <w:color w:val="auto"/>
          <w:sz w:val="28"/>
          <w:szCs w:val="28"/>
          <w:lang w:val="en-US" w:eastAsia="zh-CN"/>
        </w:rPr>
        <w:t>3</w:t>
      </w:r>
      <w:r>
        <w:rPr>
          <w:rFonts w:hint="default" w:ascii="Times New Roman" w:hAnsi="Times New Roman" w:eastAsia="华文新魏" w:cs="Times New Roman"/>
          <w:color w:val="auto"/>
          <w:sz w:val="28"/>
          <w:szCs w:val="28"/>
        </w:rPr>
        <w:t>年</w:t>
      </w:r>
      <w:r>
        <w:rPr>
          <w:rFonts w:hint="eastAsia" w:ascii="Times New Roman" w:hAnsi="Times New Roman" w:eastAsia="华文新魏" w:cs="Times New Roman"/>
          <w:b/>
          <w:color w:val="auto"/>
          <w:sz w:val="28"/>
          <w:szCs w:val="28"/>
          <w:lang w:val="en-US" w:eastAsia="zh-CN"/>
        </w:rPr>
        <w:t>7</w:t>
      </w:r>
      <w:r>
        <w:rPr>
          <w:rFonts w:hint="default" w:ascii="Times New Roman" w:hAnsi="Times New Roman" w:eastAsia="华文新魏" w:cs="Times New Roman"/>
          <w:color w:val="auto"/>
          <w:sz w:val="28"/>
          <w:szCs w:val="28"/>
        </w:rPr>
        <w:t>月</w:t>
      </w:r>
    </w:p>
    <w:p>
      <w:pPr>
        <w:spacing w:line="240" w:lineRule="auto"/>
        <w:ind w:firstLine="0" w:firstLineChars="0"/>
        <w:rPr>
          <w:rFonts w:hint="default" w:ascii="Times New Roman" w:hAnsi="Times New Roman" w:eastAsia="华文新魏" w:cs="Times New Roman"/>
          <w:color w:val="auto"/>
          <w:sz w:val="28"/>
          <w:szCs w:val="28"/>
        </w:rPr>
      </w:pPr>
    </w:p>
    <w:p>
      <w:pPr>
        <w:spacing w:line="240" w:lineRule="auto"/>
        <w:ind w:firstLine="0" w:firstLineChars="0"/>
        <w:rPr>
          <w:rFonts w:hint="default" w:ascii="Times New Roman" w:hAnsi="Times New Roman" w:eastAsia="仿宋_GB2312" w:cs="Times New Roman"/>
          <w:color w:val="auto"/>
          <w:sz w:val="32"/>
        </w:rPr>
      </w:pPr>
      <w:r>
        <w:rPr>
          <w:rFonts w:hint="default" w:ascii="Times New Roman" w:hAnsi="Times New Roman" w:eastAsia="仿宋_GB2312" w:cs="Times New Roman"/>
          <w:b/>
          <w:color w:val="auto"/>
          <w:sz w:val="28"/>
        </w:rPr>
        <w:tab/>
      </w:r>
    </w:p>
    <w:p>
      <w:pPr>
        <w:spacing w:line="360" w:lineRule="auto"/>
        <w:rPr>
          <w:rFonts w:hint="default" w:ascii="Times New Roman" w:hAnsi="Times New Roman" w:eastAsia="仿宋_GB2312" w:cs="Times New Roman"/>
          <w:color w:val="auto"/>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r>
        <w:rPr>
          <w:rFonts w:hint="default" w:ascii="Times New Roman" w:hAnsi="Times New Roman" w:eastAsia="仿宋_GB2312" w:cs="Times New Roman"/>
          <w:color w:val="auto"/>
          <w:sz w:val="28"/>
        </w:rPr>
        <w:t xml:space="preserve"> </w:t>
      </w:r>
    </w:p>
    <w:p>
      <w:pPr>
        <w:spacing w:line="360" w:lineRule="auto"/>
        <w:ind w:firstLine="0" w:firstLineChars="0"/>
        <w:rPr>
          <w:rFonts w:hint="default" w:ascii="Times New Roman" w:hAnsi="Times New Roman" w:eastAsia="仿宋_GB2312" w:cs="Times New Roman"/>
          <w:color w:val="auto"/>
          <w:sz w:val="28"/>
        </w:rPr>
      </w:pPr>
      <w:r>
        <w:rPr>
          <w:rFonts w:hint="default" w:ascii="Times New Roman" w:hAnsi="Times New Roman" w:eastAsia="仿宋_GB2312" w:cs="Times New Roman"/>
          <w:b/>
          <w:color w:val="auto"/>
          <w:sz w:val="28"/>
        </w:rPr>
        <w:t>建设单位法人代表:</w:t>
      </w:r>
      <w:r>
        <w:rPr>
          <w:rFonts w:hint="default" w:ascii="Times New Roman" w:hAnsi="Times New Roman" w:eastAsia="仿宋_GB2312" w:cs="Times New Roman"/>
          <w:color w:val="auto"/>
          <w:sz w:val="28"/>
        </w:rPr>
        <w:tab/>
      </w:r>
      <w:r>
        <w:rPr>
          <w:rFonts w:hint="default" w:ascii="Times New Roman" w:hAnsi="Times New Roman" w:eastAsia="仿宋_GB2312" w:cs="Times New Roman"/>
          <w:color w:val="auto"/>
          <w:sz w:val="28"/>
        </w:rPr>
        <w:t xml:space="preserve">       </w:t>
      </w:r>
      <w:r>
        <w:rPr>
          <w:rFonts w:hint="eastAsia" w:ascii="Times New Roman" w:hAnsi="Times New Roman" w:eastAsia="仿宋_GB2312" w:cs="Times New Roman"/>
          <w:color w:val="auto"/>
          <w:sz w:val="28"/>
          <w:lang w:val="en-US" w:eastAsia="zh-CN"/>
        </w:rPr>
        <w:t xml:space="preserve">   </w:t>
      </w:r>
      <w:r>
        <w:rPr>
          <w:rFonts w:hint="default" w:ascii="Times New Roman" w:hAnsi="Times New Roman" w:eastAsia="仿宋_GB2312" w:cs="Times New Roman"/>
          <w:color w:val="auto"/>
          <w:sz w:val="28"/>
        </w:rPr>
        <w:t xml:space="preserve">   （签字）</w:t>
      </w:r>
    </w:p>
    <w:p>
      <w:pPr>
        <w:spacing w:line="360" w:lineRule="auto"/>
        <w:ind w:firstLine="0" w:firstLineChars="0"/>
        <w:rPr>
          <w:rFonts w:hint="default" w:ascii="Times New Roman" w:hAnsi="Times New Roman" w:eastAsia="仿宋_GB2312" w:cs="Times New Roman"/>
          <w:color w:val="auto"/>
          <w:sz w:val="28"/>
        </w:rPr>
      </w:pPr>
      <w:r>
        <w:rPr>
          <w:rFonts w:hint="default" w:ascii="Times New Roman" w:hAnsi="Times New Roman" w:eastAsia="仿宋_GB2312" w:cs="Times New Roman"/>
          <w:b/>
          <w:color w:val="auto"/>
          <w:sz w:val="28"/>
        </w:rPr>
        <w:t>编制单位法人代表:</w:t>
      </w:r>
      <w:r>
        <w:rPr>
          <w:rFonts w:hint="default" w:ascii="Times New Roman" w:hAnsi="Times New Roman" w:eastAsia="仿宋_GB2312" w:cs="Times New Roman"/>
          <w:color w:val="auto"/>
          <w:sz w:val="28"/>
        </w:rPr>
        <w:tab/>
      </w:r>
      <w:r>
        <w:rPr>
          <w:rFonts w:hint="default" w:ascii="Times New Roman" w:hAnsi="Times New Roman" w:eastAsia="仿宋_GB2312" w:cs="Times New Roman"/>
          <w:color w:val="auto"/>
          <w:sz w:val="28"/>
        </w:rPr>
        <w:t xml:space="preserve">       </w:t>
      </w:r>
      <w:r>
        <w:rPr>
          <w:rFonts w:hint="eastAsia" w:ascii="Times New Roman" w:hAnsi="Times New Roman" w:eastAsia="仿宋_GB2312" w:cs="Times New Roman"/>
          <w:color w:val="auto"/>
          <w:sz w:val="28"/>
          <w:lang w:val="en-US" w:eastAsia="zh-CN"/>
        </w:rPr>
        <w:t xml:space="preserve">   </w:t>
      </w:r>
      <w:r>
        <w:rPr>
          <w:rFonts w:hint="default" w:ascii="Times New Roman" w:hAnsi="Times New Roman" w:eastAsia="仿宋_GB2312" w:cs="Times New Roman"/>
          <w:color w:val="auto"/>
          <w:sz w:val="28"/>
        </w:rPr>
        <w:t xml:space="preserve">   （签字）</w:t>
      </w:r>
    </w:p>
    <w:p>
      <w:pPr>
        <w:spacing w:line="360" w:lineRule="auto"/>
        <w:ind w:firstLine="0" w:firstLineChars="0"/>
        <w:rPr>
          <w:rFonts w:hint="default" w:ascii="Times New Roman" w:hAnsi="Times New Roman" w:eastAsia="仿宋_GB2312" w:cs="Times New Roman"/>
          <w:b/>
          <w:color w:val="auto"/>
          <w:spacing w:val="7"/>
          <w:w w:val="79"/>
          <w:sz w:val="28"/>
        </w:rPr>
      </w:pPr>
      <w:r>
        <w:rPr>
          <w:rFonts w:hint="default" w:ascii="Times New Roman" w:hAnsi="Times New Roman" w:eastAsia="仿宋_GB2312" w:cs="Times New Roman"/>
          <w:b/>
          <w:color w:val="auto"/>
          <w:spacing w:val="20"/>
          <w:w w:val="79"/>
          <w:sz w:val="28"/>
        </w:rPr>
        <w:t>项  目  负 责  人</w:t>
      </w:r>
      <w:r>
        <w:rPr>
          <w:rFonts w:hint="default" w:ascii="Times New Roman" w:hAnsi="Times New Roman" w:eastAsia="仿宋_GB2312" w:cs="Times New Roman"/>
          <w:b/>
          <w:color w:val="auto"/>
          <w:spacing w:val="10"/>
          <w:w w:val="79"/>
          <w:sz w:val="28"/>
        </w:rPr>
        <w:t>:</w:t>
      </w:r>
    </w:p>
    <w:p>
      <w:pPr>
        <w:spacing w:line="360" w:lineRule="auto"/>
        <w:ind w:firstLine="0" w:firstLineChars="0"/>
        <w:rPr>
          <w:rFonts w:hint="default" w:ascii="Times New Roman" w:hAnsi="Times New Roman" w:eastAsia="仿宋_GB2312" w:cs="Times New Roman"/>
          <w:b/>
          <w:color w:val="auto"/>
          <w:spacing w:val="7"/>
          <w:w w:val="79"/>
          <w:sz w:val="28"/>
        </w:rPr>
      </w:pPr>
      <w:r>
        <w:rPr>
          <w:rFonts w:hint="default" w:ascii="Times New Roman" w:hAnsi="Times New Roman" w:eastAsia="仿宋_GB2312" w:cs="Times New Roman"/>
          <w:b/>
          <w:color w:val="auto"/>
          <w:spacing w:val="141"/>
          <w:w w:val="79"/>
          <w:sz w:val="28"/>
        </w:rPr>
        <w:t>填 表 人</w:t>
      </w:r>
      <w:r>
        <w:rPr>
          <w:rFonts w:hint="default" w:ascii="Times New Roman" w:hAnsi="Times New Roman" w:eastAsia="仿宋_GB2312" w:cs="Times New Roman"/>
          <w:b/>
          <w:color w:val="auto"/>
          <w:spacing w:val="2"/>
          <w:w w:val="79"/>
          <w:sz w:val="28"/>
        </w:rPr>
        <w:t>：</w:t>
      </w:r>
    </w:p>
    <w:p>
      <w:pPr>
        <w:spacing w:line="360" w:lineRule="auto"/>
        <w:ind w:firstLine="0" w:firstLineChars="0"/>
        <w:rPr>
          <w:rFonts w:hint="default" w:ascii="Times New Roman" w:hAnsi="Times New Roman" w:eastAsia="仿宋_GB2312" w:cs="Times New Roman"/>
          <w:color w:val="auto"/>
          <w:sz w:val="28"/>
        </w:rPr>
      </w:pPr>
      <w:r>
        <w:rPr>
          <w:rFonts w:hint="default" w:ascii="Times New Roman" w:hAnsi="Times New Roman" w:eastAsia="仿宋_GB2312" w:cs="Times New Roman"/>
          <w:color w:val="auto"/>
          <w:sz w:val="28"/>
        </w:rPr>
        <w:tab/>
      </w:r>
    </w:p>
    <w:p>
      <w:pPr>
        <w:spacing w:line="360" w:lineRule="auto"/>
        <w:ind w:firstLine="0" w:firstLineChars="0"/>
        <w:rPr>
          <w:rFonts w:hint="default" w:ascii="Times New Roman" w:hAnsi="Times New Roman" w:eastAsia="仿宋_GB2312" w:cs="Times New Roman"/>
          <w:color w:val="auto"/>
          <w:sz w:val="28"/>
        </w:rPr>
      </w:pPr>
    </w:p>
    <w:p>
      <w:pPr>
        <w:tabs>
          <w:tab w:val="left" w:pos="984"/>
        </w:tabs>
        <w:spacing w:line="360" w:lineRule="auto"/>
        <w:ind w:firstLine="0" w:firstLineChars="0"/>
        <w:rPr>
          <w:rFonts w:hint="default" w:ascii="Times New Roman" w:hAnsi="Times New Roman" w:eastAsia="仿宋_GB2312" w:cs="Times New Roman"/>
          <w:color w:val="auto"/>
          <w:sz w:val="28"/>
        </w:rPr>
      </w:pPr>
      <w:r>
        <w:rPr>
          <w:rFonts w:hint="default" w:ascii="Times New Roman" w:hAnsi="Times New Roman" w:eastAsia="仿宋_GB2312" w:cs="Times New Roman"/>
          <w:color w:val="auto"/>
          <w:sz w:val="28"/>
        </w:rPr>
        <w:tab/>
      </w:r>
    </w:p>
    <w:p>
      <w:pPr>
        <w:tabs>
          <w:tab w:val="left" w:pos="984"/>
        </w:tabs>
        <w:spacing w:line="360" w:lineRule="auto"/>
        <w:ind w:firstLine="0" w:firstLineChars="0"/>
        <w:rPr>
          <w:rFonts w:hint="default" w:ascii="Times New Roman" w:hAnsi="Times New Roman" w:eastAsia="仿宋_GB2312" w:cs="Times New Roman"/>
          <w:color w:val="auto"/>
          <w:sz w:val="28"/>
        </w:rPr>
      </w:pPr>
    </w:p>
    <w:p>
      <w:pPr>
        <w:spacing w:line="360" w:lineRule="auto"/>
        <w:ind w:firstLine="0" w:firstLineChars="0"/>
        <w:rPr>
          <w:rFonts w:hint="default" w:ascii="Times New Roman" w:hAnsi="Times New Roman" w:eastAsia="仿宋_GB2312" w:cs="Times New Roman"/>
          <w:color w:val="auto"/>
          <w:sz w:val="28"/>
        </w:rPr>
      </w:pPr>
    </w:p>
    <w:p>
      <w:pPr>
        <w:widowControl w:val="0"/>
        <w:autoSpaceDE w:val="0"/>
        <w:autoSpaceDN w:val="0"/>
        <w:adjustRightInd w:val="0"/>
        <w:rPr>
          <w:rFonts w:hint="default" w:ascii="Times New Roman" w:hAnsi="Times New Roman" w:eastAsia="仿宋_GB2312" w:cs="Times New Roman"/>
          <w:color w:val="auto"/>
          <w:sz w:val="28"/>
          <w:szCs w:val="24"/>
          <w:lang w:val="en-US" w:eastAsia="zh-CN" w:bidi="ar-SA"/>
        </w:rPr>
      </w:pPr>
    </w:p>
    <w:p>
      <w:pPr>
        <w:widowControl w:val="0"/>
        <w:autoSpaceDE w:val="0"/>
        <w:autoSpaceDN w:val="0"/>
        <w:adjustRightInd w:val="0"/>
        <w:rPr>
          <w:rFonts w:hint="default" w:ascii="Times New Roman" w:hAnsi="Times New Roman" w:eastAsia="仿宋_GB2312" w:cs="Times New Roman"/>
          <w:color w:val="auto"/>
          <w:sz w:val="28"/>
          <w:szCs w:val="24"/>
          <w:lang w:val="en-US" w:eastAsia="zh-CN" w:bidi="ar-SA"/>
        </w:rPr>
      </w:pPr>
    </w:p>
    <w:p>
      <w:pPr>
        <w:widowControl w:val="0"/>
        <w:autoSpaceDE w:val="0"/>
        <w:autoSpaceDN w:val="0"/>
        <w:adjustRightInd w:val="0"/>
        <w:rPr>
          <w:rFonts w:hint="default" w:ascii="Times New Roman" w:hAnsi="Times New Roman" w:eastAsia="仿宋_GB2312" w:cs="Times New Roman"/>
          <w:color w:val="auto"/>
          <w:sz w:val="28"/>
          <w:szCs w:val="24"/>
          <w:lang w:val="en-US" w:eastAsia="zh-CN" w:bidi="ar-SA"/>
        </w:rPr>
      </w:pPr>
    </w:p>
    <w:p>
      <w:pPr>
        <w:spacing w:line="360" w:lineRule="auto"/>
        <w:ind w:firstLine="0" w:firstLineChars="0"/>
        <w:rPr>
          <w:rFonts w:hint="default" w:ascii="Times New Roman" w:hAnsi="Times New Roman" w:eastAsia="仿宋_GB2312" w:cs="Times New Roman"/>
          <w:color w:val="auto"/>
          <w:sz w:val="28"/>
        </w:rPr>
      </w:pPr>
    </w:p>
    <w:p>
      <w:pPr>
        <w:spacing w:line="360" w:lineRule="auto"/>
        <w:ind w:firstLine="0" w:firstLineChars="0"/>
        <w:rPr>
          <w:rFonts w:hint="default" w:ascii="Times New Roman" w:hAnsi="Times New Roman" w:eastAsia="仿宋_GB2312" w:cs="Times New Roman"/>
          <w:color w:val="auto"/>
          <w:sz w:val="28"/>
        </w:rPr>
      </w:pPr>
    </w:p>
    <w:p>
      <w:pPr>
        <w:spacing w:line="360" w:lineRule="auto"/>
        <w:ind w:firstLine="0" w:firstLineChars="0"/>
        <w:rPr>
          <w:rFonts w:hint="default" w:ascii="Times New Roman" w:hAnsi="Times New Roman" w:eastAsia="仿宋_GB2312" w:cs="Times New Roman"/>
          <w:color w:val="auto"/>
          <w:sz w:val="28"/>
        </w:rPr>
      </w:pPr>
    </w:p>
    <w:p>
      <w:pPr>
        <w:pStyle w:val="19"/>
        <w:rPr>
          <w:rFonts w:hint="default" w:ascii="Times New Roman" w:hAnsi="Times New Roman" w:eastAsia="仿宋_GB2312" w:cs="Times New Roman"/>
          <w:color w:val="auto"/>
          <w:sz w:val="28"/>
        </w:rPr>
      </w:pPr>
    </w:p>
    <w:p>
      <w:pPr>
        <w:pStyle w:val="19"/>
        <w:rPr>
          <w:rFonts w:hint="default" w:ascii="Times New Roman" w:hAnsi="Times New Roman" w:eastAsia="仿宋_GB2312" w:cs="Times New Roman"/>
          <w:color w:val="auto"/>
          <w:sz w:val="28"/>
        </w:rPr>
      </w:pPr>
    </w:p>
    <w:tbl>
      <w:tblPr>
        <w:tblStyle w:val="17"/>
        <w:tblW w:w="87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5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4261" w:type="dxa"/>
            <w:tcBorders>
              <w:tl2br w:val="nil"/>
              <w:tr2bl w:val="nil"/>
            </w:tcBorders>
          </w:tcPr>
          <w:p>
            <w:pPr>
              <w:spacing w:line="360" w:lineRule="auto"/>
              <w:ind w:left="1260" w:hanging="1260" w:hangingChars="6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rPr>
              <w:t xml:space="preserve">建设单位 </w:t>
            </w:r>
            <w:r>
              <w:rPr>
                <w:rFonts w:hint="default" w:ascii="Times New Roman" w:hAnsi="Times New Roman" w:eastAsia="仿宋_GB2312" w:cs="Times New Roman"/>
                <w:color w:val="auto"/>
                <w:sz w:val="21"/>
                <w:szCs w:val="21"/>
                <w:lang w:eastAsia="zh-CN"/>
              </w:rPr>
              <w:t>：</w:t>
            </w:r>
            <w:r>
              <w:rPr>
                <w:rFonts w:hint="default" w:ascii="Times New Roman" w:hAnsi="Times New Roman" w:eastAsia="仿宋_GB2312" w:cs="Times New Roman"/>
                <w:color w:val="auto"/>
                <w:sz w:val="21"/>
                <w:szCs w:val="21"/>
                <w:lang w:val="en-US" w:eastAsia="zh-CN"/>
              </w:rPr>
              <w:t>张家港市骏马钢帘线有限公司</w:t>
            </w:r>
          </w:p>
        </w:tc>
        <w:tc>
          <w:tcPr>
            <w:tcW w:w="4534" w:type="dxa"/>
            <w:tcBorders>
              <w:tl2br w:val="nil"/>
              <w:tr2bl w:val="nil"/>
            </w:tcBorders>
            <w:vAlign w:val="top"/>
          </w:tcPr>
          <w:p>
            <w:pPr>
              <w:spacing w:line="360" w:lineRule="auto"/>
              <w:ind w:left="1050" w:leftChars="0" w:hanging="1050" w:hangingChars="500"/>
              <w:rPr>
                <w:rFonts w:hint="default" w:ascii="Times New Roman" w:hAnsi="Times New Roman" w:eastAsia="仿宋_GB2312" w:cs="Times New Roman"/>
                <w:color w:val="auto"/>
                <w:sz w:val="21"/>
                <w:szCs w:val="21"/>
              </w:rPr>
            </w:pPr>
            <w:r>
              <w:rPr>
                <w:rFonts w:hint="default" w:ascii="Times New Roman" w:hAnsi="Times New Roman" w:eastAsia="仿宋_GB2312" w:cs="Times New Roman"/>
                <w:color w:val="auto"/>
                <w:sz w:val="21"/>
                <w:szCs w:val="21"/>
                <w:lang w:val="en-US" w:eastAsia="zh-CN"/>
              </w:rPr>
              <w:t>监测</w:t>
            </w:r>
            <w:r>
              <w:rPr>
                <w:rFonts w:hint="default" w:ascii="Times New Roman" w:hAnsi="Times New Roman" w:eastAsia="仿宋_GB2312" w:cs="Times New Roman"/>
                <w:color w:val="auto"/>
                <w:sz w:val="21"/>
                <w:szCs w:val="21"/>
              </w:rPr>
              <w:t>单位</w:t>
            </w:r>
            <w:r>
              <w:rPr>
                <w:rFonts w:hint="default" w:ascii="Times New Roman" w:hAnsi="Times New Roman" w:eastAsia="仿宋_GB2312" w:cs="Times New Roman"/>
                <w:color w:val="auto"/>
                <w:sz w:val="21"/>
                <w:szCs w:val="21"/>
                <w:lang w:eastAsia="zh-CN"/>
              </w:rPr>
              <w:t>：</w:t>
            </w:r>
            <w:r>
              <w:rPr>
                <w:rFonts w:hint="default" w:ascii="Times New Roman" w:hAnsi="Times New Roman" w:eastAsia="仿宋_GB2312" w:cs="Times New Roman"/>
                <w:color w:val="auto"/>
                <w:sz w:val="21"/>
                <w:szCs w:val="21"/>
                <w:lang w:val="en-US" w:eastAsia="zh-CN"/>
              </w:rPr>
              <w:t>江苏新锐环境监测有限公司</w:t>
            </w:r>
            <w:r>
              <w:rPr>
                <w:rFonts w:hint="default" w:ascii="Times New Roman" w:hAnsi="Times New Roman" w:eastAsia="仿宋_GB2312" w:cs="Times New Roman"/>
                <w:color w:val="auto"/>
                <w:sz w:val="21"/>
                <w:szCs w:val="21"/>
              </w:rPr>
              <w:t xml:space="preserve">          </w:t>
            </w:r>
            <w:r>
              <w:rPr>
                <w:rFonts w:hint="default" w:ascii="Times New Roman" w:hAnsi="Times New Roman" w:eastAsia="仿宋_GB2312" w:cs="Times New Roman"/>
                <w:color w:val="auto"/>
                <w:sz w:val="21"/>
                <w:szCs w:val="21"/>
                <w:lang w:val="en-US" w:eastAsia="zh-CN"/>
              </w:rPr>
              <w:t xml:space="preserve">           </w:t>
            </w:r>
            <w:r>
              <w:rPr>
                <w:rFonts w:hint="default" w:ascii="Times New Roman" w:hAnsi="Times New Roman" w:eastAsia="仿宋_GB2312" w:cs="Times New Roman"/>
                <w:color w:val="auto"/>
                <w:sz w:val="21"/>
                <w:szCs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tcPr>
          <w:p>
            <w:pPr>
              <w:spacing w:line="360" w:lineRule="auto"/>
              <w:ind w:left="0" w:leftChars="0" w:firstLine="0" w:firstLineChars="0"/>
              <w:rPr>
                <w:rFonts w:hint="eastAsia"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rPr>
              <w:t xml:space="preserve">电话:  </w:t>
            </w:r>
            <w:r>
              <w:rPr>
                <w:rFonts w:hint="eastAsia" w:ascii="Times New Roman" w:hAnsi="Times New Roman" w:eastAsia="仿宋_GB2312" w:cs="Times New Roman"/>
                <w:color w:val="auto"/>
                <w:sz w:val="21"/>
                <w:szCs w:val="21"/>
                <w:lang w:val="en-US" w:eastAsia="zh-CN"/>
              </w:rPr>
              <w:t>/</w:t>
            </w:r>
          </w:p>
        </w:tc>
        <w:tc>
          <w:tcPr>
            <w:tcW w:w="4534" w:type="dxa"/>
            <w:tcBorders>
              <w:tl2br w:val="nil"/>
              <w:tr2bl w:val="nil"/>
            </w:tcBorders>
            <w:vAlign w:val="top"/>
          </w:tcPr>
          <w:p>
            <w:pPr>
              <w:spacing w:line="360" w:lineRule="auto"/>
              <w:ind w:firstLine="0" w:firstLineChars="0"/>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电话: </w:t>
            </w:r>
            <w:r>
              <w:rPr>
                <w:rFonts w:hint="eastAsia" w:ascii="Times New Roman" w:hAnsi="Times New Roman" w:eastAsia="仿宋_GB2312" w:cs="Times New Roman"/>
                <w:color w:val="auto"/>
                <w:sz w:val="21"/>
                <w:szCs w:val="21"/>
                <w:lang w:val="en-US" w:eastAsia="zh-CN"/>
              </w:rPr>
              <w:t>0512-35001025</w:t>
            </w:r>
            <w:r>
              <w:rPr>
                <w:rFonts w:hint="default" w:ascii="Times New Roman" w:hAnsi="Times New Roman" w:eastAsia="仿宋_GB2312" w:cs="Times New Roman"/>
                <w:color w:val="auto"/>
                <w:sz w:val="21"/>
                <w:szCs w:val="21"/>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tcPr>
          <w:p>
            <w:pPr>
              <w:spacing w:line="360" w:lineRule="auto"/>
              <w:ind w:left="0" w:leftChars="0" w:firstLine="0" w:firstLineChars="0"/>
              <w:rPr>
                <w:rFonts w:hint="eastAsia" w:ascii="Times New Roman" w:hAnsi="Times New Roman" w:eastAsia="仿宋_GB2312" w:cs="Times New Roman"/>
                <w:color w:val="auto"/>
                <w:sz w:val="28"/>
                <w:vertAlign w:val="baseline"/>
                <w:lang w:val="en-US" w:eastAsia="zh-CN"/>
              </w:rPr>
            </w:pPr>
            <w:r>
              <w:rPr>
                <w:rFonts w:hint="default" w:ascii="Times New Roman" w:hAnsi="Times New Roman" w:eastAsia="仿宋_GB2312" w:cs="Times New Roman"/>
                <w:color w:val="auto"/>
                <w:sz w:val="21"/>
                <w:szCs w:val="21"/>
              </w:rPr>
              <w:t xml:space="preserve">传真:   </w:t>
            </w:r>
            <w:r>
              <w:rPr>
                <w:rFonts w:hint="eastAsia" w:ascii="Times New Roman" w:hAnsi="Times New Roman" w:eastAsia="仿宋_GB2312" w:cs="Times New Roman"/>
                <w:color w:val="auto"/>
                <w:sz w:val="21"/>
                <w:szCs w:val="21"/>
                <w:lang w:val="en-US" w:eastAsia="zh-CN"/>
              </w:rPr>
              <w:t>/</w:t>
            </w:r>
          </w:p>
        </w:tc>
        <w:tc>
          <w:tcPr>
            <w:tcW w:w="4534" w:type="dxa"/>
            <w:tcBorders>
              <w:tl2br w:val="nil"/>
              <w:tr2bl w:val="nil"/>
            </w:tcBorders>
            <w:vAlign w:val="top"/>
          </w:tcPr>
          <w:p>
            <w:pPr>
              <w:spacing w:line="360" w:lineRule="auto"/>
              <w:ind w:firstLine="0" w:firstLineChars="0"/>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传真: </w:t>
            </w:r>
            <w:r>
              <w:rPr>
                <w:rFonts w:hint="eastAsia" w:ascii="Times New Roman" w:hAnsi="Times New Roman" w:eastAsia="仿宋_GB2312" w:cs="Times New Roman"/>
                <w:color w:val="auto"/>
                <w:sz w:val="21"/>
                <w:szCs w:val="21"/>
                <w:lang w:val="en-US" w:eastAsia="zh-CN"/>
              </w:rPr>
              <w:t>0512-35022259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tcPr>
          <w:p>
            <w:pPr>
              <w:spacing w:line="360" w:lineRule="auto"/>
              <w:ind w:left="0" w:leftChars="0" w:firstLine="0" w:firstLineChars="0"/>
              <w:rPr>
                <w:rFonts w:hint="default" w:ascii="Times New Roman" w:hAnsi="Times New Roman" w:eastAsia="仿宋_GB2312" w:cs="Times New Roman"/>
                <w:color w:val="auto"/>
                <w:sz w:val="28"/>
                <w:vertAlign w:val="baseline"/>
              </w:rPr>
            </w:pPr>
            <w:r>
              <w:rPr>
                <w:rFonts w:hint="default" w:ascii="Times New Roman" w:hAnsi="Times New Roman" w:eastAsia="仿宋_GB2312" w:cs="Times New Roman"/>
                <w:color w:val="auto"/>
                <w:sz w:val="21"/>
                <w:szCs w:val="21"/>
              </w:rPr>
              <w:t xml:space="preserve">邮编: </w:t>
            </w:r>
            <w:r>
              <w:rPr>
                <w:rFonts w:hint="eastAsia" w:ascii="Times New Roman" w:hAnsi="Times New Roman" w:eastAsia="仿宋_GB2312" w:cs="Times New Roman"/>
                <w:color w:val="auto"/>
                <w:sz w:val="21"/>
                <w:szCs w:val="21"/>
                <w:lang w:val="en-US" w:eastAsia="zh-CN"/>
              </w:rPr>
              <w:t>215600</w:t>
            </w:r>
          </w:p>
        </w:tc>
        <w:tc>
          <w:tcPr>
            <w:tcW w:w="4534" w:type="dxa"/>
            <w:tcBorders>
              <w:tl2br w:val="nil"/>
              <w:tr2bl w:val="nil"/>
            </w:tcBorders>
            <w:vAlign w:val="top"/>
          </w:tcPr>
          <w:p>
            <w:pPr>
              <w:spacing w:line="360" w:lineRule="auto"/>
              <w:ind w:firstLine="0" w:firstLineChars="0"/>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邮编: </w:t>
            </w:r>
            <w:r>
              <w:rPr>
                <w:rFonts w:hint="eastAsia" w:ascii="Times New Roman" w:hAnsi="Times New Roman" w:eastAsia="仿宋_GB2312" w:cs="Times New Roman"/>
                <w:color w:val="auto"/>
                <w:sz w:val="21"/>
                <w:szCs w:val="21"/>
                <w:lang w:val="en-US" w:eastAsia="zh-CN"/>
              </w:rPr>
              <w:t>215600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tcPr>
          <w:p>
            <w:pPr>
              <w:spacing w:line="360" w:lineRule="auto"/>
              <w:ind w:left="0" w:leftChars="0" w:firstLine="0" w:firstLineChars="0"/>
              <w:rPr>
                <w:rFonts w:hint="default" w:ascii="Times New Roman" w:hAnsi="Times New Roman" w:eastAsia="仿宋_GB2312" w:cs="Times New Roman"/>
                <w:color w:val="auto"/>
                <w:sz w:val="28"/>
                <w:vertAlign w:val="baseline"/>
                <w:lang w:val="en-US" w:eastAsia="zh-CN"/>
              </w:rPr>
            </w:pPr>
            <w:r>
              <w:rPr>
                <w:rFonts w:hint="default" w:ascii="Times New Roman" w:hAnsi="Times New Roman" w:eastAsia="仿宋_GB2312" w:cs="Times New Roman"/>
                <w:color w:val="auto"/>
                <w:sz w:val="21"/>
                <w:szCs w:val="21"/>
              </w:rPr>
              <w:t xml:space="preserve">地址: </w:t>
            </w:r>
            <w:r>
              <w:rPr>
                <w:rFonts w:hint="eastAsia" w:ascii="Times New Roman" w:hAnsi="Times New Roman" w:eastAsia="仿宋_GB2312" w:cs="Times New Roman"/>
                <w:color w:val="auto"/>
                <w:sz w:val="21"/>
                <w:szCs w:val="21"/>
                <w:lang w:val="en-US" w:eastAsia="zh-CN"/>
              </w:rPr>
              <w:t>江苏省张家港杨舍镇乘航河东路80号</w:t>
            </w:r>
          </w:p>
        </w:tc>
        <w:tc>
          <w:tcPr>
            <w:tcW w:w="4534" w:type="dxa"/>
            <w:tcBorders>
              <w:tl2br w:val="nil"/>
              <w:tr2bl w:val="nil"/>
            </w:tcBorders>
            <w:vAlign w:val="top"/>
          </w:tcPr>
          <w:p>
            <w:pPr>
              <w:spacing w:line="360" w:lineRule="auto"/>
              <w:ind w:firstLine="0" w:firstLineChars="0"/>
              <w:rPr>
                <w:rFonts w:hint="default" w:ascii="Times New Roman" w:hAnsi="Times New Roman" w:eastAsia="仿宋_GB2312" w:cs="Times New Roman"/>
                <w:color w:val="auto"/>
                <w:sz w:val="21"/>
                <w:szCs w:val="21"/>
                <w:lang w:val="en-US" w:eastAsia="zh-CN"/>
              </w:rPr>
            </w:pPr>
            <w:r>
              <w:rPr>
                <w:rFonts w:hint="default" w:ascii="Times New Roman" w:hAnsi="Times New Roman" w:eastAsia="仿宋_GB2312" w:cs="Times New Roman"/>
                <w:color w:val="auto"/>
                <w:sz w:val="21"/>
                <w:szCs w:val="21"/>
                <w:lang w:val="en-US" w:eastAsia="zh-CN"/>
              </w:rPr>
              <w:t xml:space="preserve">地址: </w:t>
            </w:r>
            <w:r>
              <w:rPr>
                <w:rFonts w:hint="eastAsia" w:ascii="Times New Roman" w:hAnsi="Times New Roman" w:eastAsia="仿宋_GB2312" w:cs="Times New Roman"/>
                <w:color w:val="auto"/>
                <w:sz w:val="21"/>
                <w:szCs w:val="21"/>
                <w:lang w:val="en-US" w:eastAsia="zh-CN"/>
              </w:rPr>
              <w:t>江苏省张家港经济开发区新泾西路2号</w:t>
            </w:r>
          </w:p>
        </w:tc>
      </w:tr>
    </w:tbl>
    <w:p>
      <w:pPr>
        <w:rPr>
          <w:rFonts w:hint="default" w:ascii="Times New Roman" w:hAnsi="Times New Roman" w:cs="Times New Roman"/>
          <w:color w:val="auto"/>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sdt>
      <w:sdtPr>
        <w:rPr>
          <w:rFonts w:ascii="宋体" w:hAnsi="宋体" w:eastAsia="宋体" w:cs="Times New Roman"/>
          <w:color w:val="auto"/>
          <w:kern w:val="2"/>
          <w:sz w:val="21"/>
          <w:szCs w:val="24"/>
          <w:lang w:val="en-US" w:eastAsia="zh-CN" w:bidi="ar-SA"/>
        </w:rPr>
        <w:id w:val="147478716"/>
        <w15:color w:val="DBDBDB"/>
        <w:docPartObj>
          <w:docPartGallery w:val="Table of Contents"/>
          <w:docPartUnique/>
        </w:docPartObj>
      </w:sdtPr>
      <w:sdtEndPr>
        <w:rPr>
          <w:rFonts w:hint="default" w:ascii="Times New Roman" w:hAnsi="Times New Roman" w:eastAsia="宋体" w:cs="Times New Roman"/>
          <w:bCs/>
          <w:color w:val="auto"/>
          <w:kern w:val="2"/>
          <w:sz w:val="24"/>
          <w:szCs w:val="28"/>
          <w:lang w:val="en-US" w:eastAsia="zh-CN" w:bidi="ar-SA"/>
        </w:rPr>
      </w:sdtEndPr>
      <w:sdtContent>
        <w:p>
          <w:pPr>
            <w:spacing w:before="0" w:beforeLines="0" w:after="0" w:afterLines="0" w:line="240" w:lineRule="auto"/>
            <w:ind w:left="0" w:leftChars="0" w:right="0" w:rightChars="0" w:firstLine="0" w:firstLineChars="0"/>
            <w:jc w:val="center"/>
            <w:rPr>
              <w:color w:val="auto"/>
            </w:rPr>
          </w:pPr>
          <w:r>
            <w:rPr>
              <w:rFonts w:ascii="宋体" w:hAnsi="宋体" w:eastAsia="宋体"/>
              <w:b/>
              <w:bCs/>
              <w:color w:val="auto"/>
              <w:sz w:val="36"/>
              <w:szCs w:val="36"/>
            </w:rPr>
            <w:t>目</w:t>
          </w:r>
          <w:r>
            <w:rPr>
              <w:rFonts w:hint="eastAsia" w:ascii="宋体" w:hAnsi="宋体" w:eastAsia="宋体"/>
              <w:b/>
              <w:bCs/>
              <w:color w:val="auto"/>
              <w:sz w:val="36"/>
              <w:szCs w:val="36"/>
              <w:lang w:val="en-US" w:eastAsia="zh-CN"/>
            </w:rPr>
            <w:t xml:space="preserve">    </w:t>
          </w:r>
          <w:r>
            <w:rPr>
              <w:rFonts w:ascii="宋体" w:hAnsi="宋体" w:eastAsia="宋体"/>
              <w:b/>
              <w:bCs/>
              <w:color w:val="auto"/>
              <w:sz w:val="36"/>
              <w:szCs w:val="36"/>
            </w:rPr>
            <w:t>录</w:t>
          </w:r>
        </w:p>
        <w:p>
          <w:pPr>
            <w:pStyle w:val="2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hint="default" w:ascii="Times New Roman" w:hAnsi="Times New Roman" w:eastAsia="宋体" w:cs="Times New Roman"/>
              <w:b/>
              <w:bCs/>
              <w:color w:val="auto"/>
              <w:sz w:val="28"/>
              <w:szCs w:val="28"/>
            </w:rPr>
            <w:fldChar w:fldCharType="begin"/>
          </w:r>
          <w:r>
            <w:rPr>
              <w:rFonts w:hint="default" w:ascii="Times New Roman" w:hAnsi="Times New Roman" w:eastAsia="宋体" w:cs="Times New Roman"/>
              <w:b/>
              <w:bCs/>
              <w:color w:val="auto"/>
              <w:sz w:val="28"/>
              <w:szCs w:val="28"/>
            </w:rPr>
            <w:instrText xml:space="preserve">TOC \o "1-1" \h \u </w:instrText>
          </w:r>
          <w:r>
            <w:rPr>
              <w:rFonts w:hint="default" w:ascii="Times New Roman" w:hAnsi="Times New Roman" w:eastAsia="宋体" w:cs="Times New Roman"/>
              <w:b/>
              <w:bCs/>
              <w:color w:val="auto"/>
              <w:sz w:val="28"/>
              <w:szCs w:val="28"/>
            </w:rPr>
            <w:fldChar w:fldCharType="separate"/>
          </w: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HYPERLINK \l _Toc7562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szCs w:val="24"/>
            </w:rPr>
            <w:t>表一、建设项目基本情况</w:t>
          </w:r>
          <w:r>
            <w:rPr>
              <w:color w:val="auto"/>
              <w:sz w:val="24"/>
              <w:szCs w:val="24"/>
            </w:rPr>
            <w:tab/>
          </w:r>
          <w:r>
            <w:rPr>
              <w:color w:val="auto"/>
              <w:sz w:val="24"/>
              <w:szCs w:val="24"/>
            </w:rPr>
            <w:fldChar w:fldCharType="begin"/>
          </w:r>
          <w:r>
            <w:rPr>
              <w:color w:val="auto"/>
              <w:sz w:val="24"/>
              <w:szCs w:val="24"/>
            </w:rPr>
            <w:instrText xml:space="preserve"> PAGEREF _Toc7562 \h </w:instrText>
          </w:r>
          <w:r>
            <w:rPr>
              <w:color w:val="auto"/>
              <w:sz w:val="24"/>
              <w:szCs w:val="24"/>
            </w:rPr>
            <w:fldChar w:fldCharType="separate"/>
          </w:r>
          <w:r>
            <w:rPr>
              <w:color w:val="auto"/>
              <w:sz w:val="24"/>
              <w:szCs w:val="24"/>
            </w:rPr>
            <w:t>1</w:t>
          </w:r>
          <w:r>
            <w:rPr>
              <w:color w:val="auto"/>
              <w:sz w:val="24"/>
              <w:szCs w:val="24"/>
            </w:rPr>
            <w:fldChar w:fldCharType="end"/>
          </w:r>
          <w:r>
            <w:rPr>
              <w:rFonts w:hint="default" w:ascii="Times New Roman" w:hAnsi="Times New Roman" w:eastAsia="宋体" w:cs="Times New Roman"/>
              <w:bCs/>
              <w:color w:val="auto"/>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HYPERLINK \l _Toc7667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szCs w:val="24"/>
            </w:rPr>
            <w:t>表二、项目概况</w:t>
          </w:r>
          <w:r>
            <w:rPr>
              <w:color w:val="auto"/>
              <w:sz w:val="24"/>
              <w:szCs w:val="24"/>
            </w:rPr>
            <w:tab/>
          </w:r>
          <w:r>
            <w:rPr>
              <w:color w:val="auto"/>
              <w:sz w:val="24"/>
              <w:szCs w:val="24"/>
            </w:rPr>
            <w:fldChar w:fldCharType="begin"/>
          </w:r>
          <w:r>
            <w:rPr>
              <w:color w:val="auto"/>
              <w:sz w:val="24"/>
              <w:szCs w:val="24"/>
            </w:rPr>
            <w:instrText xml:space="preserve"> PAGEREF _Toc7667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imes New Roman" w:hAnsi="Times New Roman" w:eastAsia="宋体" w:cs="Times New Roman"/>
              <w:bCs/>
              <w:color w:val="auto"/>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HYPERLINK \l _Toc22527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szCs w:val="24"/>
            </w:rPr>
            <w:t>表三、</w:t>
          </w:r>
          <w:r>
            <w:rPr>
              <w:rFonts w:hint="default" w:ascii="Times New Roman" w:hAnsi="Times New Roman" w:eastAsia="宋体" w:cs="Times New Roman"/>
              <w:bCs/>
              <w:color w:val="auto"/>
              <w:sz w:val="24"/>
              <w:szCs w:val="24"/>
              <w:lang w:val="zh-CN"/>
            </w:rPr>
            <w:t>主要生产工艺及污染物产出流程（附示意图）</w:t>
          </w:r>
          <w:r>
            <w:rPr>
              <w:color w:val="auto"/>
              <w:sz w:val="24"/>
              <w:szCs w:val="24"/>
            </w:rPr>
            <w:tab/>
          </w:r>
          <w:r>
            <w:rPr>
              <w:color w:val="auto"/>
              <w:sz w:val="24"/>
              <w:szCs w:val="24"/>
            </w:rPr>
            <w:fldChar w:fldCharType="begin"/>
          </w:r>
          <w:r>
            <w:rPr>
              <w:color w:val="auto"/>
              <w:sz w:val="24"/>
              <w:szCs w:val="24"/>
            </w:rPr>
            <w:instrText xml:space="preserve"> PAGEREF _Toc22527 \h </w:instrText>
          </w:r>
          <w:r>
            <w:rPr>
              <w:color w:val="auto"/>
              <w:sz w:val="24"/>
              <w:szCs w:val="24"/>
            </w:rPr>
            <w:fldChar w:fldCharType="separate"/>
          </w:r>
          <w:r>
            <w:rPr>
              <w:color w:val="auto"/>
              <w:sz w:val="24"/>
              <w:szCs w:val="24"/>
            </w:rPr>
            <w:t>13</w:t>
          </w:r>
          <w:r>
            <w:rPr>
              <w:color w:val="auto"/>
              <w:sz w:val="24"/>
              <w:szCs w:val="24"/>
            </w:rPr>
            <w:fldChar w:fldCharType="end"/>
          </w:r>
          <w:r>
            <w:rPr>
              <w:rFonts w:hint="default" w:ascii="Times New Roman" w:hAnsi="Times New Roman" w:eastAsia="宋体" w:cs="Times New Roman"/>
              <w:bCs/>
              <w:color w:val="auto"/>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HYPERLINK \l _Toc2103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szCs w:val="24"/>
              <w:highlight w:val="none"/>
              <w:lang w:val="zh-CN"/>
            </w:rPr>
            <w:t>表四、《报告表》主要结论、建议及审批部门审批决定</w:t>
          </w:r>
          <w:r>
            <w:rPr>
              <w:color w:val="auto"/>
              <w:sz w:val="24"/>
              <w:szCs w:val="24"/>
            </w:rPr>
            <w:tab/>
          </w:r>
          <w:r>
            <w:rPr>
              <w:color w:val="auto"/>
              <w:sz w:val="24"/>
              <w:szCs w:val="24"/>
            </w:rPr>
            <w:fldChar w:fldCharType="begin"/>
          </w:r>
          <w:r>
            <w:rPr>
              <w:color w:val="auto"/>
              <w:sz w:val="24"/>
              <w:szCs w:val="24"/>
            </w:rPr>
            <w:instrText xml:space="preserve"> PAGEREF _Toc2103 \h </w:instrText>
          </w:r>
          <w:r>
            <w:rPr>
              <w:color w:val="auto"/>
              <w:sz w:val="24"/>
              <w:szCs w:val="24"/>
            </w:rPr>
            <w:fldChar w:fldCharType="separate"/>
          </w:r>
          <w:r>
            <w:rPr>
              <w:color w:val="auto"/>
              <w:sz w:val="24"/>
              <w:szCs w:val="24"/>
            </w:rPr>
            <w:t>17</w:t>
          </w:r>
          <w:r>
            <w:rPr>
              <w:color w:val="auto"/>
              <w:sz w:val="24"/>
              <w:szCs w:val="24"/>
            </w:rPr>
            <w:fldChar w:fldCharType="end"/>
          </w:r>
          <w:r>
            <w:rPr>
              <w:rFonts w:hint="default" w:ascii="Times New Roman" w:hAnsi="Times New Roman" w:eastAsia="宋体" w:cs="Times New Roman"/>
              <w:bCs/>
              <w:color w:val="auto"/>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HYPERLINK \l _Toc27624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szCs w:val="24"/>
              <w:lang w:val="zh-CN"/>
            </w:rPr>
            <w:t>表五、主要污染源、污染物产生及处置</w:t>
          </w:r>
          <w:r>
            <w:rPr>
              <w:color w:val="auto"/>
              <w:sz w:val="24"/>
              <w:szCs w:val="24"/>
            </w:rPr>
            <w:tab/>
          </w:r>
          <w:r>
            <w:rPr>
              <w:color w:val="auto"/>
              <w:sz w:val="24"/>
              <w:szCs w:val="24"/>
            </w:rPr>
            <w:fldChar w:fldCharType="begin"/>
          </w:r>
          <w:r>
            <w:rPr>
              <w:color w:val="auto"/>
              <w:sz w:val="24"/>
              <w:szCs w:val="24"/>
            </w:rPr>
            <w:instrText xml:space="preserve"> PAGEREF _Toc27624 \h </w:instrText>
          </w:r>
          <w:r>
            <w:rPr>
              <w:color w:val="auto"/>
              <w:sz w:val="24"/>
              <w:szCs w:val="24"/>
            </w:rPr>
            <w:fldChar w:fldCharType="separate"/>
          </w:r>
          <w:r>
            <w:rPr>
              <w:color w:val="auto"/>
              <w:sz w:val="24"/>
              <w:szCs w:val="24"/>
            </w:rPr>
            <w:t>20</w:t>
          </w:r>
          <w:r>
            <w:rPr>
              <w:color w:val="auto"/>
              <w:sz w:val="24"/>
              <w:szCs w:val="24"/>
            </w:rPr>
            <w:fldChar w:fldCharType="end"/>
          </w:r>
          <w:r>
            <w:rPr>
              <w:rFonts w:hint="default" w:ascii="Times New Roman" w:hAnsi="Times New Roman" w:eastAsia="宋体" w:cs="Times New Roman"/>
              <w:bCs/>
              <w:color w:val="auto"/>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HYPERLINK \l _Toc30076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szCs w:val="24"/>
              <w:highlight w:val="none"/>
            </w:rPr>
            <w:t>表六、监测期间工况记录</w:t>
          </w:r>
          <w:r>
            <w:rPr>
              <w:color w:val="auto"/>
              <w:sz w:val="24"/>
              <w:szCs w:val="24"/>
            </w:rPr>
            <w:tab/>
          </w:r>
          <w:r>
            <w:rPr>
              <w:color w:val="auto"/>
              <w:sz w:val="24"/>
              <w:szCs w:val="24"/>
            </w:rPr>
            <w:fldChar w:fldCharType="begin"/>
          </w:r>
          <w:r>
            <w:rPr>
              <w:color w:val="auto"/>
              <w:sz w:val="24"/>
              <w:szCs w:val="24"/>
            </w:rPr>
            <w:instrText xml:space="preserve"> PAGEREF _Toc30076 \h </w:instrText>
          </w:r>
          <w:r>
            <w:rPr>
              <w:color w:val="auto"/>
              <w:sz w:val="24"/>
              <w:szCs w:val="24"/>
            </w:rPr>
            <w:fldChar w:fldCharType="separate"/>
          </w:r>
          <w:r>
            <w:rPr>
              <w:color w:val="auto"/>
              <w:sz w:val="24"/>
              <w:szCs w:val="24"/>
            </w:rPr>
            <w:t>24</w:t>
          </w:r>
          <w:r>
            <w:rPr>
              <w:color w:val="auto"/>
              <w:sz w:val="24"/>
              <w:szCs w:val="24"/>
            </w:rPr>
            <w:fldChar w:fldCharType="end"/>
          </w:r>
          <w:r>
            <w:rPr>
              <w:rFonts w:hint="default" w:ascii="Times New Roman" w:hAnsi="Times New Roman" w:eastAsia="宋体" w:cs="Times New Roman"/>
              <w:bCs/>
              <w:color w:val="auto"/>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HYPERLINK \l _Toc17853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szCs w:val="24"/>
              <w:highlight w:val="none"/>
            </w:rPr>
            <w:t>表七、废</w:t>
          </w:r>
          <w:r>
            <w:rPr>
              <w:rFonts w:hint="default" w:ascii="Times New Roman" w:hAnsi="Times New Roman" w:eastAsia="宋体" w:cs="Times New Roman"/>
              <w:bCs/>
              <w:color w:val="auto"/>
              <w:sz w:val="24"/>
              <w:szCs w:val="24"/>
              <w:highlight w:val="none"/>
              <w:lang w:val="en-US" w:eastAsia="zh-CN"/>
            </w:rPr>
            <w:t>水</w:t>
          </w:r>
          <w:r>
            <w:rPr>
              <w:rFonts w:hint="default" w:ascii="Times New Roman" w:hAnsi="Times New Roman" w:eastAsia="宋体" w:cs="Times New Roman"/>
              <w:bCs/>
              <w:color w:val="auto"/>
              <w:sz w:val="24"/>
              <w:szCs w:val="24"/>
              <w:highlight w:val="none"/>
            </w:rPr>
            <w:t>监测内容及结果评价</w:t>
          </w:r>
          <w:r>
            <w:rPr>
              <w:color w:val="auto"/>
              <w:sz w:val="24"/>
              <w:szCs w:val="24"/>
            </w:rPr>
            <w:tab/>
          </w:r>
          <w:r>
            <w:rPr>
              <w:color w:val="auto"/>
              <w:sz w:val="24"/>
              <w:szCs w:val="24"/>
            </w:rPr>
            <w:fldChar w:fldCharType="begin"/>
          </w:r>
          <w:r>
            <w:rPr>
              <w:color w:val="auto"/>
              <w:sz w:val="24"/>
              <w:szCs w:val="24"/>
            </w:rPr>
            <w:instrText xml:space="preserve"> PAGEREF _Toc17853 \h </w:instrText>
          </w:r>
          <w:r>
            <w:rPr>
              <w:color w:val="auto"/>
              <w:sz w:val="24"/>
              <w:szCs w:val="24"/>
            </w:rPr>
            <w:fldChar w:fldCharType="separate"/>
          </w:r>
          <w:r>
            <w:rPr>
              <w:color w:val="auto"/>
              <w:sz w:val="24"/>
              <w:szCs w:val="24"/>
            </w:rPr>
            <w:t>25</w:t>
          </w:r>
          <w:r>
            <w:rPr>
              <w:color w:val="auto"/>
              <w:sz w:val="24"/>
              <w:szCs w:val="24"/>
            </w:rPr>
            <w:fldChar w:fldCharType="end"/>
          </w:r>
          <w:r>
            <w:rPr>
              <w:rFonts w:hint="default" w:ascii="Times New Roman" w:hAnsi="Times New Roman" w:eastAsia="宋体" w:cs="Times New Roman"/>
              <w:bCs/>
              <w:color w:val="auto"/>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HYPERLINK \l _Toc11567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szCs w:val="24"/>
              <w:highlight w:val="none"/>
            </w:rPr>
            <w:t>表</w:t>
          </w:r>
          <w:r>
            <w:rPr>
              <w:rFonts w:hint="default" w:ascii="Times New Roman" w:hAnsi="Times New Roman" w:eastAsia="宋体" w:cs="Times New Roman"/>
              <w:bCs/>
              <w:color w:val="auto"/>
              <w:sz w:val="24"/>
              <w:szCs w:val="24"/>
              <w:highlight w:val="none"/>
              <w:lang w:val="en-US" w:eastAsia="zh-CN"/>
            </w:rPr>
            <w:t>八</w:t>
          </w:r>
          <w:r>
            <w:rPr>
              <w:rFonts w:hint="default" w:ascii="Times New Roman" w:hAnsi="Times New Roman" w:eastAsia="宋体" w:cs="Times New Roman"/>
              <w:bCs/>
              <w:color w:val="auto"/>
              <w:sz w:val="24"/>
              <w:szCs w:val="24"/>
              <w:highlight w:val="none"/>
            </w:rPr>
            <w:t>、废气监测内容及结果评价</w:t>
          </w:r>
          <w:r>
            <w:rPr>
              <w:color w:val="auto"/>
              <w:sz w:val="24"/>
              <w:szCs w:val="24"/>
            </w:rPr>
            <w:tab/>
          </w:r>
          <w:r>
            <w:rPr>
              <w:color w:val="auto"/>
              <w:sz w:val="24"/>
              <w:szCs w:val="24"/>
            </w:rPr>
            <w:fldChar w:fldCharType="begin"/>
          </w:r>
          <w:r>
            <w:rPr>
              <w:color w:val="auto"/>
              <w:sz w:val="24"/>
              <w:szCs w:val="24"/>
            </w:rPr>
            <w:instrText xml:space="preserve"> PAGEREF _Toc11567 \h </w:instrText>
          </w:r>
          <w:r>
            <w:rPr>
              <w:color w:val="auto"/>
              <w:sz w:val="24"/>
              <w:szCs w:val="24"/>
            </w:rPr>
            <w:fldChar w:fldCharType="separate"/>
          </w:r>
          <w:r>
            <w:rPr>
              <w:color w:val="auto"/>
              <w:sz w:val="24"/>
              <w:szCs w:val="24"/>
            </w:rPr>
            <w:t>29</w:t>
          </w:r>
          <w:r>
            <w:rPr>
              <w:color w:val="auto"/>
              <w:sz w:val="24"/>
              <w:szCs w:val="24"/>
            </w:rPr>
            <w:fldChar w:fldCharType="end"/>
          </w:r>
          <w:r>
            <w:rPr>
              <w:rFonts w:hint="default" w:ascii="Times New Roman" w:hAnsi="Times New Roman" w:eastAsia="宋体" w:cs="Times New Roman"/>
              <w:bCs/>
              <w:color w:val="auto"/>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HYPERLINK \l _Toc20649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szCs w:val="24"/>
              <w:lang w:val="zh-CN"/>
            </w:rPr>
            <w:t>表</w:t>
          </w:r>
          <w:r>
            <w:rPr>
              <w:rFonts w:hint="default" w:ascii="Times New Roman" w:hAnsi="Times New Roman" w:eastAsia="宋体" w:cs="Times New Roman"/>
              <w:bCs/>
              <w:color w:val="auto"/>
              <w:sz w:val="24"/>
              <w:szCs w:val="24"/>
              <w:lang w:val="en-US" w:eastAsia="zh-CN"/>
            </w:rPr>
            <w:t>九</w:t>
          </w:r>
          <w:r>
            <w:rPr>
              <w:rFonts w:hint="default" w:ascii="Times New Roman" w:hAnsi="Times New Roman" w:eastAsia="宋体" w:cs="Times New Roman"/>
              <w:bCs/>
              <w:color w:val="auto"/>
              <w:sz w:val="24"/>
              <w:szCs w:val="24"/>
              <w:lang w:val="zh-CN"/>
            </w:rPr>
            <w:t>、噪声监测内容及结果评价</w:t>
          </w:r>
          <w:r>
            <w:rPr>
              <w:color w:val="auto"/>
              <w:sz w:val="24"/>
              <w:szCs w:val="24"/>
            </w:rPr>
            <w:tab/>
          </w:r>
          <w:r>
            <w:rPr>
              <w:color w:val="auto"/>
              <w:sz w:val="24"/>
              <w:szCs w:val="24"/>
            </w:rPr>
            <w:fldChar w:fldCharType="begin"/>
          </w:r>
          <w:r>
            <w:rPr>
              <w:color w:val="auto"/>
              <w:sz w:val="24"/>
              <w:szCs w:val="24"/>
            </w:rPr>
            <w:instrText xml:space="preserve"> PAGEREF _Toc20649 \h </w:instrText>
          </w:r>
          <w:r>
            <w:rPr>
              <w:color w:val="auto"/>
              <w:sz w:val="24"/>
              <w:szCs w:val="24"/>
            </w:rPr>
            <w:fldChar w:fldCharType="separate"/>
          </w:r>
          <w:r>
            <w:rPr>
              <w:color w:val="auto"/>
              <w:sz w:val="24"/>
              <w:szCs w:val="24"/>
            </w:rPr>
            <w:t>44</w:t>
          </w:r>
          <w:r>
            <w:rPr>
              <w:color w:val="auto"/>
              <w:sz w:val="24"/>
              <w:szCs w:val="24"/>
            </w:rPr>
            <w:fldChar w:fldCharType="end"/>
          </w:r>
          <w:r>
            <w:rPr>
              <w:rFonts w:hint="default" w:ascii="Times New Roman" w:hAnsi="Times New Roman" w:eastAsia="宋体" w:cs="Times New Roman"/>
              <w:bCs/>
              <w:color w:val="auto"/>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HYPERLINK \l _Toc29055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szCs w:val="24"/>
              <w:lang w:val="zh-CN"/>
            </w:rPr>
            <w:t>表</w:t>
          </w:r>
          <w:r>
            <w:rPr>
              <w:rFonts w:hint="default" w:ascii="Times New Roman" w:hAnsi="Times New Roman" w:eastAsia="宋体" w:cs="Times New Roman"/>
              <w:bCs/>
              <w:color w:val="auto"/>
              <w:sz w:val="24"/>
              <w:szCs w:val="24"/>
              <w:lang w:val="en-US" w:eastAsia="zh-CN"/>
            </w:rPr>
            <w:t>十</w:t>
          </w:r>
          <w:r>
            <w:rPr>
              <w:rFonts w:hint="default" w:ascii="Times New Roman" w:hAnsi="Times New Roman" w:eastAsia="宋体" w:cs="Times New Roman"/>
              <w:bCs/>
              <w:color w:val="auto"/>
              <w:sz w:val="24"/>
              <w:szCs w:val="24"/>
              <w:lang w:val="zh-CN"/>
            </w:rPr>
            <w:t>、监测分析方法及质量保证</w:t>
          </w:r>
          <w:r>
            <w:rPr>
              <w:color w:val="auto"/>
              <w:sz w:val="24"/>
              <w:szCs w:val="24"/>
            </w:rPr>
            <w:tab/>
          </w:r>
          <w:r>
            <w:rPr>
              <w:color w:val="auto"/>
              <w:sz w:val="24"/>
              <w:szCs w:val="24"/>
            </w:rPr>
            <w:fldChar w:fldCharType="begin"/>
          </w:r>
          <w:r>
            <w:rPr>
              <w:color w:val="auto"/>
              <w:sz w:val="24"/>
              <w:szCs w:val="24"/>
            </w:rPr>
            <w:instrText xml:space="preserve"> PAGEREF _Toc29055 \h </w:instrText>
          </w:r>
          <w:r>
            <w:rPr>
              <w:color w:val="auto"/>
              <w:sz w:val="24"/>
              <w:szCs w:val="24"/>
            </w:rPr>
            <w:fldChar w:fldCharType="separate"/>
          </w:r>
          <w:r>
            <w:rPr>
              <w:color w:val="auto"/>
              <w:sz w:val="24"/>
              <w:szCs w:val="24"/>
            </w:rPr>
            <w:t>46</w:t>
          </w:r>
          <w:r>
            <w:rPr>
              <w:color w:val="auto"/>
              <w:sz w:val="24"/>
              <w:szCs w:val="24"/>
            </w:rPr>
            <w:fldChar w:fldCharType="end"/>
          </w:r>
          <w:r>
            <w:rPr>
              <w:rFonts w:hint="default" w:ascii="Times New Roman" w:hAnsi="Times New Roman" w:eastAsia="宋体" w:cs="Times New Roman"/>
              <w:bCs/>
              <w:color w:val="auto"/>
              <w:sz w:val="24"/>
              <w:szCs w:val="24"/>
            </w:rPr>
            <w:fldChar w:fldCharType="end"/>
          </w:r>
          <w:bookmarkStart w:id="33" w:name="_GoBack"/>
          <w:bookmarkEnd w:id="33"/>
        </w:p>
        <w:p>
          <w:pPr>
            <w:pStyle w:val="2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HYPERLINK \l _Toc25374 </w:instrText>
          </w:r>
          <w:r>
            <w:rPr>
              <w:rFonts w:hint="default" w:ascii="Times New Roman" w:hAnsi="Times New Roman" w:eastAsia="宋体" w:cs="Times New Roman"/>
              <w:bCs/>
              <w:color w:val="auto"/>
              <w:sz w:val="24"/>
              <w:szCs w:val="24"/>
            </w:rPr>
            <w:fldChar w:fldCharType="separate"/>
          </w:r>
          <w:r>
            <w:rPr>
              <w:rFonts w:hint="eastAsia" w:ascii="Times New Roman" w:hAnsi="Times New Roman" w:cs="Times New Roman"/>
              <w:color w:val="auto"/>
              <w:kern w:val="44"/>
              <w:sz w:val="24"/>
              <w:szCs w:val="24"/>
              <w:highlight w:val="none"/>
              <w:lang w:val="en-US" w:eastAsia="zh-CN" w:bidi="ar-SA"/>
            </w:rPr>
            <w:t>表</w:t>
          </w:r>
          <w:r>
            <w:rPr>
              <w:rFonts w:hint="eastAsia" w:ascii="Times New Roman" w:hAnsi="Times New Roman" w:eastAsia="宋体" w:cs="Times New Roman"/>
              <w:color w:val="auto"/>
              <w:kern w:val="44"/>
              <w:sz w:val="24"/>
              <w:szCs w:val="24"/>
              <w:highlight w:val="none"/>
              <w:lang w:val="zh-CN" w:eastAsia="zh-CN" w:bidi="ar-SA"/>
            </w:rPr>
            <w:t>十</w:t>
          </w:r>
          <w:r>
            <w:rPr>
              <w:rFonts w:hint="eastAsia" w:ascii="Times New Roman" w:hAnsi="Times New Roman" w:cs="Times New Roman"/>
              <w:color w:val="auto"/>
              <w:kern w:val="44"/>
              <w:sz w:val="24"/>
              <w:szCs w:val="24"/>
              <w:highlight w:val="none"/>
              <w:lang w:val="en-US" w:eastAsia="zh-CN" w:bidi="ar-SA"/>
            </w:rPr>
            <w:t>一</w:t>
          </w:r>
          <w:r>
            <w:rPr>
              <w:rFonts w:ascii="Times New Roman" w:hAnsi="Times New Roman" w:eastAsia="宋体" w:cs="Times New Roman"/>
              <w:color w:val="auto"/>
              <w:kern w:val="44"/>
              <w:sz w:val="24"/>
              <w:szCs w:val="24"/>
              <w:highlight w:val="none"/>
              <w:lang w:val="zh-CN" w:eastAsia="zh-CN" w:bidi="ar-SA"/>
            </w:rPr>
            <w:t>、总量核算</w:t>
          </w:r>
          <w:r>
            <w:rPr>
              <w:color w:val="auto"/>
              <w:sz w:val="24"/>
              <w:szCs w:val="24"/>
            </w:rPr>
            <w:tab/>
          </w:r>
          <w:r>
            <w:rPr>
              <w:color w:val="auto"/>
              <w:sz w:val="24"/>
              <w:szCs w:val="24"/>
            </w:rPr>
            <w:fldChar w:fldCharType="begin"/>
          </w:r>
          <w:r>
            <w:rPr>
              <w:color w:val="auto"/>
              <w:sz w:val="24"/>
              <w:szCs w:val="24"/>
            </w:rPr>
            <w:instrText xml:space="preserve"> PAGEREF _Toc25374 \h </w:instrText>
          </w:r>
          <w:r>
            <w:rPr>
              <w:color w:val="auto"/>
              <w:sz w:val="24"/>
              <w:szCs w:val="24"/>
            </w:rPr>
            <w:fldChar w:fldCharType="separate"/>
          </w:r>
          <w:r>
            <w:rPr>
              <w:color w:val="auto"/>
              <w:sz w:val="24"/>
              <w:szCs w:val="24"/>
            </w:rPr>
            <w:t>49</w:t>
          </w:r>
          <w:r>
            <w:rPr>
              <w:color w:val="auto"/>
              <w:sz w:val="24"/>
              <w:szCs w:val="24"/>
            </w:rPr>
            <w:fldChar w:fldCharType="end"/>
          </w:r>
          <w:r>
            <w:rPr>
              <w:rFonts w:hint="default" w:ascii="Times New Roman" w:hAnsi="Times New Roman" w:eastAsia="宋体" w:cs="Times New Roman"/>
              <w:bCs/>
              <w:color w:val="auto"/>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sz w:val="24"/>
              <w:szCs w:val="24"/>
            </w:rPr>
          </w:pP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HYPERLINK \l _Toc28683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color w:val="auto"/>
              <w:sz w:val="24"/>
              <w:szCs w:val="24"/>
              <w:lang w:val="en-US" w:eastAsia="zh-CN"/>
            </w:rPr>
            <w:t>表十</w:t>
          </w:r>
          <w:r>
            <w:rPr>
              <w:rFonts w:hint="eastAsia" w:cs="Times New Roman"/>
              <w:color w:val="auto"/>
              <w:sz w:val="24"/>
              <w:szCs w:val="24"/>
              <w:lang w:val="en-US" w:eastAsia="zh-CN"/>
            </w:rPr>
            <w:t>二</w:t>
          </w:r>
          <w:r>
            <w:rPr>
              <w:rFonts w:hint="default" w:ascii="Times New Roman" w:hAnsi="Times New Roman" w:eastAsia="宋体" w:cs="Times New Roman"/>
              <w:color w:val="auto"/>
              <w:sz w:val="24"/>
              <w:szCs w:val="24"/>
              <w:lang w:val="en-US" w:eastAsia="zh-CN"/>
            </w:rPr>
            <w:t>、验收监测结论及建议</w:t>
          </w:r>
          <w:r>
            <w:rPr>
              <w:color w:val="auto"/>
              <w:sz w:val="24"/>
              <w:szCs w:val="24"/>
            </w:rPr>
            <w:tab/>
          </w:r>
          <w:r>
            <w:rPr>
              <w:color w:val="auto"/>
              <w:sz w:val="24"/>
              <w:szCs w:val="24"/>
            </w:rPr>
            <w:fldChar w:fldCharType="begin"/>
          </w:r>
          <w:r>
            <w:rPr>
              <w:color w:val="auto"/>
              <w:sz w:val="24"/>
              <w:szCs w:val="24"/>
            </w:rPr>
            <w:instrText xml:space="preserve"> PAGEREF _Toc28683 \h </w:instrText>
          </w:r>
          <w:r>
            <w:rPr>
              <w:color w:val="auto"/>
              <w:sz w:val="24"/>
              <w:szCs w:val="24"/>
            </w:rPr>
            <w:fldChar w:fldCharType="separate"/>
          </w:r>
          <w:r>
            <w:rPr>
              <w:color w:val="auto"/>
              <w:sz w:val="24"/>
              <w:szCs w:val="24"/>
            </w:rPr>
            <w:t>50</w:t>
          </w:r>
          <w:r>
            <w:rPr>
              <w:color w:val="auto"/>
              <w:sz w:val="24"/>
              <w:szCs w:val="24"/>
            </w:rPr>
            <w:fldChar w:fldCharType="end"/>
          </w:r>
          <w:r>
            <w:rPr>
              <w:rFonts w:hint="default" w:ascii="Times New Roman" w:hAnsi="Times New Roman" w:eastAsia="宋体" w:cs="Times New Roman"/>
              <w:bCs/>
              <w:color w:val="auto"/>
              <w:sz w:val="24"/>
              <w:szCs w:val="24"/>
            </w:rPr>
            <w:fldChar w:fldCharType="end"/>
          </w:r>
        </w:p>
        <w:p>
          <w:pPr>
            <w:pStyle w:val="23"/>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color w:val="auto"/>
            </w:rPr>
          </w:pPr>
          <w:r>
            <w:rPr>
              <w:rFonts w:hint="default" w:ascii="Times New Roman" w:hAnsi="Times New Roman" w:eastAsia="宋体" w:cs="Times New Roman"/>
              <w:bCs/>
              <w:color w:val="auto"/>
              <w:sz w:val="24"/>
              <w:szCs w:val="24"/>
            </w:rPr>
            <w:fldChar w:fldCharType="begin"/>
          </w:r>
          <w:r>
            <w:rPr>
              <w:rFonts w:hint="default" w:ascii="Times New Roman" w:hAnsi="Times New Roman" w:eastAsia="宋体" w:cs="Times New Roman"/>
              <w:bCs/>
              <w:color w:val="auto"/>
              <w:sz w:val="24"/>
              <w:szCs w:val="24"/>
            </w:rPr>
            <w:instrText xml:space="preserve"> HYPERLINK \l _Toc18773 </w:instrText>
          </w:r>
          <w:r>
            <w:rPr>
              <w:rFonts w:hint="default" w:ascii="Times New Roman" w:hAnsi="Times New Roman" w:eastAsia="宋体" w:cs="Times New Roman"/>
              <w:bCs/>
              <w:color w:val="auto"/>
              <w:sz w:val="24"/>
              <w:szCs w:val="24"/>
            </w:rPr>
            <w:fldChar w:fldCharType="separate"/>
          </w:r>
          <w:r>
            <w:rPr>
              <w:rFonts w:hint="default" w:ascii="Times New Roman" w:hAnsi="Times New Roman" w:eastAsia="宋体" w:cs="Times New Roman"/>
              <w:bCs/>
              <w:color w:val="auto"/>
              <w:sz w:val="24"/>
              <w:szCs w:val="24"/>
              <w:lang w:val="zh-CN"/>
            </w:rPr>
            <w:t>表十</w:t>
          </w:r>
          <w:r>
            <w:rPr>
              <w:rFonts w:hint="default" w:ascii="Times New Roman" w:hAnsi="Times New Roman" w:eastAsia="宋体" w:cs="Times New Roman"/>
              <w:bCs/>
              <w:color w:val="auto"/>
              <w:sz w:val="24"/>
              <w:szCs w:val="24"/>
              <w:lang w:val="en-US" w:eastAsia="zh-CN"/>
            </w:rPr>
            <w:t>三</w:t>
          </w:r>
          <w:r>
            <w:rPr>
              <w:rFonts w:hint="default" w:ascii="Times New Roman" w:hAnsi="Times New Roman" w:eastAsia="宋体" w:cs="Times New Roman"/>
              <w:bCs/>
              <w:color w:val="auto"/>
              <w:sz w:val="24"/>
              <w:szCs w:val="24"/>
              <w:lang w:val="zh-CN"/>
            </w:rPr>
            <w:t>、附件</w:t>
          </w:r>
          <w:r>
            <w:rPr>
              <w:color w:val="auto"/>
              <w:sz w:val="24"/>
              <w:szCs w:val="24"/>
            </w:rPr>
            <w:tab/>
          </w:r>
          <w:r>
            <w:rPr>
              <w:color w:val="auto"/>
              <w:sz w:val="24"/>
              <w:szCs w:val="24"/>
            </w:rPr>
            <w:fldChar w:fldCharType="begin"/>
          </w:r>
          <w:r>
            <w:rPr>
              <w:color w:val="auto"/>
              <w:sz w:val="24"/>
              <w:szCs w:val="24"/>
            </w:rPr>
            <w:instrText xml:space="preserve"> PAGEREF _Toc18773 \h </w:instrText>
          </w:r>
          <w:r>
            <w:rPr>
              <w:color w:val="auto"/>
              <w:sz w:val="24"/>
              <w:szCs w:val="24"/>
            </w:rPr>
            <w:fldChar w:fldCharType="separate"/>
          </w:r>
          <w:r>
            <w:rPr>
              <w:color w:val="auto"/>
              <w:sz w:val="24"/>
              <w:szCs w:val="24"/>
            </w:rPr>
            <w:t>52</w:t>
          </w:r>
          <w:r>
            <w:rPr>
              <w:color w:val="auto"/>
              <w:sz w:val="24"/>
              <w:szCs w:val="24"/>
            </w:rPr>
            <w:fldChar w:fldCharType="end"/>
          </w:r>
          <w:r>
            <w:rPr>
              <w:rFonts w:hint="default" w:ascii="Times New Roman" w:hAnsi="Times New Roman" w:eastAsia="宋体" w:cs="Times New Roman"/>
              <w:bCs/>
              <w:color w:val="auto"/>
              <w:sz w:val="24"/>
              <w:szCs w:val="24"/>
            </w:rPr>
            <w:fldChar w:fldCharType="end"/>
          </w:r>
        </w:p>
        <w:p>
          <w:pPr>
            <w:ind w:left="0" w:leftChars="0" w:firstLine="0" w:firstLineChars="0"/>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bCs/>
              <w:color w:val="auto"/>
              <w:szCs w:val="28"/>
            </w:rPr>
            <w:fldChar w:fldCharType="end"/>
          </w:r>
        </w:p>
      </w:sdtContent>
    </w:sdt>
    <w:p>
      <w:pPr>
        <w:ind w:left="0" w:leftChars="0" w:firstLine="0" w:firstLineChars="0"/>
        <w:outlineLvl w:val="9"/>
        <w:rPr>
          <w:rFonts w:hint="default" w:ascii="Times New Roman" w:hAnsi="Times New Roman" w:eastAsia="宋体" w:cs="Times New Roman"/>
          <w:b/>
          <w:bCs/>
          <w:color w:val="auto"/>
          <w:sz w:val="28"/>
          <w:szCs w:val="28"/>
        </w:rPr>
      </w:pPr>
    </w:p>
    <w:p>
      <w:pPr>
        <w:ind w:left="0" w:leftChars="0" w:firstLine="0" w:firstLineChars="0"/>
        <w:outlineLvl w:val="9"/>
        <w:rPr>
          <w:rFonts w:hint="default" w:ascii="Times New Roman" w:hAnsi="Times New Roman" w:eastAsia="宋体" w:cs="Times New Roman"/>
          <w:b/>
          <w:bCs/>
          <w:color w:val="auto"/>
          <w:sz w:val="28"/>
          <w:szCs w:val="28"/>
        </w:rPr>
      </w:pPr>
    </w:p>
    <w:p>
      <w:pPr>
        <w:ind w:left="0" w:leftChars="0" w:firstLine="0" w:firstLineChars="0"/>
        <w:outlineLvl w:val="9"/>
        <w:rPr>
          <w:rFonts w:hint="default" w:ascii="Times New Roman" w:hAnsi="Times New Roman" w:eastAsia="宋体" w:cs="Times New Roman"/>
          <w:b/>
          <w:bCs/>
          <w:color w:val="auto"/>
          <w:sz w:val="28"/>
          <w:szCs w:val="28"/>
        </w:rPr>
      </w:pPr>
    </w:p>
    <w:p>
      <w:pPr>
        <w:pStyle w:val="19"/>
        <w:rPr>
          <w:rFonts w:hint="default" w:ascii="Times New Roman" w:hAnsi="Times New Roman" w:cs="Times New Roman"/>
          <w:color w:val="auto"/>
        </w:rPr>
      </w:pPr>
    </w:p>
    <w:p>
      <w:pPr>
        <w:pStyle w:val="19"/>
        <w:rPr>
          <w:rFonts w:hint="default" w:ascii="Times New Roman" w:hAnsi="Times New Roman" w:cs="Times New Roman"/>
          <w:color w:val="auto"/>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ind w:left="0" w:leftChars="0" w:firstLine="0" w:firstLineChars="0"/>
        <w:outlineLvl w:val="0"/>
        <w:rPr>
          <w:rFonts w:hint="default" w:ascii="Times New Roman" w:hAnsi="Times New Roman" w:eastAsia="宋体" w:cs="Times New Roman"/>
          <w:b/>
          <w:bCs/>
          <w:color w:val="auto"/>
          <w:sz w:val="28"/>
          <w:szCs w:val="28"/>
        </w:rPr>
      </w:pPr>
      <w:bookmarkStart w:id="5" w:name="_Toc30105"/>
      <w:bookmarkStart w:id="6" w:name="_Toc7562"/>
      <w:r>
        <w:rPr>
          <w:rFonts w:hint="default" w:ascii="Times New Roman" w:hAnsi="Times New Roman" w:eastAsia="宋体" w:cs="Times New Roman"/>
          <w:b/>
          <w:bCs/>
          <w:color w:val="auto"/>
          <w:sz w:val="28"/>
          <w:szCs w:val="28"/>
        </w:rPr>
        <w:t>表一、建设项目基本情况</w:t>
      </w:r>
      <w:bookmarkEnd w:id="5"/>
      <w:bookmarkEnd w:id="6"/>
    </w:p>
    <w:tbl>
      <w:tblPr>
        <w:tblStyle w:val="16"/>
        <w:tblW w:w="8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1373"/>
        <w:gridCol w:w="1110"/>
        <w:gridCol w:w="420"/>
        <w:gridCol w:w="1203"/>
        <w:gridCol w:w="1740"/>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0" w:type="dxa"/>
            <w:vAlign w:val="center"/>
          </w:tcPr>
          <w:p>
            <w:pPr>
              <w:pStyle w:val="20"/>
              <w:bidi w:val="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建设项目</w:t>
            </w:r>
          </w:p>
        </w:tc>
        <w:tc>
          <w:tcPr>
            <w:tcW w:w="7006" w:type="dxa"/>
            <w:gridSpan w:val="6"/>
            <w:vAlign w:val="center"/>
          </w:tcPr>
          <w:p>
            <w:pPr>
              <w:pStyle w:val="20"/>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张家港市骏马钢帘线有限公司环保节能技术改造项目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0" w:type="dxa"/>
            <w:vAlign w:val="center"/>
          </w:tcPr>
          <w:p>
            <w:pPr>
              <w:pStyle w:val="20"/>
              <w:bidi w:val="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建设单位</w:t>
            </w:r>
          </w:p>
        </w:tc>
        <w:tc>
          <w:tcPr>
            <w:tcW w:w="7006" w:type="dxa"/>
            <w:gridSpan w:val="6"/>
            <w:vAlign w:val="center"/>
          </w:tcPr>
          <w:p>
            <w:pPr>
              <w:pStyle w:val="20"/>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张家港市骏马钢帘线有限公司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0" w:type="dxa"/>
            <w:vAlign w:val="center"/>
          </w:tcPr>
          <w:p>
            <w:pPr>
              <w:pStyle w:val="20"/>
              <w:bidi w:val="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联系人</w:t>
            </w:r>
          </w:p>
        </w:tc>
        <w:tc>
          <w:tcPr>
            <w:tcW w:w="2483" w:type="dxa"/>
            <w:gridSpan w:val="2"/>
            <w:vAlign w:val="center"/>
          </w:tcPr>
          <w:p>
            <w:pPr>
              <w:pStyle w:val="20"/>
              <w:bidi w:val="0"/>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许如根</w:t>
            </w:r>
          </w:p>
        </w:tc>
        <w:tc>
          <w:tcPr>
            <w:tcW w:w="1623" w:type="dxa"/>
            <w:gridSpan w:val="2"/>
            <w:vAlign w:val="center"/>
          </w:tcPr>
          <w:p>
            <w:pPr>
              <w:pStyle w:val="20"/>
              <w:bidi w:val="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联系电话</w:t>
            </w:r>
          </w:p>
        </w:tc>
        <w:tc>
          <w:tcPr>
            <w:tcW w:w="2900" w:type="dxa"/>
            <w:gridSpan w:val="2"/>
            <w:vAlign w:val="center"/>
          </w:tcPr>
          <w:p>
            <w:pPr>
              <w:pStyle w:val="20"/>
              <w:bidi w:val="0"/>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13812855079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0" w:type="dxa"/>
            <w:vAlign w:val="center"/>
          </w:tcPr>
          <w:p>
            <w:pPr>
              <w:pStyle w:val="20"/>
              <w:bidi w:val="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建设项目性质</w:t>
            </w:r>
          </w:p>
        </w:tc>
        <w:tc>
          <w:tcPr>
            <w:tcW w:w="2483" w:type="dxa"/>
            <w:gridSpan w:val="2"/>
            <w:vAlign w:val="center"/>
          </w:tcPr>
          <w:p>
            <w:pPr>
              <w:pStyle w:val="20"/>
              <w:bidi w:val="0"/>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技术改造</w:t>
            </w:r>
          </w:p>
        </w:tc>
        <w:tc>
          <w:tcPr>
            <w:tcW w:w="1623" w:type="dxa"/>
            <w:gridSpan w:val="2"/>
            <w:vAlign w:val="center"/>
          </w:tcPr>
          <w:p>
            <w:pPr>
              <w:pStyle w:val="20"/>
              <w:bidi w:val="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行业类别</w:t>
            </w:r>
          </w:p>
        </w:tc>
        <w:tc>
          <w:tcPr>
            <w:tcW w:w="2900" w:type="dxa"/>
            <w:gridSpan w:val="2"/>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b w:val="0"/>
                <w:bCs w:val="0"/>
                <w:color w:val="auto"/>
                <w:lang w:val="en-US" w:eastAsia="zh-CN"/>
              </w:rPr>
              <w:t>C</w:t>
            </w:r>
            <w:r>
              <w:rPr>
                <w:rFonts w:hint="eastAsia" w:ascii="Times New Roman" w:hAnsi="Times New Roman" w:cs="Times New Roman"/>
                <w:b w:val="0"/>
                <w:bCs w:val="0"/>
                <w:color w:val="auto"/>
                <w:lang w:val="en-US" w:eastAsia="zh-CN"/>
              </w:rPr>
              <w:t>3340</w:t>
            </w:r>
            <w:r>
              <w:rPr>
                <w:rFonts w:hint="default" w:ascii="Times New Roman" w:hAnsi="Times New Roman" w:cs="Times New Roman"/>
                <w:b w:val="0"/>
                <w:bCs w:val="0"/>
                <w:color w:val="auto"/>
                <w:lang w:val="en-US" w:eastAsia="zh-CN"/>
              </w:rPr>
              <w:t xml:space="preserve"> </w:t>
            </w:r>
            <w:r>
              <w:rPr>
                <w:rFonts w:hint="eastAsia" w:ascii="Times New Roman" w:hAnsi="Times New Roman" w:cs="Times New Roman"/>
                <w:b w:val="0"/>
                <w:bCs w:val="0"/>
                <w:color w:val="auto"/>
                <w:lang w:val="en-US" w:eastAsia="zh-CN"/>
              </w:rPr>
              <w:t>金属丝绳及其制品制造、N7724</w:t>
            </w:r>
            <w:r>
              <w:rPr>
                <w:rFonts w:hint="default" w:ascii="Times New Roman" w:hAnsi="Times New Roman" w:cs="Times New Roman"/>
                <w:b w:val="0"/>
                <w:bCs w:val="0"/>
                <w:color w:val="auto"/>
                <w:lang w:val="en-US" w:eastAsia="zh-CN"/>
              </w:rPr>
              <w:t xml:space="preserve"> </w:t>
            </w:r>
            <w:r>
              <w:rPr>
                <w:rFonts w:hint="eastAsia" w:ascii="Times New Roman" w:hAnsi="Times New Roman" w:cs="Times New Roman"/>
                <w:b w:val="0"/>
                <w:bCs w:val="0"/>
                <w:color w:val="auto"/>
                <w:lang w:val="en-US" w:eastAsia="zh-CN"/>
              </w:rPr>
              <w:t>危险废物治理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0" w:type="dxa"/>
            <w:vAlign w:val="center"/>
          </w:tcPr>
          <w:p>
            <w:pPr>
              <w:pStyle w:val="20"/>
              <w:bidi w:val="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建设地点</w:t>
            </w:r>
          </w:p>
        </w:tc>
        <w:tc>
          <w:tcPr>
            <w:tcW w:w="7006" w:type="dxa"/>
            <w:gridSpan w:val="6"/>
            <w:vAlign w:val="center"/>
          </w:tcPr>
          <w:p>
            <w:pPr>
              <w:pStyle w:val="20"/>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张家港市杨舍镇</w:t>
            </w:r>
            <w:r>
              <w:rPr>
                <w:rFonts w:hint="eastAsia" w:ascii="Times New Roman" w:hAnsi="Times New Roman" w:cs="Times New Roman"/>
                <w:b w:val="0"/>
                <w:bCs w:val="0"/>
                <w:color w:val="auto"/>
                <w:lang w:val="en-US" w:eastAsia="zh-CN"/>
              </w:rPr>
              <w:t>乘航河东路80号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0" w:type="dxa"/>
            <w:vAlign w:val="center"/>
          </w:tcPr>
          <w:p>
            <w:pPr>
              <w:pStyle w:val="20"/>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rPr>
              <w:t>环评设计</w:t>
            </w:r>
            <w:r>
              <w:rPr>
                <w:rFonts w:hint="eastAsia" w:ascii="Times New Roman" w:hAnsi="Times New Roman" w:cs="Times New Roman"/>
                <w:b w:val="0"/>
                <w:bCs w:val="0"/>
                <w:color w:val="auto"/>
                <w:lang w:val="en-US" w:eastAsia="zh-CN"/>
              </w:rPr>
              <w:t>节能技术改造内容</w:t>
            </w:r>
          </w:p>
        </w:tc>
        <w:tc>
          <w:tcPr>
            <w:tcW w:w="7006" w:type="dxa"/>
            <w:gridSpan w:val="6"/>
            <w:vAlign w:val="center"/>
          </w:tcPr>
          <w:p>
            <w:pPr>
              <w:pStyle w:val="20"/>
              <w:numPr>
                <w:ilvl w:val="0"/>
                <w:numId w:val="2"/>
              </w:numPr>
              <w:bidi w:val="0"/>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增加硫酸在线回收设备，减少新酸用量和废酸排放；2、砂扩散（天然气）改电感应加热（电加热），锆砂淬火改水淬火，一期铅淬火改水淬火；</w:t>
            </w:r>
          </w:p>
          <w:p>
            <w:pPr>
              <w:pStyle w:val="20"/>
              <w:numPr>
                <w:numId w:val="0"/>
              </w:numPr>
              <w:bidi w:val="0"/>
              <w:jc w:val="both"/>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3、部分预处理取消酸洗，改砂带机；4、更换高效污泥烘干设备。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0" w:type="dxa"/>
            <w:vAlign w:val="center"/>
          </w:tcPr>
          <w:p>
            <w:pPr>
              <w:pStyle w:val="20"/>
              <w:bidi w:val="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实际建设</w:t>
            </w:r>
            <w:r>
              <w:rPr>
                <w:rFonts w:hint="eastAsia" w:ascii="Times New Roman" w:hAnsi="Times New Roman" w:cs="Times New Roman"/>
                <w:b w:val="0"/>
                <w:bCs w:val="0"/>
                <w:color w:val="auto"/>
                <w:lang w:val="en-US" w:eastAsia="zh-CN"/>
              </w:rPr>
              <w:t>节能技术改造内容</w:t>
            </w:r>
          </w:p>
        </w:tc>
        <w:tc>
          <w:tcPr>
            <w:tcW w:w="7006" w:type="dxa"/>
            <w:gridSpan w:val="6"/>
            <w:vAlign w:val="center"/>
          </w:tcPr>
          <w:p>
            <w:pPr>
              <w:pStyle w:val="20"/>
              <w:numPr>
                <w:ilvl w:val="0"/>
                <w:numId w:val="3"/>
              </w:numPr>
              <w:bidi w:val="0"/>
              <w:ind w:firstLine="0" w:firstLineChars="0"/>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增加硫酸在线回收设备，减少新酸用量和废酸排放；2、砂扩散（天然气）改电感应加热（电加热），锆砂淬火改水淬火，一期铅淬火改水淬火；</w:t>
            </w:r>
          </w:p>
          <w:p>
            <w:pPr>
              <w:pStyle w:val="20"/>
              <w:numPr>
                <w:numId w:val="0"/>
              </w:numPr>
              <w:bidi w:val="0"/>
              <w:jc w:val="both"/>
              <w:rPr>
                <w:rFonts w:hint="default" w:ascii="Times New Roman" w:hAnsi="Times New Roman" w:eastAsia="宋体" w:cs="Times New Roman"/>
                <w:b w:val="0"/>
                <w:bCs w:val="0"/>
                <w:color w:val="auto"/>
                <w:kern w:val="0"/>
                <w:sz w:val="21"/>
                <w:szCs w:val="20"/>
                <w:lang w:val="en-US" w:eastAsia="zh-CN" w:bidi="ar-SA"/>
              </w:rPr>
            </w:pPr>
            <w:r>
              <w:rPr>
                <w:rFonts w:hint="eastAsia" w:ascii="Times New Roman" w:hAnsi="Times New Roman" w:cs="Times New Roman"/>
                <w:b w:val="0"/>
                <w:bCs w:val="0"/>
                <w:color w:val="auto"/>
                <w:lang w:val="en-US" w:eastAsia="zh-CN"/>
              </w:rPr>
              <w:t>3、部分预处理取消酸洗，改砂带机；4、更换高效污泥烘干设备。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0" w:type="dxa"/>
            <w:vAlign w:val="center"/>
          </w:tcPr>
          <w:p>
            <w:pPr>
              <w:pStyle w:val="20"/>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rPr>
              <w:t>立项</w:t>
            </w:r>
            <w:r>
              <w:rPr>
                <w:rFonts w:hint="default" w:ascii="Times New Roman" w:hAnsi="Times New Roman" w:cs="Times New Roman"/>
                <w:b w:val="0"/>
                <w:bCs w:val="0"/>
                <w:color w:val="auto"/>
                <w:lang w:val="en-US" w:eastAsia="zh-CN"/>
              </w:rPr>
              <w:t>审批</w:t>
            </w:r>
            <w:r>
              <w:rPr>
                <w:rFonts w:hint="default" w:ascii="Times New Roman" w:hAnsi="Times New Roman" w:eastAsia="宋体" w:cs="Times New Roman"/>
                <w:b w:val="0"/>
                <w:bCs w:val="0"/>
                <w:color w:val="auto"/>
              </w:rPr>
              <w:t>单位</w:t>
            </w:r>
          </w:p>
        </w:tc>
        <w:tc>
          <w:tcPr>
            <w:tcW w:w="2483" w:type="dxa"/>
            <w:gridSpan w:val="2"/>
            <w:vAlign w:val="center"/>
          </w:tcPr>
          <w:p>
            <w:pPr>
              <w:pStyle w:val="20"/>
              <w:bidi w:val="0"/>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val="en-US" w:eastAsia="zh-CN"/>
              </w:rPr>
              <w:t>张家港市行政审批局</w:t>
            </w:r>
          </w:p>
        </w:tc>
        <w:tc>
          <w:tcPr>
            <w:tcW w:w="1623" w:type="dxa"/>
            <w:gridSpan w:val="2"/>
            <w:vAlign w:val="center"/>
          </w:tcPr>
          <w:p>
            <w:pPr>
              <w:pStyle w:val="20"/>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rPr>
              <w:t>立项</w:t>
            </w:r>
            <w:r>
              <w:rPr>
                <w:rFonts w:hint="default" w:ascii="Times New Roman" w:hAnsi="Times New Roman" w:eastAsia="宋体" w:cs="Times New Roman"/>
                <w:b w:val="0"/>
                <w:bCs w:val="0"/>
                <w:color w:val="auto"/>
                <w:lang w:eastAsia="zh-CN"/>
              </w:rPr>
              <w:t>文号</w:t>
            </w:r>
            <w:r>
              <w:rPr>
                <w:rFonts w:hint="default" w:ascii="Times New Roman" w:hAnsi="Times New Roman" w:eastAsia="宋体" w:cs="Times New Roman"/>
                <w:b w:val="0"/>
                <w:bCs w:val="0"/>
                <w:color w:val="auto"/>
                <w:lang w:val="en-US" w:eastAsia="zh-CN"/>
              </w:rPr>
              <w:t>/</w:t>
            </w:r>
            <w:r>
              <w:rPr>
                <w:rFonts w:hint="default" w:ascii="Times New Roman" w:hAnsi="Times New Roman" w:eastAsia="宋体" w:cs="Times New Roman"/>
                <w:b w:val="0"/>
                <w:bCs w:val="0"/>
                <w:color w:val="auto"/>
              </w:rPr>
              <w:t>时间</w:t>
            </w:r>
          </w:p>
        </w:tc>
        <w:tc>
          <w:tcPr>
            <w:tcW w:w="2900" w:type="dxa"/>
            <w:gridSpan w:val="2"/>
            <w:vAlign w:val="center"/>
          </w:tcPr>
          <w:p>
            <w:pPr>
              <w:pStyle w:val="20"/>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张</w:t>
            </w:r>
            <w:r>
              <w:rPr>
                <w:rFonts w:hint="default" w:ascii="Times New Roman" w:hAnsi="Times New Roman" w:cs="Times New Roman"/>
                <w:b w:val="0"/>
                <w:bCs w:val="0"/>
                <w:color w:val="auto"/>
                <w:lang w:val="en-US" w:eastAsia="zh-CN"/>
              </w:rPr>
              <w:t>行审</w:t>
            </w:r>
            <w:r>
              <w:rPr>
                <w:rFonts w:hint="default" w:ascii="Times New Roman" w:hAnsi="Times New Roman" w:eastAsia="宋体" w:cs="Times New Roman"/>
                <w:b w:val="0"/>
                <w:bCs w:val="0"/>
                <w:color w:val="auto"/>
                <w:lang w:val="en-US" w:eastAsia="zh-CN"/>
              </w:rPr>
              <w:t>投备</w:t>
            </w:r>
            <w:r>
              <w:rPr>
                <w:rFonts w:hint="default" w:ascii="Times New Roman" w:hAnsi="Times New Roman" w:eastAsia="宋体" w:cs="Times New Roman"/>
                <w:b w:val="0"/>
                <w:bCs w:val="0"/>
                <w:color w:val="auto"/>
                <w:sz w:val="21"/>
                <w:szCs w:val="21"/>
                <w:lang w:val="en-US" w:eastAsia="zh-CN"/>
              </w:rPr>
              <w:t>〔20</w:t>
            </w:r>
            <w:r>
              <w:rPr>
                <w:rFonts w:hint="default" w:ascii="Times New Roman" w:hAnsi="Times New Roman" w:cs="Times New Roman"/>
                <w:b w:val="0"/>
                <w:bCs w:val="0"/>
                <w:color w:val="auto"/>
                <w:sz w:val="21"/>
                <w:szCs w:val="21"/>
                <w:lang w:val="en-US" w:eastAsia="zh-CN"/>
              </w:rPr>
              <w:t>21</w:t>
            </w:r>
            <w:r>
              <w:rPr>
                <w:rFonts w:hint="default" w:ascii="Times New Roman" w:hAnsi="Times New Roman" w:eastAsia="宋体" w:cs="Times New Roman"/>
                <w:b w:val="0"/>
                <w:bCs w:val="0"/>
                <w:color w:val="auto"/>
                <w:sz w:val="21"/>
                <w:szCs w:val="21"/>
                <w:lang w:val="en-US" w:eastAsia="zh-CN"/>
              </w:rPr>
              <w:t>〕</w:t>
            </w:r>
            <w:r>
              <w:rPr>
                <w:rFonts w:hint="eastAsia" w:ascii="Times New Roman" w:hAnsi="Times New Roman" w:cs="Times New Roman"/>
                <w:b w:val="0"/>
                <w:bCs w:val="0"/>
                <w:color w:val="auto"/>
                <w:lang w:val="en-US" w:eastAsia="zh-CN"/>
              </w:rPr>
              <w:t>397</w:t>
            </w:r>
            <w:r>
              <w:rPr>
                <w:rFonts w:hint="default" w:ascii="Times New Roman" w:hAnsi="Times New Roman" w:eastAsia="宋体" w:cs="Times New Roman"/>
                <w:b w:val="0"/>
                <w:bCs w:val="0"/>
                <w:color w:val="auto"/>
                <w:lang w:val="en-US" w:eastAsia="zh-CN"/>
              </w:rPr>
              <w:t>号</w:t>
            </w:r>
            <w:r>
              <w:rPr>
                <w:rFonts w:hint="default" w:ascii="Times New Roman" w:hAnsi="Times New Roman" w:cs="Times New Roman"/>
                <w:b w:val="0"/>
                <w:bCs w:val="0"/>
                <w:color w:val="auto"/>
                <w:lang w:val="en-US" w:eastAsia="zh-CN"/>
              </w:rPr>
              <w:t>/</w:t>
            </w:r>
          </w:p>
          <w:p>
            <w:pPr>
              <w:pStyle w:val="20"/>
              <w:bidi w:val="0"/>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val="en-US" w:eastAsia="zh-CN"/>
              </w:rPr>
              <w:t>2021年</w:t>
            </w:r>
            <w:r>
              <w:rPr>
                <w:rFonts w:hint="eastAsia" w:ascii="Times New Roman" w:hAnsi="Times New Roman" w:cs="Times New Roman"/>
                <w:b w:val="0"/>
                <w:bCs w:val="0"/>
                <w:color w:val="auto"/>
                <w:lang w:val="en-US" w:eastAsia="zh-CN"/>
              </w:rPr>
              <w:t>5</w:t>
            </w:r>
            <w:r>
              <w:rPr>
                <w:rFonts w:hint="default" w:ascii="Times New Roman" w:hAnsi="Times New Roman" w:cs="Times New Roman"/>
                <w:b w:val="0"/>
                <w:bCs w:val="0"/>
                <w:color w:val="auto"/>
                <w:lang w:val="en-US" w:eastAsia="zh-CN"/>
              </w:rPr>
              <w:t>月1</w:t>
            </w:r>
            <w:r>
              <w:rPr>
                <w:rFonts w:hint="eastAsia" w:ascii="Times New Roman" w:hAnsi="Times New Roman" w:cs="Times New Roman"/>
                <w:b w:val="0"/>
                <w:bCs w:val="0"/>
                <w:color w:val="auto"/>
                <w:lang w:val="en-US" w:eastAsia="zh-CN"/>
              </w:rPr>
              <w:t>7</w:t>
            </w:r>
            <w:r>
              <w:rPr>
                <w:rFonts w:hint="default" w:ascii="Times New Roman" w:hAnsi="Times New Roman" w:cs="Times New Roman"/>
                <w:b w:val="0"/>
                <w:bCs w:val="0"/>
                <w:color w:val="auto"/>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0" w:type="dxa"/>
            <w:vAlign w:val="center"/>
          </w:tcPr>
          <w:p>
            <w:pPr>
              <w:pStyle w:val="20"/>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rPr>
              <w:t>环评编制单位</w:t>
            </w:r>
          </w:p>
        </w:tc>
        <w:tc>
          <w:tcPr>
            <w:tcW w:w="2483" w:type="dxa"/>
            <w:gridSpan w:val="2"/>
            <w:vAlign w:val="center"/>
          </w:tcPr>
          <w:p>
            <w:pPr>
              <w:pStyle w:val="20"/>
              <w:bidi w:val="0"/>
              <w:rPr>
                <w:rFonts w:hint="default" w:ascii="Times New Roman" w:hAnsi="Times New Roman" w:eastAsia="宋体"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南京国环科技股份有限公司</w:t>
            </w:r>
          </w:p>
        </w:tc>
        <w:tc>
          <w:tcPr>
            <w:tcW w:w="1623" w:type="dxa"/>
            <w:gridSpan w:val="2"/>
            <w:vAlign w:val="center"/>
          </w:tcPr>
          <w:p>
            <w:pPr>
              <w:pStyle w:val="20"/>
              <w:bidi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环评编制时间</w:t>
            </w:r>
          </w:p>
        </w:tc>
        <w:tc>
          <w:tcPr>
            <w:tcW w:w="2900" w:type="dxa"/>
            <w:gridSpan w:val="2"/>
            <w:vAlign w:val="center"/>
          </w:tcPr>
          <w:p>
            <w:pPr>
              <w:pStyle w:val="20"/>
              <w:bidi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202</w:t>
            </w:r>
            <w:r>
              <w:rPr>
                <w:rFonts w:hint="eastAsia" w:ascii="Times New Roman" w:hAnsi="Times New Roman" w:cs="Times New Roman"/>
                <w:b w:val="0"/>
                <w:bCs w:val="0"/>
                <w:color w:val="auto"/>
                <w:highlight w:val="none"/>
                <w:lang w:val="en-US" w:eastAsia="zh-CN"/>
              </w:rPr>
              <w:t>2</w:t>
            </w:r>
            <w:r>
              <w:rPr>
                <w:rFonts w:hint="default" w:ascii="Times New Roman" w:hAnsi="Times New Roman" w:eastAsia="宋体" w:cs="Times New Roman"/>
                <w:b w:val="0"/>
                <w:bCs w:val="0"/>
                <w:color w:val="auto"/>
                <w:highlight w:val="none"/>
                <w:lang w:val="en-US" w:eastAsia="zh-CN"/>
              </w:rPr>
              <w:t>年</w:t>
            </w:r>
            <w:r>
              <w:rPr>
                <w:rFonts w:hint="eastAsia" w:ascii="Times New Roman" w:hAnsi="Times New Roman" w:cs="Times New Roman"/>
                <w:b w:val="0"/>
                <w:bCs w:val="0"/>
                <w:color w:val="auto"/>
                <w:highlight w:val="none"/>
                <w:lang w:val="en-US" w:eastAsia="zh-CN"/>
              </w:rPr>
              <w:t>1</w:t>
            </w:r>
            <w:r>
              <w:rPr>
                <w:rFonts w:hint="default" w:ascii="Times New Roman" w:hAnsi="Times New Roman" w:eastAsia="宋体" w:cs="Times New Roman"/>
                <w:b w:val="0"/>
                <w:bCs w:val="0"/>
                <w:color w:val="auto"/>
                <w:highlight w:val="none"/>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0" w:type="dxa"/>
            <w:vAlign w:val="center"/>
          </w:tcPr>
          <w:p>
            <w:pPr>
              <w:pStyle w:val="20"/>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rPr>
              <w:t>环评审批单位</w:t>
            </w:r>
          </w:p>
        </w:tc>
        <w:tc>
          <w:tcPr>
            <w:tcW w:w="2483" w:type="dxa"/>
            <w:gridSpan w:val="2"/>
            <w:vAlign w:val="center"/>
          </w:tcPr>
          <w:p>
            <w:pPr>
              <w:pStyle w:val="20"/>
              <w:bidi w:val="0"/>
              <w:jc w:val="center"/>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苏州市生态环境局</w:t>
            </w:r>
          </w:p>
        </w:tc>
        <w:tc>
          <w:tcPr>
            <w:tcW w:w="1623" w:type="dxa"/>
            <w:gridSpan w:val="2"/>
            <w:vAlign w:val="center"/>
          </w:tcPr>
          <w:p>
            <w:pPr>
              <w:pStyle w:val="20"/>
              <w:bidi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rPr>
              <w:t>审批</w:t>
            </w:r>
            <w:r>
              <w:rPr>
                <w:rFonts w:hint="default" w:ascii="Times New Roman" w:hAnsi="Times New Roman" w:eastAsia="宋体" w:cs="Times New Roman"/>
                <w:b w:val="0"/>
                <w:bCs w:val="0"/>
                <w:color w:val="auto"/>
                <w:highlight w:val="none"/>
                <w:lang w:eastAsia="zh-CN"/>
              </w:rPr>
              <w:t>文号</w:t>
            </w:r>
            <w:r>
              <w:rPr>
                <w:rFonts w:hint="default" w:ascii="Times New Roman" w:hAnsi="Times New Roman" w:eastAsia="宋体"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rPr>
              <w:t>时间</w:t>
            </w:r>
          </w:p>
        </w:tc>
        <w:tc>
          <w:tcPr>
            <w:tcW w:w="2900" w:type="dxa"/>
            <w:gridSpan w:val="2"/>
            <w:vAlign w:val="center"/>
          </w:tcPr>
          <w:p>
            <w:pPr>
              <w:pStyle w:val="20"/>
              <w:bidi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苏环建</w:t>
            </w:r>
            <w:r>
              <w:rPr>
                <w:rFonts w:hint="default" w:ascii="Times New Roman" w:hAnsi="Times New Roman" w:eastAsia="宋体" w:cs="Times New Roman"/>
                <w:b w:val="0"/>
                <w:bCs w:val="0"/>
                <w:color w:val="auto"/>
                <w:sz w:val="21"/>
                <w:szCs w:val="21"/>
                <w:lang w:val="en-US" w:eastAsia="zh-CN"/>
              </w:rPr>
              <w:t>〔20</w:t>
            </w:r>
            <w:r>
              <w:rPr>
                <w:rFonts w:hint="default" w:ascii="Times New Roman" w:hAnsi="Times New Roman" w:cs="Times New Roman"/>
                <w:b w:val="0"/>
                <w:bCs w:val="0"/>
                <w:color w:val="auto"/>
                <w:sz w:val="21"/>
                <w:szCs w:val="21"/>
                <w:lang w:val="en-US" w:eastAsia="zh-CN"/>
              </w:rPr>
              <w:t>22</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cs="Times New Roman"/>
                <w:b w:val="0"/>
                <w:bCs w:val="0"/>
                <w:color w:val="auto"/>
                <w:highlight w:val="none"/>
                <w:lang w:val="en-US" w:eastAsia="zh-CN"/>
              </w:rPr>
              <w:t>82第</w:t>
            </w:r>
            <w:r>
              <w:rPr>
                <w:rFonts w:hint="eastAsia" w:ascii="Times New Roman" w:hAnsi="Times New Roman" w:cs="Times New Roman"/>
                <w:b w:val="0"/>
                <w:bCs w:val="0"/>
                <w:color w:val="auto"/>
                <w:highlight w:val="none"/>
                <w:lang w:val="en-US" w:eastAsia="zh-CN"/>
              </w:rPr>
              <w:t>0098</w:t>
            </w:r>
            <w:r>
              <w:rPr>
                <w:rFonts w:hint="default" w:ascii="Times New Roman" w:hAnsi="Times New Roman" w:eastAsia="宋体" w:cs="Times New Roman"/>
                <w:b w:val="0"/>
                <w:bCs w:val="0"/>
                <w:color w:val="auto"/>
                <w:highlight w:val="none"/>
                <w:lang w:val="en-US" w:eastAsia="zh-CN"/>
              </w:rPr>
              <w:t>号/</w:t>
            </w:r>
          </w:p>
          <w:p>
            <w:pPr>
              <w:pStyle w:val="20"/>
              <w:bidi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2022年</w:t>
            </w:r>
            <w:r>
              <w:rPr>
                <w:rFonts w:hint="eastAsia" w:ascii="Times New Roman" w:hAnsi="Times New Roman" w:cs="Times New Roman"/>
                <w:b w:val="0"/>
                <w:bCs w:val="0"/>
                <w:color w:val="auto"/>
                <w:highlight w:val="none"/>
                <w:lang w:val="en-US" w:eastAsia="zh-CN"/>
              </w:rPr>
              <w:t>6</w:t>
            </w:r>
            <w:r>
              <w:rPr>
                <w:rFonts w:hint="default" w:ascii="Times New Roman" w:hAnsi="Times New Roman" w:cs="Times New Roman"/>
                <w:b w:val="0"/>
                <w:bCs w:val="0"/>
                <w:color w:val="auto"/>
                <w:highlight w:val="none"/>
                <w:lang w:val="en-US" w:eastAsia="zh-CN"/>
              </w:rPr>
              <w:t>月</w:t>
            </w:r>
            <w:r>
              <w:rPr>
                <w:rFonts w:hint="eastAsia" w:ascii="Times New Roman" w:hAnsi="Times New Roman" w:cs="Times New Roman"/>
                <w:b w:val="0"/>
                <w:bCs w:val="0"/>
                <w:color w:val="auto"/>
                <w:highlight w:val="none"/>
                <w:lang w:val="en-US" w:eastAsia="zh-CN"/>
              </w:rPr>
              <w:t>20</w:t>
            </w:r>
            <w:r>
              <w:rPr>
                <w:rFonts w:hint="default" w:ascii="Times New Roman" w:hAnsi="Times New Roman" w:cs="Times New Roman"/>
                <w:b w:val="0"/>
                <w:bCs w:val="0"/>
                <w:color w:val="auto"/>
                <w:highlight w:val="no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0" w:type="dxa"/>
            <w:vAlign w:val="center"/>
          </w:tcPr>
          <w:p>
            <w:pPr>
              <w:pStyle w:val="20"/>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rPr>
              <w:t>开工时间</w:t>
            </w:r>
          </w:p>
        </w:tc>
        <w:tc>
          <w:tcPr>
            <w:tcW w:w="2483" w:type="dxa"/>
            <w:gridSpan w:val="2"/>
            <w:vAlign w:val="center"/>
          </w:tcPr>
          <w:p>
            <w:pPr>
              <w:pStyle w:val="20"/>
              <w:bidi w:val="0"/>
              <w:rPr>
                <w:rFonts w:hint="default" w:ascii="Times New Roman" w:hAnsi="Times New Roman" w:eastAsia="宋体" w:cs="Times New Roman"/>
                <w:b w:val="0"/>
                <w:bCs w:val="0"/>
                <w:color w:val="auto"/>
                <w:highlight w:val="yellow"/>
              </w:rPr>
            </w:pPr>
            <w:r>
              <w:rPr>
                <w:rFonts w:hint="default" w:ascii="Times New Roman" w:hAnsi="Times New Roman" w:eastAsia="宋体" w:cs="Times New Roman"/>
                <w:b w:val="0"/>
                <w:bCs w:val="0"/>
                <w:color w:val="auto"/>
                <w:highlight w:val="none"/>
                <w:lang w:val="en-US" w:eastAsia="zh-CN"/>
              </w:rPr>
              <w:t>202</w:t>
            </w:r>
            <w:r>
              <w:rPr>
                <w:rFonts w:hint="default" w:ascii="Times New Roman" w:hAnsi="Times New Roman" w:cs="Times New Roman"/>
                <w:b w:val="0"/>
                <w:bCs w:val="0"/>
                <w:color w:val="auto"/>
                <w:highlight w:val="none"/>
                <w:lang w:val="en-US" w:eastAsia="zh-CN"/>
              </w:rPr>
              <w:t>2</w:t>
            </w:r>
            <w:r>
              <w:rPr>
                <w:rFonts w:hint="default" w:ascii="Times New Roman" w:hAnsi="Times New Roman" w:eastAsia="宋体" w:cs="Times New Roman"/>
                <w:b w:val="0"/>
                <w:bCs w:val="0"/>
                <w:color w:val="auto"/>
                <w:highlight w:val="none"/>
                <w:lang w:val="en-US" w:eastAsia="zh-CN"/>
              </w:rPr>
              <w:t>年</w:t>
            </w:r>
            <w:r>
              <w:rPr>
                <w:rFonts w:hint="eastAsia" w:ascii="Times New Roman" w:hAnsi="Times New Roman" w:cs="Times New Roman"/>
                <w:b w:val="0"/>
                <w:bCs w:val="0"/>
                <w:color w:val="auto"/>
                <w:highlight w:val="none"/>
                <w:lang w:val="en-US" w:eastAsia="zh-CN"/>
              </w:rPr>
              <w:t>6</w:t>
            </w:r>
            <w:r>
              <w:rPr>
                <w:rFonts w:hint="default" w:ascii="Times New Roman" w:hAnsi="Times New Roman" w:eastAsia="宋体" w:cs="Times New Roman"/>
                <w:b w:val="0"/>
                <w:bCs w:val="0"/>
                <w:color w:val="auto"/>
                <w:highlight w:val="none"/>
                <w:lang w:val="en-US" w:eastAsia="zh-CN"/>
              </w:rPr>
              <w:t>月</w:t>
            </w:r>
          </w:p>
        </w:tc>
        <w:tc>
          <w:tcPr>
            <w:tcW w:w="1623" w:type="dxa"/>
            <w:gridSpan w:val="2"/>
            <w:vAlign w:val="center"/>
          </w:tcPr>
          <w:p>
            <w:pPr>
              <w:pStyle w:val="20"/>
              <w:bidi w:val="0"/>
              <w:rPr>
                <w:rFonts w:hint="default" w:ascii="Times New Roman" w:hAnsi="Times New Roman" w:eastAsia="宋体" w:cs="Times New Roman"/>
                <w:b w:val="0"/>
                <w:bCs w:val="0"/>
                <w:color w:val="auto"/>
                <w:highlight w:val="yellow"/>
                <w:lang w:val="en-US" w:eastAsia="zh-CN"/>
              </w:rPr>
            </w:pPr>
            <w:r>
              <w:rPr>
                <w:rFonts w:hint="default" w:ascii="Times New Roman" w:hAnsi="Times New Roman" w:eastAsia="宋体" w:cs="Times New Roman"/>
                <w:b w:val="0"/>
                <w:bCs w:val="0"/>
                <w:color w:val="auto"/>
                <w:highlight w:val="none"/>
                <w:lang w:val="en-US" w:eastAsia="zh-CN"/>
              </w:rPr>
              <w:t>建成生产时间</w:t>
            </w:r>
          </w:p>
        </w:tc>
        <w:tc>
          <w:tcPr>
            <w:tcW w:w="2900" w:type="dxa"/>
            <w:gridSpan w:val="2"/>
            <w:vAlign w:val="center"/>
          </w:tcPr>
          <w:p>
            <w:pPr>
              <w:pStyle w:val="20"/>
              <w:bidi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202</w:t>
            </w:r>
            <w:r>
              <w:rPr>
                <w:rFonts w:hint="eastAsia" w:ascii="Times New Roman" w:hAnsi="Times New Roman" w:cs="Times New Roman"/>
                <w:b w:val="0"/>
                <w:bCs w:val="0"/>
                <w:color w:val="auto"/>
                <w:highlight w:val="none"/>
                <w:lang w:val="en-US" w:eastAsia="zh-CN"/>
              </w:rPr>
              <w:t>3</w:t>
            </w:r>
            <w:r>
              <w:rPr>
                <w:rFonts w:hint="default" w:ascii="Times New Roman" w:hAnsi="Times New Roman" w:eastAsia="宋体" w:cs="Times New Roman"/>
                <w:b w:val="0"/>
                <w:bCs w:val="0"/>
                <w:color w:val="auto"/>
                <w:highlight w:val="none"/>
                <w:lang w:val="en-US" w:eastAsia="zh-CN"/>
              </w:rPr>
              <w:t>年</w:t>
            </w:r>
            <w:r>
              <w:rPr>
                <w:rFonts w:hint="eastAsia" w:ascii="Times New Roman" w:hAnsi="Times New Roman" w:cs="Times New Roman"/>
                <w:b w:val="0"/>
                <w:bCs w:val="0"/>
                <w:color w:val="auto"/>
                <w:highlight w:val="none"/>
                <w:lang w:val="en-US" w:eastAsia="zh-CN"/>
              </w:rPr>
              <w:t>2</w:t>
            </w:r>
            <w:r>
              <w:rPr>
                <w:rFonts w:hint="default" w:ascii="Times New Roman" w:hAnsi="Times New Roman" w:eastAsia="宋体" w:cs="Times New Roman"/>
                <w:b w:val="0"/>
                <w:bCs w:val="0"/>
                <w:color w:val="auto"/>
                <w:highlight w:val="none"/>
                <w:lang w:val="en-US" w:eastAsia="zh-CN"/>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960" w:type="dxa"/>
            <w:vAlign w:val="center"/>
          </w:tcPr>
          <w:p>
            <w:pPr>
              <w:pStyle w:val="20"/>
              <w:bidi w:val="0"/>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排污许可证有效期</w:t>
            </w:r>
          </w:p>
        </w:tc>
        <w:tc>
          <w:tcPr>
            <w:tcW w:w="7006" w:type="dxa"/>
            <w:gridSpan w:val="6"/>
            <w:vAlign w:val="center"/>
          </w:tcPr>
          <w:p>
            <w:pPr>
              <w:pStyle w:val="20"/>
              <w:bidi w:val="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sz w:val="21"/>
                <w:szCs w:val="21"/>
                <w:lang w:val="en-US" w:eastAsia="zh-CN"/>
              </w:rPr>
              <w:t>91320582746242612B001W，</w:t>
            </w:r>
            <w:r>
              <w:rPr>
                <w:rFonts w:hint="default" w:ascii="Times New Roman" w:hAnsi="Times New Roman" w:eastAsia="宋体" w:cs="Times New Roman"/>
                <w:b w:val="0"/>
                <w:bCs w:val="0"/>
                <w:color w:val="auto"/>
                <w:highlight w:val="none"/>
                <w:lang w:val="en-US" w:eastAsia="zh-CN"/>
              </w:rPr>
              <w:t>202</w:t>
            </w:r>
            <w:r>
              <w:rPr>
                <w:rFonts w:hint="eastAsia" w:ascii="Times New Roman" w:hAnsi="Times New Roman" w:cs="Times New Roman"/>
                <w:b w:val="0"/>
                <w:bCs w:val="0"/>
                <w:color w:val="auto"/>
                <w:highlight w:val="none"/>
                <w:lang w:val="en-US" w:eastAsia="zh-CN"/>
              </w:rPr>
              <w:t>3</w:t>
            </w:r>
            <w:r>
              <w:rPr>
                <w:rFonts w:hint="default" w:ascii="Times New Roman" w:hAnsi="Times New Roman" w:eastAsia="宋体" w:cs="Times New Roman"/>
                <w:b w:val="0"/>
                <w:bCs w:val="0"/>
                <w:color w:val="auto"/>
                <w:highlight w:val="none"/>
                <w:lang w:val="en-US" w:eastAsia="zh-CN"/>
              </w:rPr>
              <w:t>年</w:t>
            </w:r>
            <w:r>
              <w:rPr>
                <w:rFonts w:hint="default" w:ascii="Times New Roman" w:hAnsi="Times New Roman" w:cs="Times New Roman"/>
                <w:b w:val="0"/>
                <w:bCs w:val="0"/>
                <w:color w:val="auto"/>
                <w:highlight w:val="none"/>
                <w:lang w:val="en-US" w:eastAsia="zh-CN"/>
              </w:rPr>
              <w:t>1</w:t>
            </w:r>
            <w:r>
              <w:rPr>
                <w:rFonts w:hint="default" w:ascii="Times New Roman" w:hAnsi="Times New Roman" w:eastAsia="宋体" w:cs="Times New Roman"/>
                <w:b w:val="0"/>
                <w:bCs w:val="0"/>
                <w:color w:val="auto"/>
                <w:highlight w:val="none"/>
                <w:lang w:val="en-US" w:eastAsia="zh-CN"/>
              </w:rPr>
              <w:t>月</w:t>
            </w:r>
            <w:r>
              <w:rPr>
                <w:rFonts w:hint="eastAsia" w:ascii="Times New Roman" w:hAnsi="Times New Roman" w:cs="Times New Roman"/>
                <w:b w:val="0"/>
                <w:bCs w:val="0"/>
                <w:color w:val="auto"/>
                <w:highlight w:val="none"/>
                <w:lang w:val="en-US" w:eastAsia="zh-CN"/>
              </w:rPr>
              <w:t>15</w:t>
            </w:r>
            <w:r>
              <w:rPr>
                <w:rFonts w:hint="default" w:ascii="Times New Roman" w:hAnsi="Times New Roman" w:eastAsia="宋体" w:cs="Times New Roman"/>
                <w:b w:val="0"/>
                <w:bCs w:val="0"/>
                <w:color w:val="auto"/>
                <w:highlight w:val="none"/>
                <w:lang w:val="en-US" w:eastAsia="zh-CN"/>
              </w:rPr>
              <w:t>日至202</w:t>
            </w:r>
            <w:r>
              <w:rPr>
                <w:rFonts w:hint="eastAsia" w:ascii="Times New Roman" w:hAnsi="Times New Roman" w:cs="Times New Roman"/>
                <w:b w:val="0"/>
                <w:bCs w:val="0"/>
                <w:color w:val="auto"/>
                <w:highlight w:val="none"/>
                <w:lang w:val="en-US" w:eastAsia="zh-CN"/>
              </w:rPr>
              <w:t>8</w:t>
            </w:r>
            <w:r>
              <w:rPr>
                <w:rFonts w:hint="default" w:ascii="Times New Roman" w:hAnsi="Times New Roman" w:eastAsia="宋体" w:cs="Times New Roman"/>
                <w:b w:val="0"/>
                <w:bCs w:val="0"/>
                <w:color w:val="auto"/>
                <w:highlight w:val="none"/>
                <w:lang w:val="en-US" w:eastAsia="zh-CN"/>
              </w:rPr>
              <w:t>年</w:t>
            </w:r>
            <w:r>
              <w:rPr>
                <w:rFonts w:hint="default" w:ascii="Times New Roman" w:hAnsi="Times New Roman" w:cs="Times New Roman"/>
                <w:b w:val="0"/>
                <w:bCs w:val="0"/>
                <w:color w:val="auto"/>
                <w:highlight w:val="none"/>
                <w:lang w:val="en-US" w:eastAsia="zh-CN"/>
              </w:rPr>
              <w:t>1</w:t>
            </w:r>
            <w:r>
              <w:rPr>
                <w:rFonts w:hint="default" w:ascii="Times New Roman" w:hAnsi="Times New Roman" w:eastAsia="宋体" w:cs="Times New Roman"/>
                <w:b w:val="0"/>
                <w:bCs w:val="0"/>
                <w:color w:val="auto"/>
                <w:highlight w:val="none"/>
                <w:lang w:val="en-US" w:eastAsia="zh-CN"/>
              </w:rPr>
              <w:t>月</w:t>
            </w:r>
            <w:r>
              <w:rPr>
                <w:rFonts w:hint="eastAsia" w:ascii="Times New Roman" w:hAnsi="Times New Roman" w:cs="Times New Roman"/>
                <w:b w:val="0"/>
                <w:bCs w:val="0"/>
                <w:color w:val="auto"/>
                <w:highlight w:val="none"/>
                <w:lang w:val="en-US" w:eastAsia="zh-CN"/>
              </w:rPr>
              <w:t>14</w:t>
            </w:r>
            <w:r>
              <w:rPr>
                <w:rFonts w:hint="default" w:ascii="Times New Roman" w:hAnsi="Times New Roman" w:eastAsia="宋体" w:cs="Times New Roman"/>
                <w:b w:val="0"/>
                <w:bCs w:val="0"/>
                <w:color w:val="auto"/>
                <w:highlight w:val="no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0" w:type="dxa"/>
            <w:vAlign w:val="center"/>
          </w:tcPr>
          <w:p>
            <w:pPr>
              <w:pStyle w:val="20"/>
              <w:bidi w:val="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验收监测时间</w:t>
            </w:r>
          </w:p>
        </w:tc>
        <w:tc>
          <w:tcPr>
            <w:tcW w:w="7006" w:type="dxa"/>
            <w:gridSpan w:val="6"/>
            <w:vAlign w:val="center"/>
          </w:tcPr>
          <w:p>
            <w:pPr>
              <w:pStyle w:val="20"/>
              <w:bidi w:val="0"/>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202</w:t>
            </w:r>
            <w:r>
              <w:rPr>
                <w:rFonts w:hint="eastAsia" w:ascii="Times New Roman" w:hAnsi="Times New Roman"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lang w:val="en-US" w:eastAsia="zh-CN"/>
              </w:rPr>
              <w:t>年</w:t>
            </w:r>
            <w:r>
              <w:rPr>
                <w:rFonts w:hint="eastAsia" w:ascii="Times New Roman" w:hAnsi="Times New Roman" w:cs="Times New Roman"/>
                <w:b w:val="0"/>
                <w:bCs w:val="0"/>
                <w:color w:val="auto"/>
                <w:sz w:val="21"/>
                <w:szCs w:val="21"/>
                <w:lang w:val="en-US" w:eastAsia="zh-CN"/>
              </w:rPr>
              <w:t>5</w:t>
            </w:r>
            <w:r>
              <w:rPr>
                <w:rFonts w:hint="default" w:ascii="Times New Roman" w:hAnsi="Times New Roman" w:eastAsia="宋体" w:cs="Times New Roman"/>
                <w:b w:val="0"/>
                <w:bCs w:val="0"/>
                <w:color w:val="auto"/>
                <w:sz w:val="21"/>
                <w:szCs w:val="21"/>
                <w:lang w:val="en-US" w:eastAsia="zh-CN"/>
              </w:rPr>
              <w:t>月</w:t>
            </w:r>
            <w:r>
              <w:rPr>
                <w:rFonts w:hint="eastAsia" w:ascii="Times New Roman" w:hAnsi="Times New Roman" w:cs="Times New Roman"/>
                <w:b w:val="0"/>
                <w:bCs w:val="0"/>
                <w:color w:val="auto"/>
                <w:sz w:val="21"/>
                <w:szCs w:val="21"/>
                <w:lang w:val="en-US" w:eastAsia="zh-CN"/>
              </w:rPr>
              <w:t>8</w:t>
            </w:r>
            <w:r>
              <w:rPr>
                <w:rFonts w:hint="default" w:ascii="Times New Roman" w:hAnsi="Times New Roman" w:eastAsia="宋体" w:cs="Times New Roman"/>
                <w:b w:val="0"/>
                <w:bCs w:val="0"/>
                <w:color w:val="auto"/>
                <w:sz w:val="21"/>
                <w:szCs w:val="21"/>
                <w:lang w:val="en-US" w:eastAsia="zh-CN"/>
              </w:rPr>
              <w:t>日、</w:t>
            </w:r>
            <w:r>
              <w:rPr>
                <w:rFonts w:hint="eastAsia" w:ascii="Times New Roman" w:hAnsi="Times New Roman" w:cs="Times New Roman"/>
                <w:b w:val="0"/>
                <w:bCs w:val="0"/>
                <w:color w:val="auto"/>
                <w:sz w:val="21"/>
                <w:szCs w:val="21"/>
                <w:lang w:val="en-US" w:eastAsia="zh-CN"/>
              </w:rPr>
              <w:t>9</w:t>
            </w:r>
            <w:r>
              <w:rPr>
                <w:rFonts w:hint="default" w:ascii="Times New Roman" w:hAnsi="Times New Roman" w:eastAsia="宋体" w:cs="Times New Roman"/>
                <w:b w:val="0"/>
                <w:bCs w:val="0"/>
                <w:color w:val="auto"/>
                <w:sz w:val="21"/>
                <w:szCs w:val="21"/>
                <w:lang w:val="en-US" w:eastAsia="zh-CN"/>
              </w:rPr>
              <w:t>日</w:t>
            </w:r>
            <w:r>
              <w:rPr>
                <w:rFonts w:hint="eastAsia" w:ascii="Times New Roman" w:hAnsi="Times New Roman" w:cs="Times New Roman"/>
                <w:b w:val="0"/>
                <w:bCs w:val="0"/>
                <w:color w:val="auto"/>
                <w:sz w:val="21"/>
                <w:szCs w:val="21"/>
                <w:lang w:val="en-US" w:eastAsia="zh-CN"/>
              </w:rPr>
              <w:t>、16日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0" w:type="dxa"/>
            <w:tcBorders>
              <w:bottom w:val="single" w:color="auto" w:sz="4" w:space="0"/>
            </w:tcBorders>
            <w:vAlign w:val="center"/>
          </w:tcPr>
          <w:p>
            <w:pPr>
              <w:pStyle w:val="20"/>
              <w:bidi w:val="0"/>
              <w:rPr>
                <w:rFonts w:hint="default" w:ascii="Times New Roman" w:hAnsi="Times New Roman" w:eastAsia="宋体" w:cs="Times New Roman"/>
                <w:b w:val="0"/>
                <w:bCs w:val="0"/>
                <w:color w:val="auto"/>
                <w:lang w:eastAsia="zh-CN"/>
              </w:rPr>
            </w:pPr>
            <w:r>
              <w:rPr>
                <w:rFonts w:hint="default" w:ascii="Times New Roman" w:hAnsi="Times New Roman" w:cs="Times New Roman"/>
                <w:b w:val="0"/>
                <w:bCs w:val="0"/>
                <w:color w:val="auto"/>
                <w:lang w:val="en-US" w:eastAsia="zh-CN"/>
              </w:rPr>
              <w:t>实际</w:t>
            </w:r>
            <w:r>
              <w:rPr>
                <w:rFonts w:hint="default" w:ascii="Times New Roman" w:hAnsi="Times New Roman" w:eastAsia="宋体" w:cs="Times New Roman"/>
                <w:b w:val="0"/>
                <w:bCs w:val="0"/>
                <w:color w:val="auto"/>
              </w:rPr>
              <w:t>投资</w:t>
            </w:r>
            <w:r>
              <w:rPr>
                <w:rFonts w:hint="default" w:ascii="Times New Roman" w:hAnsi="Times New Roman" w:cs="Times New Roman"/>
                <w:b w:val="0"/>
                <w:bCs w:val="0"/>
                <w:color w:val="auto"/>
                <w:lang w:eastAsia="zh-CN"/>
              </w:rPr>
              <w:t>（</w:t>
            </w:r>
            <w:r>
              <w:rPr>
                <w:rFonts w:hint="default" w:ascii="Times New Roman" w:hAnsi="Times New Roman" w:eastAsia="宋体" w:cs="Times New Roman"/>
                <w:b w:val="0"/>
                <w:bCs w:val="0"/>
                <w:color w:val="auto"/>
                <w:lang w:val="en-US" w:eastAsia="zh-CN"/>
              </w:rPr>
              <w:t>万元</w:t>
            </w:r>
            <w:r>
              <w:rPr>
                <w:rFonts w:hint="default" w:ascii="Times New Roman" w:hAnsi="Times New Roman" w:cs="Times New Roman"/>
                <w:b w:val="0"/>
                <w:bCs w:val="0"/>
                <w:color w:val="auto"/>
                <w:lang w:eastAsia="zh-CN"/>
              </w:rPr>
              <w:t>）</w:t>
            </w:r>
          </w:p>
        </w:tc>
        <w:tc>
          <w:tcPr>
            <w:tcW w:w="1373" w:type="dxa"/>
            <w:vAlign w:val="center"/>
          </w:tcPr>
          <w:p>
            <w:pPr>
              <w:pStyle w:val="20"/>
              <w:bidi w:val="0"/>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2097</w:t>
            </w:r>
          </w:p>
        </w:tc>
        <w:tc>
          <w:tcPr>
            <w:tcW w:w="1530" w:type="dxa"/>
            <w:gridSpan w:val="2"/>
            <w:vAlign w:val="center"/>
          </w:tcPr>
          <w:p>
            <w:pPr>
              <w:pStyle w:val="20"/>
              <w:bidi w:val="0"/>
              <w:rPr>
                <w:rFonts w:hint="default" w:ascii="Times New Roman" w:hAnsi="Times New Roman" w:eastAsia="宋体" w:cs="Times New Roman"/>
                <w:b w:val="0"/>
                <w:bCs w:val="0"/>
                <w:color w:val="auto"/>
                <w:lang w:eastAsia="zh-CN"/>
              </w:rPr>
            </w:pPr>
            <w:r>
              <w:rPr>
                <w:rFonts w:hint="default" w:ascii="Times New Roman" w:hAnsi="Times New Roman" w:cs="Times New Roman"/>
                <w:b w:val="0"/>
                <w:bCs w:val="0"/>
                <w:color w:val="auto"/>
                <w:lang w:val="en-US" w:eastAsia="zh-CN"/>
              </w:rPr>
              <w:t>其中：</w:t>
            </w:r>
            <w:r>
              <w:rPr>
                <w:rFonts w:hint="default" w:ascii="Times New Roman" w:hAnsi="Times New Roman" w:eastAsia="宋体" w:cs="Times New Roman"/>
                <w:b w:val="0"/>
                <w:bCs w:val="0"/>
                <w:color w:val="auto"/>
              </w:rPr>
              <w:t>环保投资</w:t>
            </w:r>
            <w:r>
              <w:rPr>
                <w:rFonts w:hint="default" w:ascii="Times New Roman" w:hAnsi="Times New Roman" w:cs="Times New Roman"/>
                <w:b w:val="0"/>
                <w:bCs w:val="0"/>
                <w:color w:val="auto"/>
                <w:lang w:eastAsia="zh-CN"/>
              </w:rPr>
              <w:t>（</w:t>
            </w:r>
            <w:r>
              <w:rPr>
                <w:rFonts w:hint="default" w:ascii="Times New Roman" w:hAnsi="Times New Roman" w:eastAsia="宋体" w:cs="Times New Roman"/>
                <w:b w:val="0"/>
                <w:bCs w:val="0"/>
                <w:color w:val="auto"/>
                <w:lang w:val="en-US" w:eastAsia="zh-CN"/>
              </w:rPr>
              <w:t>万元</w:t>
            </w:r>
            <w:r>
              <w:rPr>
                <w:rFonts w:hint="default" w:ascii="Times New Roman" w:hAnsi="Times New Roman" w:cs="Times New Roman"/>
                <w:b w:val="0"/>
                <w:bCs w:val="0"/>
                <w:color w:val="auto"/>
                <w:lang w:eastAsia="zh-CN"/>
              </w:rPr>
              <w:t>）</w:t>
            </w:r>
          </w:p>
        </w:tc>
        <w:tc>
          <w:tcPr>
            <w:tcW w:w="1203" w:type="dxa"/>
            <w:vAlign w:val="center"/>
          </w:tcPr>
          <w:p>
            <w:pPr>
              <w:pStyle w:val="20"/>
              <w:bidi w:val="0"/>
              <w:rPr>
                <w:rFonts w:hint="default" w:ascii="Times New Roman" w:hAnsi="Times New Roman" w:eastAsia="宋体" w:cs="Times New Roman"/>
                <w:b w:val="0"/>
                <w:bCs w:val="0"/>
                <w:color w:val="auto"/>
                <w:lang w:val="en-US" w:eastAsia="zh-CN"/>
              </w:rPr>
            </w:pPr>
            <w:r>
              <w:rPr>
                <w:rFonts w:hint="eastAsia" w:ascii="Times New Roman" w:hAnsi="Times New Roman" w:cs="Times New Roman"/>
                <w:b w:val="0"/>
                <w:bCs w:val="0"/>
                <w:color w:val="auto"/>
                <w:lang w:val="en-US" w:eastAsia="zh-CN"/>
              </w:rPr>
              <w:t>297</w:t>
            </w:r>
          </w:p>
        </w:tc>
        <w:tc>
          <w:tcPr>
            <w:tcW w:w="1740" w:type="dxa"/>
            <w:vAlign w:val="center"/>
          </w:tcPr>
          <w:p>
            <w:pPr>
              <w:pStyle w:val="20"/>
              <w:bidi w:val="0"/>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eastAsia="zh-CN"/>
              </w:rPr>
              <w:t>环保投资占</w:t>
            </w:r>
            <w:r>
              <w:rPr>
                <w:rFonts w:hint="default" w:ascii="Times New Roman" w:hAnsi="Times New Roman" w:cs="Times New Roman"/>
                <w:b w:val="0"/>
                <w:bCs w:val="0"/>
                <w:color w:val="auto"/>
                <w:lang w:val="en-US" w:eastAsia="zh-CN"/>
              </w:rPr>
              <w:t>总投资比例</w:t>
            </w:r>
          </w:p>
        </w:tc>
        <w:tc>
          <w:tcPr>
            <w:tcW w:w="1160" w:type="dxa"/>
            <w:vAlign w:val="center"/>
          </w:tcPr>
          <w:p>
            <w:pPr>
              <w:pStyle w:val="20"/>
              <w:bidi w:val="0"/>
              <w:rPr>
                <w:rFonts w:hint="default" w:ascii="Times New Roman" w:hAnsi="Times New Roman" w:eastAsia="宋体" w:cs="Times New Roman"/>
                <w:b w:val="0"/>
                <w:bCs w:val="0"/>
                <w:color w:val="auto"/>
                <w:highlight w:val="none"/>
                <w:lang w:val="en-US" w:eastAsia="zh-CN"/>
              </w:rPr>
            </w:pPr>
            <w:r>
              <w:rPr>
                <w:rFonts w:hint="eastAsia" w:ascii="Times New Roman" w:hAnsi="Times New Roman" w:cs="Times New Roman"/>
                <w:b w:val="0"/>
                <w:bCs w:val="0"/>
                <w:color w:val="auto"/>
                <w:highlight w:val="none"/>
                <w:lang w:val="en-US" w:eastAsia="zh-CN"/>
              </w:rPr>
              <w:t>14.2</w:t>
            </w:r>
            <w:r>
              <w:rPr>
                <w:rFonts w:hint="default" w:ascii="Times New Roman" w:hAnsi="Times New Roman" w:eastAsia="宋体" w:cs="Times New Roman"/>
                <w:b w:val="0"/>
                <w:bCs w:val="0"/>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60" w:type="dxa"/>
            <w:tcBorders>
              <w:top w:val="single" w:color="auto" w:sz="4" w:space="0"/>
              <w:left w:val="single" w:color="auto" w:sz="4" w:space="0"/>
              <w:bottom w:val="single" w:color="auto" w:sz="4" w:space="0"/>
              <w:right w:val="single" w:color="auto" w:sz="4" w:space="0"/>
            </w:tcBorders>
            <w:vAlign w:val="center"/>
          </w:tcPr>
          <w:p>
            <w:pPr>
              <w:pStyle w:val="20"/>
              <w:bidi w:val="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验收监测依据</w:t>
            </w:r>
          </w:p>
        </w:tc>
        <w:tc>
          <w:tcPr>
            <w:tcW w:w="7006" w:type="dxa"/>
            <w:gridSpan w:val="6"/>
            <w:tcBorders>
              <w:left w:val="single" w:color="auto" w:sz="4" w:space="0"/>
            </w:tcBorders>
            <w:vAlign w:val="center"/>
          </w:tcPr>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《中华人民共和国环境保护法》（2015.1.1实施）；</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lang w:eastAsia="zh-CN"/>
              </w:rPr>
            </w:pPr>
            <w:r>
              <w:rPr>
                <w:rFonts w:hint="default" w:ascii="Times New Roman" w:hAnsi="Times New Roman" w:cs="Times New Roman"/>
                <w:color w:val="auto"/>
              </w:rPr>
              <w:t>《中华人民共和国水污染防治法》（2017</w:t>
            </w:r>
            <w:r>
              <w:rPr>
                <w:rFonts w:hint="default" w:ascii="Times New Roman" w:hAnsi="Times New Roman" w:cs="Times New Roman"/>
                <w:color w:val="auto"/>
                <w:lang w:val="en-US" w:eastAsia="zh-CN"/>
              </w:rPr>
              <w:t>.</w:t>
            </w:r>
            <w:r>
              <w:rPr>
                <w:rFonts w:hint="default" w:ascii="Times New Roman" w:hAnsi="Times New Roman" w:cs="Times New Roman"/>
                <w:color w:val="auto"/>
              </w:rPr>
              <w:t>6</w:t>
            </w:r>
            <w:r>
              <w:rPr>
                <w:rFonts w:hint="default" w:ascii="Times New Roman" w:hAnsi="Times New Roman" w:cs="Times New Roman"/>
                <w:color w:val="auto"/>
                <w:lang w:val="en-US" w:eastAsia="zh-CN"/>
              </w:rPr>
              <w:t>.</w:t>
            </w:r>
            <w:r>
              <w:rPr>
                <w:rFonts w:hint="default" w:ascii="Times New Roman" w:hAnsi="Times New Roman" w:cs="Times New Roman"/>
                <w:color w:val="auto"/>
              </w:rPr>
              <w:t>27第二次修订）</w:t>
            </w:r>
            <w:r>
              <w:rPr>
                <w:rFonts w:hint="default" w:ascii="Times New Roman" w:hAnsi="Times New Roman" w:cs="Times New Roman"/>
                <w:color w:val="auto"/>
                <w:lang w:eastAsia="zh-CN"/>
              </w:rPr>
              <w:t>；</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rPr>
            </w:pPr>
            <w:r>
              <w:rPr>
                <w:rFonts w:hint="default" w:ascii="Times New Roman" w:hAnsi="Times New Roman" w:cs="Times New Roman"/>
                <w:color w:val="auto"/>
                <w:lang w:eastAsia="zh-CN"/>
              </w:rPr>
              <w:t>《中华人民共和国大气污染防治法》（中华人民共和国主席令第三十一号），自2016年1月1日起施行；</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《中华人民共和国噪声污染防治法》（中华人民共和国主席令第一O四号），自2022年6月5日起施行；</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rPr>
              <w:t>中华人民共和国固体废物污染环境防治法</w:t>
            </w:r>
            <w:r>
              <w:rPr>
                <w:rFonts w:hint="default" w:ascii="Times New Roman" w:hAnsi="Times New Roman" w:cs="Times New Roman"/>
                <w:color w:val="auto"/>
                <w:lang w:eastAsia="zh-CN"/>
              </w:rPr>
              <w:t>》</w:t>
            </w:r>
            <w:r>
              <w:rPr>
                <w:rFonts w:hint="default" w:ascii="Times New Roman" w:hAnsi="Times New Roman" w:cs="Times New Roman"/>
                <w:color w:val="auto"/>
              </w:rPr>
              <w:t>（中华人民共和国主席令第四十三号）</w:t>
            </w:r>
            <w:r>
              <w:rPr>
                <w:rFonts w:hint="default" w:ascii="Times New Roman" w:hAnsi="Times New Roman" w:cs="Times New Roman"/>
                <w:color w:val="auto"/>
                <w:lang w:eastAsia="zh-CN"/>
              </w:rPr>
              <w:t>，</w:t>
            </w:r>
            <w:r>
              <w:rPr>
                <w:rFonts w:hint="default" w:ascii="Times New Roman" w:hAnsi="Times New Roman" w:cs="Times New Roman"/>
                <w:color w:val="auto"/>
              </w:rPr>
              <w:t>2020年4月29日</w:t>
            </w:r>
            <w:r>
              <w:rPr>
                <w:rFonts w:hint="default" w:ascii="Times New Roman" w:hAnsi="Times New Roman" w:cs="Times New Roman"/>
                <w:color w:val="auto"/>
                <w:lang w:eastAsia="zh-CN"/>
              </w:rPr>
              <w:t>；</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rPr>
            </w:pPr>
            <w:r>
              <w:rPr>
                <w:rFonts w:hint="default" w:ascii="Times New Roman" w:hAnsi="Times New Roman" w:cs="Times New Roman"/>
                <w:color w:val="auto"/>
              </w:rPr>
              <w:t>《建设项目环境保护管理条例》（中华人民共和国国务院令第682号，2017年7月16日）；</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《排污许可管理条例》（中华人民共和国国务院令第736号，2021年3月1日施行）；</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rPr>
            </w:pPr>
            <w:r>
              <w:rPr>
                <w:rFonts w:hint="default" w:ascii="Times New Roman" w:hAnsi="Times New Roman" w:cs="Times New Roman"/>
                <w:color w:val="auto"/>
              </w:rPr>
              <w:t>《建设项目竣工环境保护验收暂行办法》（环境保护部 国环规环评[2017]4号，2017年1</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月2</w:t>
            </w:r>
            <w:r>
              <w:rPr>
                <w:rFonts w:hint="default" w:ascii="Times New Roman" w:hAnsi="Times New Roman" w:cs="Times New Roman"/>
                <w:color w:val="auto"/>
                <w:lang w:val="en-US" w:eastAsia="zh-CN"/>
              </w:rPr>
              <w:t>0</w:t>
            </w:r>
            <w:r>
              <w:rPr>
                <w:rFonts w:hint="default" w:ascii="Times New Roman" w:hAnsi="Times New Roman" w:cs="Times New Roman"/>
                <w:color w:val="auto"/>
                <w:lang w:eastAsia="zh-CN"/>
              </w:rPr>
              <w:t>日</w:t>
            </w:r>
            <w:r>
              <w:rPr>
                <w:rFonts w:hint="default" w:ascii="Times New Roman" w:hAnsi="Times New Roman" w:cs="Times New Roman"/>
                <w:color w:val="auto"/>
              </w:rPr>
              <w:t>）；</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rPr>
            </w:pPr>
            <w:r>
              <w:rPr>
                <w:rFonts w:hint="default" w:ascii="Times New Roman" w:hAnsi="Times New Roman" w:cs="Times New Roman"/>
                <w:color w:val="auto"/>
              </w:rPr>
              <w:t>《建设项目竣工环境保护验收技术指南 污染影响类 》（生态环境部 公告[2018]第9号，2018年5月16日）；</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《污染影响类建设项目重大变动清单（试行）》（生态环境部 环办环评函[2020]688号）；</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《国家危险废物名录》（2021版）</w:t>
            </w:r>
            <w:r>
              <w:rPr>
                <w:rFonts w:hint="default" w:ascii="Times New Roman" w:hAnsi="Times New Roman" w:cs="Times New Roman"/>
                <w:color w:val="auto"/>
                <w:lang w:val="en-US" w:eastAsia="zh-CN"/>
              </w:rPr>
              <w:t>；</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关于做好《国家危险废物名录》（2021版）实施后危险废物环境管理衔接工作的通知</w:t>
            </w:r>
            <w:r>
              <w:rPr>
                <w:rFonts w:hint="default" w:ascii="Times New Roman" w:hAnsi="Times New Roman" w:cs="Times New Roman"/>
                <w:color w:val="auto"/>
                <w:lang w:val="en-US" w:eastAsia="zh-CN"/>
              </w:rPr>
              <w:t>,（江苏省生态环境厅，</w:t>
            </w:r>
            <w:r>
              <w:rPr>
                <w:rFonts w:hint="default" w:ascii="Times New Roman" w:hAnsi="Times New Roman" w:cs="Times New Roman"/>
                <w:color w:val="auto"/>
                <w:lang w:eastAsia="zh-CN"/>
              </w:rPr>
              <w:t>苏环办</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2021</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22号，</w:t>
            </w:r>
            <w:r>
              <w:rPr>
                <w:rFonts w:hint="default" w:ascii="Times New Roman" w:hAnsi="Times New Roman" w:cs="Times New Roman"/>
                <w:color w:val="auto"/>
              </w:rPr>
              <w:t>20</w:t>
            </w:r>
            <w:r>
              <w:rPr>
                <w:rFonts w:hint="default" w:ascii="Times New Roman" w:hAnsi="Times New Roman" w:cs="Times New Roman"/>
                <w:color w:val="auto"/>
                <w:lang w:val="en-US" w:eastAsia="zh-CN"/>
              </w:rPr>
              <w:t>21</w:t>
            </w:r>
            <w:r>
              <w:rPr>
                <w:rFonts w:hint="default" w:ascii="Times New Roman" w:hAnsi="Times New Roman" w:cs="Times New Roman"/>
                <w:color w:val="auto"/>
              </w:rPr>
              <w:t>年</w:t>
            </w:r>
            <w:r>
              <w:rPr>
                <w:rFonts w:hint="default" w:ascii="Times New Roman" w:hAnsi="Times New Roman" w:cs="Times New Roman"/>
                <w:color w:val="auto"/>
                <w:lang w:val="en-US" w:eastAsia="zh-CN"/>
              </w:rPr>
              <w:t>1</w:t>
            </w:r>
            <w:r>
              <w:rPr>
                <w:rFonts w:hint="default" w:ascii="Times New Roman" w:hAnsi="Times New Roman" w:cs="Times New Roman"/>
                <w:color w:val="auto"/>
              </w:rPr>
              <w:t>月2</w:t>
            </w:r>
            <w:r>
              <w:rPr>
                <w:rFonts w:hint="default" w:ascii="Times New Roman" w:hAnsi="Times New Roman" w:cs="Times New Roman"/>
                <w:color w:val="auto"/>
                <w:lang w:val="en-US" w:eastAsia="zh-CN"/>
              </w:rPr>
              <w:t>6</w:t>
            </w:r>
            <w:r>
              <w:rPr>
                <w:rFonts w:hint="default" w:ascii="Times New Roman" w:hAnsi="Times New Roman" w:cs="Times New Roman"/>
                <w:color w:val="auto"/>
              </w:rPr>
              <w:t>日</w:t>
            </w:r>
            <w:r>
              <w:rPr>
                <w:rFonts w:hint="default" w:ascii="Times New Roman" w:hAnsi="Times New Roman" w:cs="Times New Roman"/>
                <w:color w:val="auto"/>
                <w:lang w:val="en-US" w:eastAsia="zh-CN"/>
              </w:rPr>
              <w:t>）；</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rPr>
            </w:pPr>
            <w:r>
              <w:rPr>
                <w:rFonts w:hint="default" w:ascii="Times New Roman" w:hAnsi="Times New Roman" w:cs="Times New Roman"/>
                <w:color w:val="auto"/>
              </w:rPr>
              <w:t>《关于建设项目竣工环境保护验收有关事项的通知》（江苏省环保厅 苏环办[2018]34号，2018年1月26日）；</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省生态环境厅关于加强涉变动项目环评与排污许可管理衔接的通知</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江苏省生态环境厅，苏环办[2021]122号</w:t>
            </w:r>
            <w:r>
              <w:rPr>
                <w:rFonts w:hint="default" w:ascii="Times New Roman" w:hAnsi="Times New Roman" w:cs="Times New Roman"/>
                <w:color w:val="auto"/>
              </w:rPr>
              <w:t>，20</w:t>
            </w:r>
            <w:r>
              <w:rPr>
                <w:rFonts w:hint="default" w:ascii="Times New Roman" w:hAnsi="Times New Roman" w:cs="Times New Roman"/>
                <w:color w:val="auto"/>
                <w:lang w:val="en-US" w:eastAsia="zh-CN"/>
              </w:rPr>
              <w:t>21</w:t>
            </w:r>
            <w:r>
              <w:rPr>
                <w:rFonts w:hint="default" w:ascii="Times New Roman" w:hAnsi="Times New Roman" w:cs="Times New Roman"/>
                <w:color w:val="auto"/>
              </w:rPr>
              <w:t>年</w:t>
            </w:r>
            <w:r>
              <w:rPr>
                <w:rFonts w:hint="default" w:ascii="Times New Roman" w:hAnsi="Times New Roman" w:cs="Times New Roman"/>
                <w:color w:val="auto"/>
                <w:lang w:val="en-US" w:eastAsia="zh-CN"/>
              </w:rPr>
              <w:t>4</w:t>
            </w:r>
            <w:r>
              <w:rPr>
                <w:rFonts w:hint="default" w:ascii="Times New Roman" w:hAnsi="Times New Roman" w:cs="Times New Roman"/>
                <w:color w:val="auto"/>
              </w:rPr>
              <w:t>月2日</w:t>
            </w:r>
            <w:r>
              <w:rPr>
                <w:rFonts w:hint="default" w:ascii="Times New Roman" w:hAnsi="Times New Roman" w:cs="Times New Roman"/>
                <w:color w:val="auto"/>
                <w:lang w:eastAsia="zh-CN"/>
              </w:rPr>
              <w:t>）；</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rPr>
            </w:pPr>
            <w:r>
              <w:rPr>
                <w:rFonts w:hint="default" w:ascii="Times New Roman" w:hAnsi="Times New Roman" w:cs="Times New Roman"/>
                <w:color w:val="auto"/>
              </w:rPr>
              <w:t>《一般工业固体废物贮存</w:t>
            </w:r>
            <w:r>
              <w:rPr>
                <w:rFonts w:hint="default" w:ascii="Times New Roman" w:hAnsi="Times New Roman" w:cs="Times New Roman"/>
                <w:color w:val="auto"/>
                <w:lang w:eastAsia="zh-CN"/>
              </w:rPr>
              <w:t>和填埋</w:t>
            </w:r>
            <w:r>
              <w:rPr>
                <w:rFonts w:hint="default" w:ascii="Times New Roman" w:hAnsi="Times New Roman" w:cs="Times New Roman"/>
                <w:color w:val="auto"/>
              </w:rPr>
              <w:t>污染控制标准》（GB 18599-20</w:t>
            </w:r>
            <w:r>
              <w:rPr>
                <w:rFonts w:hint="default" w:ascii="Times New Roman" w:hAnsi="Times New Roman" w:cs="Times New Roman"/>
                <w:color w:val="auto"/>
                <w:lang w:val="en-US" w:eastAsia="zh-CN"/>
              </w:rPr>
              <w:t>20</w:t>
            </w:r>
            <w:r>
              <w:rPr>
                <w:rFonts w:hint="default" w:ascii="Times New Roman" w:hAnsi="Times New Roman" w:cs="Times New Roman"/>
                <w:color w:val="auto"/>
              </w:rPr>
              <w:t>）；</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《危险废物贮存污染控制标准》（GB 18597-20</w:t>
            </w:r>
            <w:r>
              <w:rPr>
                <w:rFonts w:hint="eastAsia" w:ascii="Times New Roman" w:hAnsi="Times New Roman" w:cs="Times New Roman"/>
                <w:color w:val="auto"/>
                <w:lang w:val="en-US" w:eastAsia="zh-CN"/>
              </w:rPr>
              <w:t>23</w:t>
            </w:r>
            <w:r>
              <w:rPr>
                <w:rFonts w:hint="default" w:ascii="Times New Roman" w:hAnsi="Times New Roman" w:cs="Times New Roman"/>
                <w:color w:val="auto"/>
                <w:lang w:val="en-US" w:eastAsia="zh-CN"/>
              </w:rPr>
              <w:t>）；</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《电镀污染物排放标准》（GB 21900</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2008）</w:t>
            </w:r>
            <w:r>
              <w:rPr>
                <w:rFonts w:hint="eastAsia" w:ascii="Times New Roman" w:hAnsi="Times New Roman" w:cs="Times New Roman"/>
                <w:color w:val="auto"/>
                <w:lang w:val="en-US" w:eastAsia="zh-CN"/>
              </w:rPr>
              <w:t>；</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《污水综合排放标准》（GB 8978-1996）；</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《污水排入城镇下水道水质标准》（GB /T31962-2015）</w:t>
            </w:r>
            <w:r>
              <w:rPr>
                <w:rFonts w:hint="eastAsia" w:ascii="Times New Roman" w:hAnsi="Times New Roman" w:cs="Times New Roman"/>
                <w:color w:val="auto"/>
                <w:lang w:val="en-US" w:eastAsia="zh-CN"/>
              </w:rPr>
              <w:t>；</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《工业炉窑大气污染物排放标准》（DB 32/3728-2019）</w:t>
            </w:r>
            <w:r>
              <w:rPr>
                <w:rFonts w:hint="eastAsia" w:ascii="Times New Roman" w:hAnsi="Times New Roman" w:cs="Times New Roman"/>
                <w:color w:val="auto"/>
                <w:lang w:val="en-US" w:eastAsia="zh-CN"/>
              </w:rPr>
              <w:t>；</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《大气污染物综合排放标准》（DB 32/4041-2021）</w:t>
            </w:r>
            <w:r>
              <w:rPr>
                <w:rFonts w:hint="eastAsia" w:ascii="Times New Roman" w:hAnsi="Times New Roman" w:cs="Times New Roman"/>
                <w:color w:val="auto"/>
                <w:lang w:val="en-US" w:eastAsia="zh-CN"/>
              </w:rPr>
              <w:t>；</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恶臭污染物排放标准</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14554-1993</w:t>
            </w:r>
            <w:r>
              <w:rPr>
                <w:rFonts w:hint="eastAsia" w:ascii="Times New Roman" w:hAnsi="Times New Roman" w:cs="Times New Roman"/>
                <w:color w:val="auto"/>
                <w:lang w:val="en-US" w:eastAsia="zh-CN"/>
              </w:rPr>
              <w:t>）；</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《工业企业厂界环境噪声排放标准》（GB 12348-2008）</w:t>
            </w:r>
            <w:r>
              <w:rPr>
                <w:rFonts w:hint="eastAsia" w:ascii="Times New Roman" w:hAnsi="Times New Roman" w:cs="Times New Roman"/>
                <w:color w:val="auto"/>
                <w:lang w:val="en-US" w:eastAsia="zh-CN"/>
              </w:rPr>
              <w:t>；</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eastAsia="宋体" w:cs="Times New Roman"/>
                <w:b w:val="0"/>
                <w:bCs w:val="0"/>
                <w:color w:val="auto"/>
                <w:highlight w:val="none"/>
                <w:lang w:eastAsia="zh-CN"/>
              </w:rPr>
            </w:pPr>
            <w:r>
              <w:rPr>
                <w:rFonts w:hint="default" w:ascii="Times New Roman" w:hAnsi="Times New Roman" w:cs="Times New Roman"/>
                <w:b w:val="0"/>
                <w:bCs w:val="0"/>
                <w:color w:val="auto"/>
                <w:highlight w:val="none"/>
              </w:rPr>
              <w:t>《</w:t>
            </w:r>
            <w:r>
              <w:rPr>
                <w:rFonts w:hint="default" w:ascii="Times New Roman" w:hAnsi="Times New Roman" w:cs="Times New Roman"/>
                <w:b w:val="0"/>
                <w:bCs w:val="0"/>
                <w:color w:val="auto"/>
                <w:highlight w:val="none"/>
                <w:lang w:val="en-US" w:eastAsia="zh-CN"/>
              </w:rPr>
              <w:t>张家港市骏马钢帘线有限公司环保节能技术改造项目境影响报告表</w:t>
            </w:r>
            <w:r>
              <w:rPr>
                <w:rFonts w:hint="default" w:ascii="Times New Roman" w:hAnsi="Times New Roman" w:cs="Times New Roman"/>
                <w:b w:val="0"/>
                <w:bCs w:val="0"/>
                <w:color w:val="auto"/>
                <w:highlight w:val="none"/>
              </w:rPr>
              <w:t>》（</w:t>
            </w:r>
            <w:r>
              <w:rPr>
                <w:rFonts w:hint="eastAsia" w:ascii="Times New Roman" w:hAnsi="Times New Roman" w:cs="Times New Roman"/>
                <w:b w:val="0"/>
                <w:bCs w:val="0"/>
                <w:color w:val="auto"/>
                <w:highlight w:val="none"/>
                <w:lang w:val="en-US" w:eastAsia="zh-CN"/>
              </w:rPr>
              <w:t>南京国环科技股份有限公司</w:t>
            </w:r>
            <w:r>
              <w:rPr>
                <w:rFonts w:hint="default" w:ascii="Times New Roman" w:hAnsi="Times New Roman" w:cs="Times New Roman"/>
                <w:b w:val="0"/>
                <w:bCs w:val="0"/>
                <w:color w:val="auto"/>
                <w:highlight w:val="none"/>
              </w:rPr>
              <w:t>，</w:t>
            </w:r>
            <w:r>
              <w:rPr>
                <w:rFonts w:hint="eastAsia" w:ascii="Times New Roman" w:hAnsi="Times New Roman" w:cs="Times New Roman"/>
                <w:b w:val="0"/>
                <w:bCs w:val="0"/>
                <w:color w:val="auto"/>
                <w:highlight w:val="none"/>
                <w:lang w:val="en-US" w:eastAsia="zh-CN"/>
              </w:rPr>
              <w:t>2022</w:t>
            </w:r>
            <w:r>
              <w:rPr>
                <w:rFonts w:hint="default" w:ascii="Times New Roman" w:hAnsi="Times New Roman" w:cs="Times New Roman"/>
                <w:b w:val="0"/>
                <w:bCs w:val="0"/>
                <w:color w:val="auto"/>
                <w:highlight w:val="none"/>
              </w:rPr>
              <w:t>年</w:t>
            </w:r>
            <w:r>
              <w:rPr>
                <w:rFonts w:hint="eastAsia" w:ascii="Times New Roman" w:hAnsi="Times New Roman" w:cs="Times New Roman"/>
                <w:b w:val="0"/>
                <w:bCs w:val="0"/>
                <w:color w:val="auto"/>
                <w:highlight w:val="none"/>
                <w:lang w:val="en-US" w:eastAsia="zh-CN"/>
              </w:rPr>
              <w:t>1</w:t>
            </w:r>
            <w:r>
              <w:rPr>
                <w:rFonts w:hint="default" w:ascii="Times New Roman" w:hAnsi="Times New Roman" w:cs="Times New Roman"/>
                <w:b w:val="0"/>
                <w:bCs w:val="0"/>
                <w:color w:val="auto"/>
                <w:highlight w:val="none"/>
              </w:rPr>
              <w:t>月）</w:t>
            </w:r>
            <w:r>
              <w:rPr>
                <w:rFonts w:hint="default" w:ascii="Times New Roman" w:hAnsi="Times New Roman" w:cs="Times New Roman"/>
                <w:b w:val="0"/>
                <w:bCs w:val="0"/>
                <w:color w:val="auto"/>
                <w:highlight w:val="none"/>
                <w:lang w:eastAsia="zh-CN"/>
              </w:rPr>
              <w:t>；</w:t>
            </w:r>
          </w:p>
          <w:p>
            <w:pPr>
              <w:pStyle w:val="20"/>
              <w:keepNext w:val="0"/>
              <w:keepLines w:val="0"/>
              <w:pageBreakBefore w:val="0"/>
              <w:widowControl w:val="0"/>
              <w:numPr>
                <w:ilvl w:val="0"/>
                <w:numId w:val="4"/>
              </w:numPr>
              <w:kinsoku/>
              <w:wordWrap/>
              <w:overflowPunct w:val="0"/>
              <w:topLinePunct w:val="0"/>
              <w:autoSpaceDE/>
              <w:autoSpaceDN/>
              <w:bidi w:val="0"/>
              <w:adjustRightInd w:val="0"/>
              <w:snapToGrid/>
              <w:spacing w:line="460" w:lineRule="exact"/>
              <w:ind w:left="0" w:leftChars="0" w:firstLine="0" w:firstLineChars="0"/>
              <w:jc w:val="left"/>
              <w:textAlignment w:val="baseline"/>
              <w:rPr>
                <w:rFonts w:hint="default" w:ascii="Times New Roman" w:hAnsi="Times New Roman" w:cs="Times New Roman"/>
                <w:color w:val="auto"/>
                <w:lang w:val="en-US" w:eastAsia="zh-CN"/>
              </w:rPr>
            </w:pPr>
            <w:r>
              <w:rPr>
                <w:rFonts w:hint="default" w:ascii="Times New Roman" w:hAnsi="Times New Roman" w:cs="Times New Roman"/>
                <w:b w:val="0"/>
                <w:bCs w:val="0"/>
                <w:color w:val="auto"/>
                <w:highlight w:val="none"/>
              </w:rPr>
              <w:t>《</w:t>
            </w:r>
            <w:r>
              <w:rPr>
                <w:rFonts w:hint="default" w:ascii="Times New Roman" w:hAnsi="Times New Roman" w:cs="Times New Roman"/>
                <w:b w:val="0"/>
                <w:bCs w:val="0"/>
                <w:color w:val="auto"/>
                <w:highlight w:val="none"/>
                <w:lang w:val="en-US" w:eastAsia="zh-CN"/>
              </w:rPr>
              <w:t>张家港市骏马钢帘线有限公司环保节能技术改造项目境影响报告表</w:t>
            </w:r>
            <w:r>
              <w:rPr>
                <w:rFonts w:hint="default" w:ascii="Times New Roman" w:hAnsi="Times New Roman" w:cs="Times New Roman"/>
                <w:b w:val="0"/>
                <w:bCs w:val="0"/>
                <w:color w:val="auto"/>
                <w:highlight w:val="none"/>
              </w:rPr>
              <w:t>》</w:t>
            </w:r>
            <w:r>
              <w:rPr>
                <w:rFonts w:hint="default" w:ascii="Times New Roman" w:hAnsi="Times New Roman" w:cs="Times New Roman"/>
                <w:b w:val="0"/>
                <w:bCs w:val="0"/>
                <w:color w:val="auto"/>
                <w:highlight w:val="none"/>
                <w:lang w:eastAsia="zh-CN"/>
              </w:rPr>
              <w:t>的</w:t>
            </w:r>
            <w:r>
              <w:rPr>
                <w:rFonts w:hint="default" w:ascii="Times New Roman" w:hAnsi="Times New Roman" w:cs="Times New Roman"/>
                <w:b w:val="0"/>
                <w:bCs w:val="0"/>
                <w:color w:val="auto"/>
                <w:highlight w:val="none"/>
                <w:lang w:val="en-US" w:eastAsia="zh-CN"/>
              </w:rPr>
              <w:t>批复</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lang w:val="en-US" w:eastAsia="zh-CN"/>
              </w:rPr>
              <w:t>苏环建</w:t>
            </w:r>
            <w:r>
              <w:rPr>
                <w:rFonts w:hint="default" w:ascii="Times New Roman" w:hAnsi="Times New Roman" w:eastAsia="宋体" w:cs="Times New Roman"/>
                <w:b w:val="0"/>
                <w:bCs w:val="0"/>
                <w:color w:val="auto"/>
                <w:sz w:val="21"/>
                <w:szCs w:val="21"/>
                <w:lang w:val="en-US" w:eastAsia="zh-CN"/>
              </w:rPr>
              <w:t>〔20</w:t>
            </w:r>
            <w:r>
              <w:rPr>
                <w:rFonts w:hint="default" w:ascii="Times New Roman" w:hAnsi="Times New Roman" w:cs="Times New Roman"/>
                <w:b w:val="0"/>
                <w:bCs w:val="0"/>
                <w:color w:val="auto"/>
                <w:sz w:val="21"/>
                <w:szCs w:val="21"/>
                <w:lang w:val="en-US" w:eastAsia="zh-CN"/>
              </w:rPr>
              <w:t>22</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cs="Times New Roman"/>
                <w:b w:val="0"/>
                <w:bCs w:val="0"/>
                <w:color w:val="auto"/>
                <w:highlight w:val="none"/>
                <w:lang w:val="en-US" w:eastAsia="zh-CN"/>
              </w:rPr>
              <w:t>82第00</w:t>
            </w:r>
            <w:r>
              <w:rPr>
                <w:rFonts w:hint="eastAsia" w:ascii="Times New Roman" w:hAnsi="Times New Roman" w:cs="Times New Roman"/>
                <w:b w:val="0"/>
                <w:bCs w:val="0"/>
                <w:color w:val="auto"/>
                <w:highlight w:val="none"/>
                <w:lang w:val="en-US" w:eastAsia="zh-CN"/>
              </w:rPr>
              <w:t>98</w:t>
            </w:r>
            <w:r>
              <w:rPr>
                <w:rFonts w:hint="default" w:ascii="Times New Roman" w:hAnsi="Times New Roman" w:eastAsia="宋体" w:cs="Times New Roman"/>
                <w:b w:val="0"/>
                <w:bCs w:val="0"/>
                <w:color w:val="auto"/>
                <w:highlight w:val="none"/>
                <w:lang w:val="en-US" w:eastAsia="zh-CN"/>
              </w:rPr>
              <w:t>号</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lang w:val="en-US" w:eastAsia="zh-CN"/>
              </w:rPr>
              <w:t>苏州市生态环境局</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b w:val="0"/>
                <w:bCs w:val="0"/>
                <w:color w:val="auto"/>
                <w:highlight w:val="none"/>
                <w:lang w:val="en-US" w:eastAsia="zh-CN"/>
              </w:rPr>
              <w:t>2022年</w:t>
            </w:r>
            <w:r>
              <w:rPr>
                <w:rFonts w:hint="eastAsia" w:ascii="Times New Roman" w:hAnsi="Times New Roman" w:cs="Times New Roman"/>
                <w:b w:val="0"/>
                <w:bCs w:val="0"/>
                <w:color w:val="auto"/>
                <w:highlight w:val="none"/>
                <w:lang w:val="en-US" w:eastAsia="zh-CN"/>
              </w:rPr>
              <w:t>6</w:t>
            </w:r>
            <w:r>
              <w:rPr>
                <w:rFonts w:hint="default" w:ascii="Times New Roman" w:hAnsi="Times New Roman" w:cs="Times New Roman"/>
                <w:b w:val="0"/>
                <w:bCs w:val="0"/>
                <w:color w:val="auto"/>
                <w:highlight w:val="none"/>
                <w:lang w:val="en-US" w:eastAsia="zh-CN"/>
              </w:rPr>
              <w:t>月</w:t>
            </w:r>
            <w:r>
              <w:rPr>
                <w:rFonts w:hint="eastAsia" w:ascii="Times New Roman" w:hAnsi="Times New Roman" w:cs="Times New Roman"/>
                <w:b w:val="0"/>
                <w:bCs w:val="0"/>
                <w:color w:val="auto"/>
                <w:highlight w:val="none"/>
                <w:lang w:val="en-US" w:eastAsia="zh-CN"/>
              </w:rPr>
              <w:t>20</w:t>
            </w:r>
            <w:r>
              <w:rPr>
                <w:rFonts w:hint="default" w:ascii="Times New Roman" w:hAnsi="Times New Roman" w:cs="Times New Roman"/>
                <w:b w:val="0"/>
                <w:bCs w:val="0"/>
                <w:color w:val="auto"/>
                <w:highlight w:val="none"/>
                <w:lang w:val="en-US" w:eastAsia="zh-CN"/>
              </w:rPr>
              <w:t>日</w:t>
            </w:r>
            <w:r>
              <w:rPr>
                <w:rFonts w:hint="eastAsia" w:ascii="Times New Roman" w:hAnsi="Times New Roman" w:cs="Times New Roman"/>
                <w:b w:val="0"/>
                <w:bCs w:val="0"/>
                <w:color w:val="auto"/>
                <w:highlight w:val="none"/>
                <w:lang w:val="en-US" w:eastAsia="zh-CN"/>
              </w:rPr>
              <w:t>。</w:t>
            </w:r>
          </w:p>
        </w:tc>
      </w:tr>
    </w:tbl>
    <w:p>
      <w:pPr>
        <w:ind w:left="0" w:leftChars="0" w:firstLine="0" w:firstLineChars="0"/>
        <w:outlineLvl w:val="0"/>
        <w:rPr>
          <w:rFonts w:hint="default" w:ascii="Times New Roman" w:hAnsi="Times New Roman" w:eastAsia="宋体" w:cs="Times New Roman"/>
          <w:b/>
          <w:bCs/>
          <w:color w:val="auto"/>
          <w:sz w:val="28"/>
          <w:szCs w:val="28"/>
        </w:rPr>
      </w:pPr>
      <w:bookmarkStart w:id="7" w:name="_Toc23579"/>
      <w:bookmarkStart w:id="8" w:name="_Toc7667"/>
      <w:r>
        <w:rPr>
          <w:rFonts w:hint="default" w:ascii="Times New Roman" w:hAnsi="Times New Roman" w:eastAsia="宋体" w:cs="Times New Roman"/>
          <w:b/>
          <w:bCs/>
          <w:color w:val="auto"/>
          <w:sz w:val="28"/>
          <w:szCs w:val="28"/>
        </w:rPr>
        <w:t>表二、项目概况</w:t>
      </w:r>
      <w:bookmarkEnd w:id="7"/>
      <w:bookmarkEnd w:id="8"/>
    </w:p>
    <w:tbl>
      <w:tblPr>
        <w:tblStyle w:val="17"/>
        <w:tblW w:w="8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40"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1、项目简介</w:t>
            </w:r>
          </w:p>
          <w:p>
            <w:pPr>
              <w:spacing w:line="360" w:lineRule="auto"/>
              <w:ind w:firstLine="480" w:firstLineChars="20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张家港市骏马钢帘线有限公司成立于2003年7月22日，位于张家港市杨舍镇乘航河东路80号，是张家港市骏马集团的第二大产业公司，是集团公司产品结构调整的一个重要项目，主要从事子午线轮胎用骨架材料——钢帘线的生产和销售。为响应国家绿色环保要求，张家港市骏马钢帘线有限公司从节能降耗、危废源头减少、资源再生利用等方向努力推进新技术的应用，投资2097万元建设“张家港市骏马钢帘线有限公司环保节能技术改造项目”。</w:t>
            </w:r>
          </w:p>
          <w:p>
            <w:pPr>
              <w:spacing w:line="360" w:lineRule="auto"/>
              <w:ind w:firstLine="480" w:firstLineChars="20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项目于20</w:t>
            </w:r>
            <w:r>
              <w:rPr>
                <w:rFonts w:hint="eastAsia" w:ascii="Times New Roman" w:hAnsi="Times New Roman" w:cs="Times New Roman"/>
                <w:color w:val="auto"/>
                <w:lang w:val="en-US" w:eastAsia="zh-CN"/>
              </w:rPr>
              <w:t>21</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5月7日</w:t>
            </w:r>
            <w:r>
              <w:rPr>
                <w:rFonts w:hint="default" w:ascii="Times New Roman" w:hAnsi="Times New Roman" w:cs="Times New Roman"/>
                <w:color w:val="auto"/>
                <w:lang w:val="en-US" w:eastAsia="zh-CN"/>
              </w:rPr>
              <w:t>立项，备案</w:t>
            </w:r>
            <w:r>
              <w:rPr>
                <w:rFonts w:hint="eastAsia" w:ascii="Times New Roman" w:hAnsi="Times New Roman" w:cs="Times New Roman"/>
                <w:color w:val="auto"/>
                <w:lang w:val="en-US" w:eastAsia="zh-CN"/>
              </w:rPr>
              <w:t>张家港市行政审批局（</w:t>
            </w:r>
            <w:r>
              <w:rPr>
                <w:rFonts w:hint="default" w:ascii="Times New Roman" w:hAnsi="Times New Roman" w:cs="Times New Roman"/>
                <w:color w:val="auto"/>
                <w:lang w:val="en-US" w:eastAsia="zh-CN"/>
              </w:rPr>
              <w:t>张</w:t>
            </w:r>
            <w:r>
              <w:rPr>
                <w:rFonts w:hint="eastAsia" w:ascii="Times New Roman" w:hAnsi="Times New Roman" w:cs="Times New Roman"/>
                <w:color w:val="auto"/>
                <w:lang w:val="en-US" w:eastAsia="zh-CN"/>
              </w:rPr>
              <w:t>行审</w:t>
            </w:r>
            <w:r>
              <w:rPr>
                <w:rFonts w:hint="default" w:ascii="Times New Roman" w:hAnsi="Times New Roman" w:cs="Times New Roman"/>
                <w:color w:val="auto"/>
                <w:lang w:val="en-US" w:eastAsia="zh-CN"/>
              </w:rPr>
              <w:t>投备</w:t>
            </w:r>
            <w:r>
              <w:rPr>
                <w:rFonts w:hint="eastAsia" w:ascii="Times New Roman" w:hAnsi="Times New Roman" w:cs="Times New Roman"/>
                <w:color w:val="auto"/>
                <w:lang w:val="en-US" w:eastAsia="zh-CN"/>
              </w:rPr>
              <w:t>〔2021〕397</w:t>
            </w:r>
            <w:r>
              <w:rPr>
                <w:rFonts w:hint="default" w:ascii="Times New Roman" w:hAnsi="Times New Roman" w:cs="Times New Roman"/>
                <w:color w:val="auto"/>
                <w:lang w:val="en-US" w:eastAsia="zh-CN"/>
              </w:rPr>
              <w:t>号</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项目代码：</w:t>
            </w:r>
            <w:r>
              <w:rPr>
                <w:rFonts w:hint="eastAsia" w:ascii="Times New Roman" w:hAnsi="Times New Roman" w:cs="Times New Roman"/>
                <w:color w:val="auto"/>
                <w:lang w:val="en-US" w:eastAsia="zh-CN"/>
              </w:rPr>
              <w:t>2103-320582-89-05-714423，原备案证号作废</w:t>
            </w: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月委托</w:t>
            </w:r>
            <w:r>
              <w:rPr>
                <w:rFonts w:hint="eastAsia" w:ascii="Times New Roman" w:hAnsi="Times New Roman" w:cs="Times New Roman"/>
                <w:b w:val="0"/>
                <w:bCs w:val="0"/>
                <w:color w:val="auto"/>
                <w:highlight w:val="none"/>
                <w:lang w:val="en-US" w:eastAsia="zh-CN"/>
              </w:rPr>
              <w:t>南京国环科技股份有限公司</w:t>
            </w:r>
            <w:r>
              <w:rPr>
                <w:rFonts w:hint="default" w:ascii="Times New Roman" w:hAnsi="Times New Roman" w:cs="Times New Roman"/>
                <w:color w:val="auto"/>
                <w:lang w:val="en-US" w:eastAsia="zh-CN"/>
              </w:rPr>
              <w:t>编制《</w:t>
            </w:r>
            <w:r>
              <w:rPr>
                <w:rFonts w:hint="default" w:ascii="Times New Roman" w:hAnsi="Times New Roman" w:cs="Times New Roman"/>
                <w:b w:val="0"/>
                <w:bCs w:val="0"/>
                <w:color w:val="auto"/>
                <w:highlight w:val="none"/>
                <w:lang w:val="en-US" w:eastAsia="zh-CN"/>
              </w:rPr>
              <w:t>张家港市骏马钢帘线有限公司环保节能技术改造项目境影响报告表</w:t>
            </w: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月</w:t>
            </w:r>
            <w:r>
              <w:rPr>
                <w:rFonts w:hint="eastAsia" w:ascii="Times New Roman" w:hAnsi="Times New Roman" w:cs="Times New Roman"/>
                <w:color w:val="auto"/>
                <w:lang w:val="en-US" w:eastAsia="zh-CN"/>
              </w:rPr>
              <w:t>20</w:t>
            </w:r>
            <w:r>
              <w:rPr>
                <w:rFonts w:hint="default" w:ascii="Times New Roman" w:hAnsi="Times New Roman" w:cs="Times New Roman"/>
                <w:color w:val="auto"/>
                <w:lang w:val="en-US" w:eastAsia="zh-CN"/>
              </w:rPr>
              <w:t>日</w:t>
            </w:r>
            <w:r>
              <w:rPr>
                <w:rFonts w:hint="eastAsia" w:ascii="Times New Roman" w:hAnsi="Times New Roman" w:cs="Times New Roman"/>
                <w:color w:val="auto"/>
                <w:lang w:val="en-US" w:eastAsia="zh-CN"/>
              </w:rPr>
              <w:t>获</w:t>
            </w:r>
            <w:r>
              <w:rPr>
                <w:rFonts w:hint="default" w:ascii="Times New Roman" w:hAnsi="Times New Roman" w:cs="Times New Roman"/>
                <w:color w:val="auto"/>
                <w:lang w:val="en-US" w:eastAsia="zh-CN"/>
              </w:rPr>
              <w:t>得</w:t>
            </w:r>
            <w:r>
              <w:rPr>
                <w:rFonts w:hint="eastAsia" w:ascii="Times New Roman" w:hAnsi="Times New Roman" w:cs="Times New Roman"/>
                <w:b w:val="0"/>
                <w:bCs w:val="0"/>
                <w:color w:val="auto"/>
                <w:highlight w:val="none"/>
                <w:lang w:val="en-US" w:eastAsia="zh-CN"/>
              </w:rPr>
              <w:t>苏州市生态环境局</w:t>
            </w:r>
            <w:r>
              <w:rPr>
                <w:rFonts w:hint="default" w:ascii="Times New Roman" w:hAnsi="Times New Roman" w:cs="Times New Roman"/>
                <w:color w:val="auto"/>
                <w:lang w:val="en-US" w:eastAsia="zh-CN"/>
              </w:rPr>
              <w:t>的批复（</w:t>
            </w:r>
            <w:r>
              <w:rPr>
                <w:rFonts w:hint="eastAsia" w:ascii="Times New Roman" w:hAnsi="Times New Roman" w:cs="Times New Roman"/>
                <w:b w:val="0"/>
                <w:bCs w:val="0"/>
                <w:color w:val="auto"/>
                <w:highlight w:val="none"/>
                <w:lang w:val="en-US" w:eastAsia="zh-CN"/>
              </w:rPr>
              <w:t>苏环建〔</w:t>
            </w:r>
            <w:r>
              <w:rPr>
                <w:rFonts w:hint="default" w:ascii="Times New Roman" w:hAnsi="Times New Roman" w:cs="Times New Roman"/>
                <w:b w:val="0"/>
                <w:bCs w:val="0"/>
                <w:color w:val="auto"/>
                <w:highlight w:val="none"/>
                <w:lang w:val="en-US" w:eastAsia="zh-CN"/>
              </w:rPr>
              <w:t>202</w:t>
            </w:r>
            <w:r>
              <w:rPr>
                <w:rFonts w:hint="eastAsia" w:ascii="Times New Roman" w:hAnsi="Times New Roman" w:cs="Times New Roman"/>
                <w:b w:val="0"/>
                <w:bCs w:val="0"/>
                <w:color w:val="auto"/>
                <w:highlight w:val="none"/>
                <w:lang w:val="en-US" w:eastAsia="zh-CN"/>
              </w:rPr>
              <w:t>2〕82第0098</w:t>
            </w:r>
            <w:r>
              <w:rPr>
                <w:rFonts w:hint="default" w:ascii="Times New Roman" w:hAnsi="Times New Roman" w:eastAsia="宋体" w:cs="Times New Roman"/>
                <w:b w:val="0"/>
                <w:bCs w:val="0"/>
                <w:color w:val="auto"/>
                <w:highlight w:val="none"/>
                <w:lang w:val="en-US" w:eastAsia="zh-CN"/>
              </w:rPr>
              <w:t>号</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排污许可证</w:t>
            </w:r>
            <w:r>
              <w:rPr>
                <w:rFonts w:hint="default" w:ascii="Times New Roman" w:hAnsi="Times New Roman" w:cs="Times New Roman"/>
                <w:color w:val="auto"/>
                <w:lang w:val="en-US" w:eastAsia="zh-CN"/>
              </w:rPr>
              <w:t>有效期</w:t>
            </w:r>
            <w:r>
              <w:rPr>
                <w:rFonts w:hint="eastAsia" w:ascii="Times New Roman" w:hAnsi="Times New Roman" w:cs="Times New Roman"/>
                <w:color w:val="auto"/>
                <w:lang w:val="en-US" w:eastAsia="zh-CN"/>
              </w:rPr>
              <w:t>为</w:t>
            </w: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月</w:t>
            </w:r>
            <w:r>
              <w:rPr>
                <w:rFonts w:hint="eastAsia" w:ascii="Times New Roman" w:hAnsi="Times New Roman" w:cs="Times New Roman"/>
                <w:color w:val="auto"/>
                <w:lang w:val="en-US" w:eastAsia="zh-CN"/>
              </w:rPr>
              <w:t>15</w:t>
            </w:r>
            <w:r>
              <w:rPr>
                <w:rFonts w:hint="default" w:ascii="Times New Roman" w:hAnsi="Times New Roman" w:cs="Times New Roman"/>
                <w:color w:val="auto"/>
                <w:lang w:val="en-US" w:eastAsia="zh-CN"/>
              </w:rPr>
              <w:t>日至202</w:t>
            </w: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月</w:t>
            </w:r>
            <w:r>
              <w:rPr>
                <w:rFonts w:hint="eastAsia" w:ascii="Times New Roman" w:hAnsi="Times New Roman" w:cs="Times New Roman"/>
                <w:color w:val="auto"/>
                <w:lang w:val="en-US" w:eastAsia="zh-CN"/>
              </w:rPr>
              <w:t>14</w:t>
            </w:r>
            <w:r>
              <w:rPr>
                <w:rFonts w:hint="default" w:ascii="Times New Roman" w:hAnsi="Times New Roman" w:cs="Times New Roman"/>
                <w:color w:val="auto"/>
                <w:lang w:val="en-US" w:eastAsia="zh-CN"/>
              </w:rPr>
              <w:t>日</w:t>
            </w:r>
            <w:r>
              <w:rPr>
                <w:rFonts w:hint="eastAsia" w:ascii="Times New Roman" w:hAnsi="Times New Roman" w:cs="Times New Roman"/>
                <w:color w:val="auto"/>
                <w:lang w:val="en-US" w:eastAsia="zh-CN"/>
              </w:rPr>
              <w:t>（91320582746242612B001W）</w:t>
            </w:r>
            <w:r>
              <w:rPr>
                <w:rFonts w:hint="default" w:ascii="Times New Roman" w:hAnsi="Times New Roman" w:cs="Times New Roman"/>
                <w:color w:val="auto"/>
                <w:lang w:val="en-US" w:eastAsia="zh-CN"/>
              </w:rPr>
              <w:t>。项目于202</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月开工建设，202</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12</w:t>
            </w:r>
            <w:r>
              <w:rPr>
                <w:rFonts w:hint="default" w:ascii="Times New Roman" w:hAnsi="Times New Roman" w:cs="Times New Roman"/>
                <w:color w:val="auto"/>
                <w:lang w:val="en-US" w:eastAsia="zh-CN"/>
              </w:rPr>
              <w:t>月建设完毕</w:t>
            </w:r>
            <w:r>
              <w:rPr>
                <w:rFonts w:hint="eastAsia" w:ascii="Times New Roman" w:hAnsi="Times New Roman" w:cs="Times New Roman"/>
                <w:color w:val="auto"/>
                <w:lang w:val="en-US" w:eastAsia="zh-CN"/>
              </w:rPr>
              <w:t>，2023年2月开始试生产</w:t>
            </w:r>
            <w:r>
              <w:rPr>
                <w:rFonts w:hint="default" w:ascii="Times New Roman" w:hAnsi="Times New Roman" w:cs="Times New Roman"/>
                <w:color w:val="auto"/>
                <w:lang w:val="en-US" w:eastAsia="zh-CN"/>
              </w:rPr>
              <w:t>。</w:t>
            </w:r>
          </w:p>
          <w:p>
            <w:pPr>
              <w:spacing w:line="360" w:lineRule="auto"/>
              <w:ind w:firstLine="480"/>
              <w:rPr>
                <w:rFonts w:hint="default" w:ascii="Times New Roman" w:hAnsi="Times New Roman" w:eastAsia="宋体" w:cs="Times New Roman"/>
                <w:snapToGrid w:val="0"/>
                <w:color w:val="auto"/>
                <w:kern w:val="0"/>
                <w:sz w:val="24"/>
              </w:rPr>
            </w:pPr>
            <w:r>
              <w:rPr>
                <w:rFonts w:hint="default" w:ascii="Times New Roman" w:hAnsi="Times New Roman" w:eastAsia="宋体" w:cs="Times New Roman"/>
                <w:snapToGrid w:val="0"/>
                <w:color w:val="auto"/>
                <w:kern w:val="0"/>
                <w:sz w:val="24"/>
              </w:rPr>
              <w:t>地理位置：该项目</w:t>
            </w:r>
            <w:r>
              <w:rPr>
                <w:rFonts w:hint="default" w:ascii="Times New Roman" w:hAnsi="Times New Roman" w:eastAsia="宋体" w:cs="Times New Roman"/>
                <w:snapToGrid w:val="0"/>
                <w:color w:val="auto"/>
                <w:kern w:val="0"/>
                <w:sz w:val="24"/>
                <w:lang w:eastAsia="zh-CN"/>
              </w:rPr>
              <w:t>位于</w:t>
            </w:r>
            <w:r>
              <w:rPr>
                <w:rFonts w:hint="eastAsia" w:ascii="Times New Roman" w:hAnsi="Times New Roman" w:cs="Times New Roman"/>
                <w:color w:val="auto"/>
                <w:lang w:val="en-US" w:eastAsia="zh-CN"/>
              </w:rPr>
              <w:t>张家港杨舍镇乘航河东路80号</w:t>
            </w:r>
            <w:r>
              <w:rPr>
                <w:rFonts w:hint="default" w:ascii="Times New Roman" w:hAnsi="Times New Roman" w:eastAsia="宋体" w:cs="Times New Roman"/>
                <w:snapToGrid w:val="0"/>
                <w:color w:val="auto"/>
                <w:kern w:val="0"/>
                <w:sz w:val="24"/>
              </w:rPr>
              <w:t>，</w:t>
            </w:r>
            <w:r>
              <w:rPr>
                <w:rFonts w:hint="default" w:ascii="Times New Roman" w:hAnsi="Times New Roman" w:cs="Times New Roman"/>
                <w:snapToGrid w:val="0"/>
                <w:color w:val="auto"/>
                <w:kern w:val="0"/>
                <w:sz w:val="24"/>
                <w:lang w:val="en-US" w:eastAsia="zh-CN"/>
              </w:rPr>
              <w:t>具体位置见附图1。</w:t>
            </w:r>
          </w:p>
          <w:p>
            <w:pPr>
              <w:spacing w:line="360" w:lineRule="auto"/>
              <w:ind w:firstLine="480" w:firstLineChars="200"/>
              <w:rPr>
                <w:rFonts w:hint="default" w:ascii="Times New Roman" w:hAnsi="Times New Roman" w:eastAsia="宋体" w:cs="Times New Roman"/>
                <w:b/>
                <w:bCs/>
                <w:snapToGrid w:val="0"/>
                <w:color w:val="auto"/>
                <w:kern w:val="0"/>
                <w:sz w:val="24"/>
              </w:rPr>
            </w:pPr>
            <w:r>
              <w:rPr>
                <w:rFonts w:hint="default" w:ascii="Times New Roman" w:hAnsi="Times New Roman" w:eastAsia="宋体" w:cs="Times New Roman"/>
                <w:snapToGrid w:val="0"/>
                <w:color w:val="auto"/>
                <w:kern w:val="0"/>
                <w:sz w:val="24"/>
              </w:rPr>
              <w:t>厂界周围土地利用现状：</w:t>
            </w:r>
            <w:r>
              <w:rPr>
                <w:rFonts w:hint="eastAsia" w:ascii="Times New Roman" w:hAnsi="Times New Roman" w:cs="Times New Roman"/>
                <w:smallCaps w:val="0"/>
                <w:snapToGrid w:val="0"/>
                <w:color w:val="auto"/>
                <w:kern w:val="0"/>
                <w:sz w:val="24"/>
                <w:lang w:val="en-US" w:eastAsia="zh-CN"/>
              </w:rPr>
              <w:t>本项目厂界东侧相邻张家港市海达金属制品有限公司，南侧相邻张家港骏马无纺布有限公司，西侧相邻张家港骏马涤纶制品有限公司，北侧隔路为张家港骏马热电有限公司，南侧600米处为新乘北苑小区；东侧100米处为毛家堂和双鹿村居民住宅；北侧300米处为蒋东村居民住宅。本项目周围的主要敏感点为附近的居民住宅和西侧二干河</w:t>
            </w:r>
            <w:r>
              <w:rPr>
                <w:rFonts w:hint="default" w:ascii="Times New Roman" w:hAnsi="Times New Roman" w:cs="Times New Roman"/>
                <w:smallCaps w:val="0"/>
                <w:snapToGrid w:val="0"/>
                <w:color w:val="auto"/>
                <w:kern w:val="0"/>
                <w:sz w:val="24"/>
                <w:lang w:eastAsia="zh-CN"/>
              </w:rPr>
              <w:t>。</w:t>
            </w:r>
            <w:r>
              <w:rPr>
                <w:rFonts w:hint="eastAsia" w:ascii="Times New Roman" w:hAnsi="Times New Roman" w:cs="Times New Roman"/>
                <w:smallCaps w:val="0"/>
                <w:snapToGrid w:val="0"/>
                <w:color w:val="auto"/>
                <w:kern w:val="0"/>
                <w:sz w:val="24"/>
                <w:lang w:val="en-US" w:eastAsia="zh-CN"/>
              </w:rPr>
              <w:t>具体</w:t>
            </w:r>
            <w:r>
              <w:rPr>
                <w:rFonts w:hint="default" w:ascii="Times New Roman" w:hAnsi="Times New Roman" w:eastAsia="宋体" w:cs="Times New Roman"/>
                <w:snapToGrid w:val="0"/>
                <w:color w:val="auto"/>
                <w:kern w:val="0"/>
                <w:sz w:val="24"/>
              </w:rPr>
              <w:t>见附图</w:t>
            </w:r>
            <w:r>
              <w:rPr>
                <w:rFonts w:hint="default" w:ascii="Times New Roman" w:hAnsi="Times New Roman" w:eastAsia="宋体" w:cs="Times New Roman"/>
                <w:snapToGrid w:val="0"/>
                <w:color w:val="auto"/>
                <w:kern w:val="0"/>
                <w:sz w:val="24"/>
                <w:lang w:val="en-US" w:eastAsia="zh-CN"/>
              </w:rPr>
              <w:t>2</w:t>
            </w:r>
            <w:r>
              <w:rPr>
                <w:rFonts w:hint="default" w:ascii="Times New Roman" w:hAnsi="Times New Roman" w:eastAsia="宋体" w:cs="Times New Roman"/>
                <w:snapToGrid w:val="0"/>
                <w:color w:val="auto"/>
                <w:kern w:val="0"/>
                <w:sz w:val="24"/>
              </w:rPr>
              <w:t>。</w:t>
            </w:r>
          </w:p>
          <w:p>
            <w:pPr>
              <w:spacing w:line="360" w:lineRule="auto"/>
              <w:ind w:firstLine="480" w:firstLineChars="200"/>
              <w:rPr>
                <w:rFonts w:hint="default" w:ascii="Times New Roman" w:hAnsi="Times New Roman" w:cs="Times New Roman"/>
                <w:smallCaps w:val="0"/>
                <w:snapToGrid w:val="0"/>
                <w:color w:val="auto"/>
                <w:kern w:val="0"/>
                <w:sz w:val="24"/>
                <w:lang w:val="en-US" w:eastAsia="zh-CN"/>
              </w:rPr>
            </w:pPr>
            <w:r>
              <w:rPr>
                <w:rFonts w:hint="default" w:ascii="Times New Roman" w:hAnsi="Times New Roman" w:cs="Times New Roman"/>
                <w:smallCaps w:val="0"/>
                <w:snapToGrid w:val="0"/>
                <w:color w:val="auto"/>
                <w:kern w:val="0"/>
                <w:sz w:val="24"/>
                <w:lang w:val="en-US" w:eastAsia="zh-CN"/>
              </w:rPr>
              <w:t>厂区平面布置：本项目</w:t>
            </w:r>
            <w:r>
              <w:rPr>
                <w:rFonts w:hint="eastAsia" w:ascii="Times New Roman" w:hAnsi="Times New Roman" w:cs="Times New Roman"/>
                <w:smallCaps w:val="0"/>
                <w:snapToGrid w:val="0"/>
                <w:color w:val="auto"/>
                <w:kern w:val="0"/>
                <w:sz w:val="24"/>
                <w:lang w:val="en-US" w:eastAsia="zh-CN"/>
              </w:rPr>
              <w:t>依托现有厂房，现有厂房总占地面积69224.40m</w:t>
            </w:r>
            <w:r>
              <w:rPr>
                <w:rFonts w:hint="eastAsia" w:ascii="Times New Roman" w:hAnsi="Times New Roman" w:cs="Times New Roman"/>
                <w:smallCaps w:val="0"/>
                <w:snapToGrid w:val="0"/>
                <w:color w:val="auto"/>
                <w:kern w:val="0"/>
                <w:sz w:val="24"/>
                <w:vertAlign w:val="superscript"/>
                <w:lang w:val="en-US" w:eastAsia="zh-CN"/>
              </w:rPr>
              <w:t>2</w:t>
            </w:r>
            <w:r>
              <w:rPr>
                <w:rFonts w:hint="eastAsia" w:ascii="Times New Roman" w:hAnsi="Times New Roman" w:cs="Times New Roman"/>
                <w:smallCaps w:val="0"/>
                <w:snapToGrid w:val="0"/>
                <w:color w:val="auto"/>
                <w:kern w:val="0"/>
                <w:sz w:val="24"/>
                <w:lang w:val="en-US" w:eastAsia="zh-CN"/>
              </w:rPr>
              <w:t>。</w:t>
            </w:r>
            <w:r>
              <w:rPr>
                <w:rFonts w:hint="default" w:ascii="Times New Roman" w:hAnsi="Times New Roman" w:cs="Times New Roman"/>
                <w:smallCaps w:val="0"/>
                <w:snapToGrid w:val="0"/>
                <w:color w:val="auto"/>
                <w:kern w:val="0"/>
                <w:sz w:val="24"/>
                <w:lang w:val="en-US" w:eastAsia="zh-CN"/>
              </w:rPr>
              <w:t>厂区平面布置具体见附图3。</w:t>
            </w:r>
          </w:p>
          <w:p>
            <w:pPr>
              <w:spacing w:line="360" w:lineRule="auto"/>
              <w:ind w:firstLine="480" w:firstLineChars="200"/>
              <w:jc w:val="left"/>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项目</w:t>
            </w:r>
            <w:r>
              <w:rPr>
                <w:rFonts w:hint="eastAsia" w:ascii="Times New Roman" w:hAnsi="Times New Roman" w:cs="Times New Roman"/>
                <w:color w:val="auto"/>
                <w:lang w:val="en-US" w:eastAsia="zh-CN"/>
              </w:rPr>
              <w:t>以厂界为起始点</w:t>
            </w:r>
            <w:r>
              <w:rPr>
                <w:rFonts w:hint="eastAsia"/>
                <w:color w:val="auto"/>
                <w:szCs w:val="21"/>
              </w:rPr>
              <w:t>向外设置100米</w:t>
            </w:r>
            <w:r>
              <w:rPr>
                <w:rFonts w:hint="default" w:ascii="Times New Roman" w:hAnsi="Times New Roman" w:cs="Times New Roman"/>
                <w:color w:val="auto"/>
                <w:lang w:val="en-US" w:eastAsia="zh-CN"/>
              </w:rPr>
              <w:t>范围设置卫生防护距离</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此范围内无居民、学校、医院等环境敏感目标，满足卫生防护距离要求</w:t>
            </w:r>
            <w:r>
              <w:rPr>
                <w:rFonts w:hint="eastAsia" w:ascii="Times New Roman" w:hAnsi="Times New Roman"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rPr>
            </w:pPr>
          </w:p>
          <w:p>
            <w:pPr>
              <w:pStyle w:val="8"/>
              <w:rPr>
                <w:rFonts w:hint="default" w:ascii="Times New Roman" w:hAnsi="Times New Roman" w:eastAsia="宋体" w:cs="Times New Roman"/>
                <w:b/>
                <w:bCs/>
                <w:color w:val="auto"/>
                <w:sz w:val="24"/>
                <w:szCs w:val="24"/>
              </w:rPr>
            </w:pPr>
          </w:p>
          <w:p>
            <w:pPr>
              <w:rPr>
                <w:rFonts w:hint="default"/>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2、项目</w:t>
            </w:r>
            <w:r>
              <w:rPr>
                <w:rFonts w:hint="eastAsia" w:ascii="Times New Roman" w:hAnsi="Times New Roman" w:cs="Times New Roman"/>
                <w:b/>
                <w:bCs/>
                <w:color w:val="auto"/>
                <w:sz w:val="24"/>
                <w:szCs w:val="24"/>
                <w:lang w:val="en-US" w:eastAsia="zh-CN"/>
              </w:rPr>
              <w:t>技改</w:t>
            </w:r>
            <w:r>
              <w:rPr>
                <w:rFonts w:hint="default" w:ascii="Times New Roman" w:hAnsi="Times New Roman" w:eastAsia="宋体" w:cs="Times New Roman"/>
                <w:b/>
                <w:bCs/>
                <w:color w:val="auto"/>
                <w:sz w:val="24"/>
                <w:szCs w:val="24"/>
              </w:rPr>
              <w:t>情况</w:t>
            </w:r>
          </w:p>
          <w:p>
            <w:pPr>
              <w:keepNext w:val="0"/>
              <w:keepLines w:val="0"/>
              <w:pageBreakBefore w:val="0"/>
              <w:widowControl w:val="0"/>
              <w:kinsoku/>
              <w:wordWrap/>
              <w:topLinePunct w:val="0"/>
              <w:bidi w:val="0"/>
              <w:snapToGrid w:val="0"/>
              <w:spacing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表2-</w:t>
            </w:r>
            <w:r>
              <w:rPr>
                <w:rFonts w:hint="default" w:ascii="Times New Roman" w:hAnsi="Times New Roman" w:cs="Times New Roman"/>
                <w:b/>
                <w:bCs/>
                <w:color w:val="auto"/>
                <w:lang w:val="en-US" w:eastAsia="zh-CN"/>
              </w:rPr>
              <w:t>1</w:t>
            </w:r>
            <w:r>
              <w:rPr>
                <w:rFonts w:hint="default" w:ascii="Times New Roman" w:hAnsi="Times New Roman" w:cs="Times New Roman"/>
                <w:b/>
                <w:bCs/>
                <w:color w:val="auto"/>
              </w:rPr>
              <w:t xml:space="preserve">  </w:t>
            </w:r>
            <w:r>
              <w:rPr>
                <w:rFonts w:hint="eastAsia" w:ascii="Times New Roman" w:hAnsi="Times New Roman" w:cs="Times New Roman"/>
                <w:b/>
                <w:bCs/>
                <w:color w:val="auto"/>
                <w:lang w:val="en-US" w:eastAsia="zh-CN"/>
              </w:rPr>
              <w:t>技改</w:t>
            </w:r>
            <w:r>
              <w:rPr>
                <w:rFonts w:hint="default" w:ascii="Times New Roman" w:hAnsi="Times New Roman" w:cs="Times New Roman"/>
                <w:b/>
                <w:bCs/>
                <w:color w:val="auto"/>
              </w:rPr>
              <w:t>情况表</w:t>
            </w:r>
          </w:p>
          <w:tbl>
            <w:tblPr>
              <w:tblStyle w:val="16"/>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297"/>
              <w:gridCol w:w="2951"/>
              <w:gridCol w:w="2565"/>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1" w:hRule="atLeast"/>
                <w:tblHeader/>
                <w:jc w:val="center"/>
              </w:trPr>
              <w:tc>
                <w:tcPr>
                  <w:tcW w:w="1297" w:type="dxa"/>
                  <w:vAlign w:val="center"/>
                </w:tcPr>
                <w:p>
                  <w:pPr>
                    <w:pStyle w:val="20"/>
                    <w:bidi w:val="0"/>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类型</w:t>
                  </w:r>
                </w:p>
              </w:tc>
              <w:tc>
                <w:tcPr>
                  <w:tcW w:w="2951" w:type="dxa"/>
                  <w:vAlign w:val="center"/>
                </w:tcPr>
                <w:p>
                  <w:pPr>
                    <w:pStyle w:val="20"/>
                    <w:bidi w:val="0"/>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环评设计/审批内容</w:t>
                  </w:r>
                </w:p>
              </w:tc>
              <w:tc>
                <w:tcPr>
                  <w:tcW w:w="2565" w:type="dxa"/>
                  <w:vAlign w:val="center"/>
                </w:tcPr>
                <w:p>
                  <w:pPr>
                    <w:pStyle w:val="20"/>
                    <w:bidi w:val="0"/>
                    <w:ind w:firstLine="0" w:firstLineChars="0"/>
                    <w:rPr>
                      <w:rFonts w:hint="default" w:ascii="Times New Roman" w:hAnsi="Times New Roman" w:cs="Times New Roman"/>
                      <w:b/>
                      <w:bCs/>
                      <w:color w:val="auto"/>
                    </w:rPr>
                  </w:pPr>
                  <w:r>
                    <w:rPr>
                      <w:rFonts w:hint="default" w:ascii="Times New Roman" w:hAnsi="Times New Roman" w:cs="Times New Roman"/>
                      <w:b/>
                      <w:bCs/>
                      <w:color w:val="auto"/>
                      <w:lang w:eastAsia="zh-CN"/>
                    </w:rPr>
                    <w:t>实际建设</w:t>
                  </w:r>
                </w:p>
              </w:tc>
              <w:tc>
                <w:tcPr>
                  <w:tcW w:w="1344" w:type="dxa"/>
                  <w:vAlign w:val="center"/>
                </w:tcPr>
                <w:p>
                  <w:pPr>
                    <w:pStyle w:val="20"/>
                    <w:bidi w:val="0"/>
                    <w:ind w:firstLine="0" w:firstLineChars="0"/>
                    <w:rPr>
                      <w:rFonts w:hint="default" w:ascii="Times New Roman" w:hAnsi="Times New Roman" w:cs="Times New Roman"/>
                      <w:b/>
                      <w:bCs/>
                      <w:color w:val="auto"/>
                    </w:rPr>
                  </w:pPr>
                  <w:r>
                    <w:rPr>
                      <w:rFonts w:hint="default" w:ascii="Times New Roman" w:hAnsi="Times New Roman" w:cs="Times New Roman"/>
                      <w:b/>
                      <w:bCs/>
                      <w:color w:val="auto"/>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08" w:hRule="atLeast"/>
                <w:jc w:val="center"/>
              </w:trPr>
              <w:tc>
                <w:tcPr>
                  <w:tcW w:w="1297" w:type="dxa"/>
                  <w:vAlign w:val="center"/>
                </w:tcPr>
                <w:p>
                  <w:pPr>
                    <w:pStyle w:val="20"/>
                    <w:bidi w:val="0"/>
                    <w:rPr>
                      <w:rFonts w:hint="default" w:ascii="Times New Roman" w:hAnsi="Times New Roman" w:cs="Times New Roman"/>
                      <w:color w:val="auto"/>
                    </w:rPr>
                  </w:pPr>
                  <w:r>
                    <w:rPr>
                      <w:rFonts w:hint="eastAsia" w:ascii="Times New Roman" w:hAnsi="Times New Roman" w:cs="Times New Roman"/>
                      <w:b w:val="0"/>
                      <w:bCs w:val="0"/>
                      <w:color w:val="auto"/>
                      <w:lang w:val="en-US" w:eastAsia="zh-CN"/>
                    </w:rPr>
                    <w:t>技改内容</w:t>
                  </w:r>
                </w:p>
              </w:tc>
              <w:tc>
                <w:tcPr>
                  <w:tcW w:w="2951" w:type="dxa"/>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b w:val="0"/>
                      <w:bCs w:val="0"/>
                      <w:color w:val="auto"/>
                      <w:lang w:val="en-US" w:eastAsia="zh-CN"/>
                    </w:rPr>
                    <w:t>1、增加硫酸在线回收设备，减少新酸用量和废酸排放；2、砂扩散（天然气）改电感应加热（电加热），锆砂淬火改水淬火，一期铅淬火改水淬火；3、部分预处理取消酸洗，改砂带机；4、更换高效污泥烘干设备。</w:t>
                  </w:r>
                </w:p>
              </w:tc>
              <w:tc>
                <w:tcPr>
                  <w:tcW w:w="2565" w:type="dxa"/>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b w:val="0"/>
                      <w:bCs w:val="0"/>
                      <w:color w:val="auto"/>
                      <w:lang w:val="en-US" w:eastAsia="zh-CN"/>
                    </w:rPr>
                    <w:t>1、增加硫酸在线回收设备，减少新酸用量和废酸排放；2、砂扩散（天然气）改电感应加热（电加热），锆砂淬火改水淬火，一期铅淬火改水淬火；3、部分预处理取消酸洗，改砂带机；4、更换高效污泥烘干设备。</w:t>
                  </w:r>
                </w:p>
              </w:tc>
              <w:tc>
                <w:tcPr>
                  <w:tcW w:w="1344" w:type="dxa"/>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58" w:hRule="atLeast"/>
                <w:jc w:val="center"/>
              </w:trPr>
              <w:tc>
                <w:tcPr>
                  <w:tcW w:w="1297" w:type="dxa"/>
                  <w:vAlign w:val="center"/>
                </w:tcPr>
                <w:p>
                  <w:pPr>
                    <w:pStyle w:val="20"/>
                    <w:bidi w:val="0"/>
                    <w:rPr>
                      <w:rFonts w:hint="default" w:ascii="Times New Roman" w:hAnsi="Times New Roman" w:cs="Times New Roman"/>
                      <w:color w:val="auto"/>
                    </w:rPr>
                  </w:pPr>
                  <w:r>
                    <w:rPr>
                      <w:rFonts w:hint="eastAsia" w:ascii="Times New Roman" w:hAnsi="Times New Roman" w:cs="Times New Roman"/>
                      <w:color w:val="auto"/>
                      <w:lang w:val="en-US" w:eastAsia="zh-CN"/>
                    </w:rPr>
                    <w:t>技改</w:t>
                  </w:r>
                  <w:r>
                    <w:rPr>
                      <w:rFonts w:hint="default" w:ascii="Times New Roman" w:hAnsi="Times New Roman" w:cs="Times New Roman"/>
                      <w:color w:val="auto"/>
                    </w:rPr>
                    <w:t>地点</w:t>
                  </w:r>
                </w:p>
              </w:tc>
              <w:tc>
                <w:tcPr>
                  <w:tcW w:w="2951" w:type="dxa"/>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张家港杨舍镇乘航河东路80号</w:t>
                  </w:r>
                </w:p>
              </w:tc>
              <w:tc>
                <w:tcPr>
                  <w:tcW w:w="2565" w:type="dxa"/>
                  <w:vAlign w:val="center"/>
                </w:tcPr>
                <w:p>
                  <w:pPr>
                    <w:pStyle w:val="20"/>
                    <w:bidi w:val="0"/>
                    <w:rPr>
                      <w:rFonts w:hint="default" w:ascii="Times New Roman" w:hAnsi="Times New Roman" w:cs="Times New Roman"/>
                      <w:color w:val="auto"/>
                    </w:rPr>
                  </w:pPr>
                  <w:r>
                    <w:rPr>
                      <w:rFonts w:hint="eastAsia" w:ascii="Times New Roman" w:hAnsi="Times New Roman" w:cs="Times New Roman"/>
                      <w:color w:val="auto"/>
                      <w:lang w:val="en-US" w:eastAsia="zh-CN"/>
                    </w:rPr>
                    <w:t>张家港杨舍镇乘航河东路80号</w:t>
                  </w:r>
                </w:p>
              </w:tc>
              <w:tc>
                <w:tcPr>
                  <w:tcW w:w="1344" w:type="dxa"/>
                  <w:vAlign w:val="center"/>
                </w:tcPr>
                <w:p>
                  <w:pPr>
                    <w:pStyle w:val="20"/>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1297" w:type="dxa"/>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卫生防护距离</w:t>
                  </w:r>
                </w:p>
              </w:tc>
              <w:tc>
                <w:tcPr>
                  <w:tcW w:w="2951" w:type="dxa"/>
                  <w:vAlign w:val="center"/>
                </w:tcPr>
                <w:p>
                  <w:pPr>
                    <w:pStyle w:val="20"/>
                    <w:bidi w:val="0"/>
                    <w:rPr>
                      <w:rFonts w:hint="default" w:ascii="Times New Roman" w:hAnsi="Times New Roman" w:eastAsia="宋体" w:cs="Times New Roman"/>
                      <w:color w:val="auto"/>
                      <w:lang w:val="en-US" w:eastAsia="zh-CN"/>
                    </w:rPr>
                  </w:pPr>
                  <w:r>
                    <w:rPr>
                      <w:rFonts w:hint="eastAsia"/>
                      <w:color w:val="auto"/>
                      <w:szCs w:val="21"/>
                    </w:rPr>
                    <w:t>本项目</w:t>
                  </w:r>
                  <w:r>
                    <w:rPr>
                      <w:rFonts w:hint="eastAsia" w:ascii="Times New Roman" w:hAnsi="Times New Roman" w:cs="Times New Roman"/>
                      <w:color w:val="auto"/>
                      <w:lang w:val="en-US" w:eastAsia="zh-CN"/>
                    </w:rPr>
                    <w:t>以厂界为起始点</w:t>
                  </w:r>
                  <w:r>
                    <w:rPr>
                      <w:rFonts w:hint="eastAsia"/>
                      <w:color w:val="auto"/>
                      <w:szCs w:val="21"/>
                    </w:rPr>
                    <w:t>向外设置100米</w:t>
                  </w:r>
                  <w:r>
                    <w:rPr>
                      <w:rFonts w:hint="eastAsia"/>
                      <w:color w:val="auto"/>
                      <w:szCs w:val="21"/>
                      <w:lang w:val="en-US" w:eastAsia="zh-CN"/>
                    </w:rPr>
                    <w:t>卫生防护距离</w:t>
                  </w:r>
                </w:p>
              </w:tc>
              <w:tc>
                <w:tcPr>
                  <w:tcW w:w="2565" w:type="dxa"/>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rPr>
                    <w:t>该卫生防护距离内目前没有居民等敏感保护目标</w:t>
                  </w:r>
                </w:p>
              </w:tc>
              <w:tc>
                <w:tcPr>
                  <w:tcW w:w="1344" w:type="dxa"/>
                  <w:vAlign w:val="center"/>
                </w:tcPr>
                <w:p>
                  <w:pPr>
                    <w:pStyle w:val="20"/>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1297"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总投资</w:t>
                  </w:r>
                </w:p>
              </w:tc>
              <w:tc>
                <w:tcPr>
                  <w:tcW w:w="2951" w:type="dxa"/>
                  <w:vAlign w:val="center"/>
                </w:tcPr>
                <w:p>
                  <w:pPr>
                    <w:pStyle w:val="20"/>
                    <w:bidi w:val="0"/>
                    <w:rPr>
                      <w:rFonts w:hint="default" w:ascii="Times New Roman" w:hAnsi="Times New Roman" w:cs="Times New Roman"/>
                      <w:color w:val="auto"/>
                    </w:rPr>
                  </w:pPr>
                  <w:r>
                    <w:rPr>
                      <w:rFonts w:hint="eastAsia" w:ascii="Times New Roman" w:hAnsi="Times New Roman" w:cs="Times New Roman"/>
                      <w:color w:val="auto"/>
                      <w:lang w:val="en-US" w:eastAsia="zh-CN"/>
                    </w:rPr>
                    <w:t>2097</w:t>
                  </w:r>
                  <w:r>
                    <w:rPr>
                      <w:rFonts w:hint="default" w:ascii="Times New Roman" w:hAnsi="Times New Roman" w:cs="Times New Roman"/>
                      <w:color w:val="auto"/>
                    </w:rPr>
                    <w:t xml:space="preserve"> 万元，环保投资 </w:t>
                  </w:r>
                  <w:r>
                    <w:rPr>
                      <w:rFonts w:hint="eastAsia" w:ascii="Times New Roman" w:hAnsi="Times New Roman" w:cs="Times New Roman"/>
                      <w:color w:val="auto"/>
                      <w:lang w:val="en-US" w:eastAsia="zh-CN"/>
                    </w:rPr>
                    <w:t>297</w:t>
                  </w:r>
                  <w:r>
                    <w:rPr>
                      <w:rFonts w:hint="default" w:ascii="Times New Roman" w:hAnsi="Times New Roman" w:cs="Times New Roman"/>
                      <w:color w:val="auto"/>
                    </w:rPr>
                    <w:t xml:space="preserve">万元，占总投资的 </w:t>
                  </w:r>
                  <w:r>
                    <w:rPr>
                      <w:rFonts w:hint="eastAsia" w:ascii="Times New Roman" w:hAnsi="Times New Roman" w:cs="Times New Roman"/>
                      <w:color w:val="auto"/>
                      <w:lang w:val="en-US" w:eastAsia="zh-CN"/>
                    </w:rPr>
                    <w:t>14.2</w:t>
                  </w:r>
                  <w:r>
                    <w:rPr>
                      <w:rFonts w:hint="default" w:ascii="Times New Roman" w:hAnsi="Times New Roman" w:cs="Times New Roman"/>
                      <w:color w:val="auto"/>
                    </w:rPr>
                    <w:t>%</w:t>
                  </w:r>
                </w:p>
              </w:tc>
              <w:tc>
                <w:tcPr>
                  <w:tcW w:w="2565"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同环评</w:t>
                  </w:r>
                </w:p>
              </w:tc>
              <w:tc>
                <w:tcPr>
                  <w:tcW w:w="1344"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08" w:hRule="atLeast"/>
                <w:jc w:val="center"/>
              </w:trPr>
              <w:tc>
                <w:tcPr>
                  <w:tcW w:w="1297"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占地面积</w:t>
                  </w:r>
                </w:p>
              </w:tc>
              <w:tc>
                <w:tcPr>
                  <w:tcW w:w="2951" w:type="dxa"/>
                  <w:vAlign w:val="center"/>
                </w:tcPr>
                <w:p>
                  <w:pPr>
                    <w:pStyle w:val="20"/>
                    <w:bidi w:val="0"/>
                    <w:rPr>
                      <w:rFonts w:hint="default" w:ascii="Times New Roman" w:hAnsi="Times New Roman" w:cs="Times New Roman"/>
                      <w:color w:val="auto"/>
                      <w:lang w:val="en-US"/>
                    </w:rPr>
                  </w:pPr>
                  <w:r>
                    <w:rPr>
                      <w:rFonts w:hint="eastAsia" w:ascii="Times New Roman" w:hAnsi="Times New Roman" w:cs="Times New Roman"/>
                      <w:color w:val="auto"/>
                      <w:lang w:val="en-US" w:eastAsia="zh-CN"/>
                    </w:rPr>
                    <w:t>依托原有厂房，原有厂房总占地面积69224.40m</w:t>
                  </w:r>
                  <w:r>
                    <w:rPr>
                      <w:rFonts w:hint="eastAsia" w:ascii="Times New Roman" w:hAnsi="Times New Roman" w:cs="Times New Roman"/>
                      <w:color w:val="auto"/>
                      <w:vertAlign w:val="superscript"/>
                      <w:lang w:val="en-US" w:eastAsia="zh-CN"/>
                    </w:rPr>
                    <w:t>2</w:t>
                  </w:r>
                </w:p>
              </w:tc>
              <w:tc>
                <w:tcPr>
                  <w:tcW w:w="2565" w:type="dxa"/>
                  <w:vAlign w:val="center"/>
                </w:tcPr>
                <w:p>
                  <w:pPr>
                    <w:pStyle w:val="20"/>
                    <w:bidi w:val="0"/>
                    <w:rPr>
                      <w:rFonts w:hint="default" w:ascii="Times New Roman" w:hAnsi="Times New Roman" w:cs="Times New Roman"/>
                      <w:color w:val="auto"/>
                    </w:rPr>
                  </w:pPr>
                  <w:r>
                    <w:rPr>
                      <w:rFonts w:hint="eastAsia" w:ascii="Times New Roman" w:hAnsi="Times New Roman" w:cs="Times New Roman"/>
                      <w:color w:val="auto"/>
                      <w:lang w:val="en-US" w:eastAsia="zh-CN"/>
                    </w:rPr>
                    <w:t>依托原有厂房，原有厂房总占地面积69224.40m</w:t>
                  </w:r>
                  <w:r>
                    <w:rPr>
                      <w:rFonts w:hint="eastAsia" w:ascii="Times New Roman" w:hAnsi="Times New Roman" w:cs="Times New Roman"/>
                      <w:color w:val="auto"/>
                      <w:vertAlign w:val="superscript"/>
                      <w:lang w:val="en-US" w:eastAsia="zh-CN"/>
                    </w:rPr>
                    <w:t>2</w:t>
                  </w:r>
                </w:p>
              </w:tc>
              <w:tc>
                <w:tcPr>
                  <w:tcW w:w="1344"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1297"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定员与生产制度</w:t>
                  </w:r>
                </w:p>
              </w:tc>
              <w:tc>
                <w:tcPr>
                  <w:tcW w:w="2951" w:type="dxa"/>
                  <w:vAlign w:val="center"/>
                </w:tcPr>
                <w:p>
                  <w:pPr>
                    <w:pStyle w:val="20"/>
                    <w:bidi w:val="0"/>
                    <w:rPr>
                      <w:rFonts w:hint="default" w:ascii="Times New Roman" w:hAnsi="Times New Roman" w:eastAsia="宋体" w:cs="Times New Roman"/>
                      <w:color w:val="auto"/>
                      <w:lang w:val="en-US" w:eastAsia="zh-CN"/>
                    </w:rPr>
                  </w:pPr>
                  <w:r>
                    <w:rPr>
                      <w:rFonts w:hint="eastAsia"/>
                      <w:snapToGrid w:val="0"/>
                      <w:color w:val="auto"/>
                      <w:kern w:val="0"/>
                      <w:szCs w:val="21"/>
                      <w:lang w:val="en-US" w:eastAsia="zh-CN"/>
                    </w:rPr>
                    <w:t>企业现有职工2200人，本次技改项目不新增员工，实行四班三运转，8小时/班，全年生产天数为330天，年操作时数为7920小时</w:t>
                  </w:r>
                  <w:r>
                    <w:rPr>
                      <w:rFonts w:hint="eastAsia"/>
                      <w:snapToGrid w:val="0"/>
                      <w:color w:val="auto"/>
                      <w:kern w:val="0"/>
                      <w:szCs w:val="21"/>
                      <w:lang w:eastAsia="zh-CN"/>
                    </w:rPr>
                    <w:t>。</w:t>
                  </w:r>
                  <w:r>
                    <w:rPr>
                      <w:rFonts w:hint="eastAsia"/>
                      <w:snapToGrid w:val="0"/>
                      <w:color w:val="auto"/>
                      <w:kern w:val="0"/>
                      <w:szCs w:val="21"/>
                      <w:lang w:val="en-US" w:eastAsia="zh-CN"/>
                    </w:rPr>
                    <w:t>本次新增的硫酸在线回收设备年运行300天，年操作时数为7200小时。</w:t>
                  </w:r>
                </w:p>
              </w:tc>
              <w:tc>
                <w:tcPr>
                  <w:tcW w:w="2565"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snapToGrid w:val="0"/>
                      <w:color w:val="auto"/>
                      <w:kern w:val="0"/>
                      <w:szCs w:val="21"/>
                      <w:lang w:val="en-US" w:eastAsia="zh-CN"/>
                    </w:rPr>
                    <w:t>企业现有职工2200人，本次技改项目不新增员工，实行四班三运转，8小时/班，全年生产天数为330天，年操作时数为7920小时</w:t>
                  </w:r>
                  <w:r>
                    <w:rPr>
                      <w:rFonts w:hint="eastAsia"/>
                      <w:snapToGrid w:val="0"/>
                      <w:color w:val="auto"/>
                      <w:kern w:val="0"/>
                      <w:szCs w:val="21"/>
                      <w:lang w:eastAsia="zh-CN"/>
                    </w:rPr>
                    <w:t>。</w:t>
                  </w:r>
                  <w:r>
                    <w:rPr>
                      <w:rFonts w:hint="eastAsia"/>
                      <w:snapToGrid w:val="0"/>
                      <w:color w:val="auto"/>
                      <w:kern w:val="0"/>
                      <w:szCs w:val="21"/>
                      <w:lang w:val="en-US" w:eastAsia="zh-CN"/>
                    </w:rPr>
                    <w:t>新增的硫酸在线回收设备年运行200天，年操作时数为1600小时。</w:t>
                  </w:r>
                </w:p>
              </w:tc>
              <w:tc>
                <w:tcPr>
                  <w:tcW w:w="1344" w:type="dxa"/>
                  <w:vAlign w:val="center"/>
                </w:tcPr>
                <w:p>
                  <w:pPr>
                    <w:pStyle w:val="20"/>
                    <w:bidi w:val="0"/>
                    <w:rPr>
                      <w:rFonts w:hint="default" w:ascii="Times New Roman" w:hAnsi="Times New Roman" w:cs="Times New Roman"/>
                      <w:color w:val="auto"/>
                      <w:lang w:val="en-US"/>
                    </w:rPr>
                  </w:pPr>
                  <w:r>
                    <w:rPr>
                      <w:rFonts w:hint="eastAsia"/>
                      <w:snapToGrid w:val="0"/>
                      <w:color w:val="auto"/>
                      <w:kern w:val="0"/>
                      <w:szCs w:val="21"/>
                      <w:lang w:val="en-US" w:eastAsia="zh-CN"/>
                    </w:rPr>
                    <w:t>硫酸在线回收设备年运行天数减少100天，年操作时数减少5600小时。</w:t>
                  </w:r>
                </w:p>
              </w:tc>
            </w:tr>
          </w:tbl>
          <w:p>
            <w:pPr>
              <w:keepNext w:val="0"/>
              <w:keepLines w:val="0"/>
              <w:pageBreakBefore w:val="0"/>
              <w:widowControl w:val="0"/>
              <w:kinsoku/>
              <w:wordWrap/>
              <w:topLinePunct w:val="0"/>
              <w:bidi w:val="0"/>
              <w:snapToGrid w:val="0"/>
              <w:spacing w:line="360" w:lineRule="auto"/>
              <w:jc w:val="center"/>
              <w:rPr>
                <w:rFonts w:hint="default" w:ascii="Times New Roman" w:hAnsi="Times New Roman" w:cs="Times New Roman"/>
                <w:b/>
                <w:bCs/>
                <w:color w:val="auto"/>
              </w:rPr>
            </w:pPr>
          </w:p>
          <w:p>
            <w:pPr>
              <w:keepNext w:val="0"/>
              <w:keepLines w:val="0"/>
              <w:pageBreakBefore w:val="0"/>
              <w:widowControl w:val="0"/>
              <w:kinsoku/>
              <w:wordWrap/>
              <w:topLinePunct w:val="0"/>
              <w:bidi w:val="0"/>
              <w:snapToGrid w:val="0"/>
              <w:spacing w:line="36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表2-</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 xml:space="preserve">  </w:t>
            </w:r>
            <w:r>
              <w:rPr>
                <w:rFonts w:hint="default" w:ascii="Times New Roman" w:hAnsi="Times New Roman" w:cs="Times New Roman"/>
                <w:b/>
                <w:bCs/>
                <w:color w:val="auto"/>
                <w:lang w:val="en-US" w:eastAsia="zh-CN"/>
              </w:rPr>
              <w:t>项目</w:t>
            </w:r>
            <w:r>
              <w:rPr>
                <w:rFonts w:hint="default" w:ascii="Times New Roman" w:hAnsi="Times New Roman" w:cs="Times New Roman"/>
                <w:b/>
                <w:bCs/>
                <w:color w:val="auto"/>
              </w:rPr>
              <w:t>公用和辅助工程</w:t>
            </w:r>
          </w:p>
          <w:tbl>
            <w:tblPr>
              <w:tblStyle w:val="16"/>
              <w:tblW w:w="8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592"/>
              <w:gridCol w:w="581"/>
              <w:gridCol w:w="1543"/>
              <w:gridCol w:w="1779"/>
              <w:gridCol w:w="1585"/>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22" w:type="dxa"/>
                  <w:noWrap w:val="0"/>
                  <w:vAlign w:val="center"/>
                </w:tcPr>
                <w:p>
                  <w:pPr>
                    <w:pStyle w:val="20"/>
                    <w:bidi w:val="0"/>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1173" w:type="dxa"/>
                  <w:gridSpan w:val="2"/>
                  <w:noWrap w:val="0"/>
                  <w:vAlign w:val="center"/>
                </w:tcPr>
                <w:p>
                  <w:pPr>
                    <w:pStyle w:val="20"/>
                    <w:bidi w:val="0"/>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建设名称</w:t>
                  </w:r>
                </w:p>
              </w:tc>
              <w:tc>
                <w:tcPr>
                  <w:tcW w:w="1543" w:type="dxa"/>
                  <w:noWrap w:val="0"/>
                  <w:vAlign w:val="center"/>
                </w:tcPr>
                <w:p>
                  <w:pPr>
                    <w:pStyle w:val="20"/>
                    <w:bidi w:val="0"/>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设计能力</w:t>
                  </w:r>
                </w:p>
              </w:tc>
              <w:tc>
                <w:tcPr>
                  <w:tcW w:w="1779" w:type="dxa"/>
                  <w:noWrap w:val="0"/>
                  <w:vAlign w:val="center"/>
                </w:tcPr>
                <w:p>
                  <w:pPr>
                    <w:pStyle w:val="20"/>
                    <w:bidi w:val="0"/>
                    <w:ind w:firstLine="0" w:firstLineChars="0"/>
                    <w:jc w:val="center"/>
                    <w:rPr>
                      <w:rFonts w:hint="default" w:ascii="Times New Roman" w:hAnsi="Times New Roman" w:cs="Times New Roman"/>
                      <w:b/>
                      <w:bCs/>
                      <w:color w:val="auto"/>
                      <w:lang w:eastAsia="zh-CN"/>
                    </w:rPr>
                  </w:pPr>
                  <w:r>
                    <w:rPr>
                      <w:rFonts w:hint="default" w:ascii="Times New Roman" w:hAnsi="Times New Roman" w:cs="Times New Roman"/>
                      <w:b/>
                      <w:bCs/>
                      <w:color w:val="auto"/>
                    </w:rPr>
                    <w:t>备注</w:t>
                  </w:r>
                </w:p>
              </w:tc>
              <w:tc>
                <w:tcPr>
                  <w:tcW w:w="1585" w:type="dxa"/>
                  <w:noWrap w:val="0"/>
                  <w:vAlign w:val="center"/>
                </w:tcPr>
                <w:p>
                  <w:pPr>
                    <w:pStyle w:val="20"/>
                    <w:bidi w:val="0"/>
                    <w:ind w:firstLine="0" w:firstLineChars="0"/>
                    <w:jc w:val="center"/>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实际建设</w:t>
                  </w:r>
                </w:p>
              </w:tc>
              <w:tc>
                <w:tcPr>
                  <w:tcW w:w="1201" w:type="dxa"/>
                  <w:noWrap w:val="0"/>
                  <w:vAlign w:val="center"/>
                </w:tcPr>
                <w:p>
                  <w:pPr>
                    <w:pStyle w:val="20"/>
                    <w:bidi w:val="0"/>
                    <w:ind w:firstLine="0" w:firstLineChars="0"/>
                    <w:jc w:val="center"/>
                    <w:rPr>
                      <w:rFonts w:hint="default" w:ascii="Times New Roman" w:hAnsi="Times New Roman" w:cs="Times New Roman"/>
                      <w:b/>
                      <w:bCs/>
                      <w:color w:val="auto"/>
                      <w:lang w:eastAsia="zh-CN"/>
                    </w:rPr>
                  </w:pPr>
                  <w:r>
                    <w:rPr>
                      <w:rFonts w:hint="default" w:ascii="Times New Roman" w:hAnsi="Times New Roman" w:cs="Times New Roman"/>
                      <w:b/>
                      <w:bCs/>
                      <w:color w:val="auto"/>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22" w:type="dxa"/>
                  <w:vMerge w:val="restart"/>
                  <w:noWrap w:val="0"/>
                  <w:vAlign w:val="center"/>
                </w:tcPr>
                <w:p>
                  <w:pPr>
                    <w:pStyle w:val="20"/>
                    <w:bidi w:val="0"/>
                    <w:jc w:val="center"/>
                    <w:rPr>
                      <w:rFonts w:hint="default" w:ascii="Times New Roman" w:hAnsi="Times New Roman" w:cs="Times New Roman"/>
                      <w:color w:val="auto"/>
                    </w:rPr>
                  </w:pPr>
                  <w:r>
                    <w:rPr>
                      <w:rFonts w:hint="default" w:ascii="Times New Roman" w:hAnsi="Times New Roman" w:cs="Times New Roman"/>
                      <w:color w:val="auto"/>
                    </w:rPr>
                    <w:t>公用</w:t>
                  </w:r>
                </w:p>
                <w:p>
                  <w:pPr>
                    <w:pStyle w:val="20"/>
                    <w:bidi w:val="0"/>
                    <w:jc w:val="center"/>
                    <w:rPr>
                      <w:rFonts w:hint="default" w:ascii="Times New Roman" w:hAnsi="Times New Roman" w:cs="Times New Roman"/>
                      <w:color w:val="auto"/>
                    </w:rPr>
                  </w:pPr>
                  <w:r>
                    <w:rPr>
                      <w:rFonts w:hint="default" w:ascii="Times New Roman" w:hAnsi="Times New Roman" w:cs="Times New Roman"/>
                      <w:color w:val="auto"/>
                    </w:rPr>
                    <w:t>工程</w:t>
                  </w:r>
                </w:p>
              </w:tc>
              <w:tc>
                <w:tcPr>
                  <w:tcW w:w="1173" w:type="dxa"/>
                  <w:gridSpan w:val="2"/>
                  <w:noWrap w:val="0"/>
                  <w:vAlign w:val="center"/>
                </w:tcPr>
                <w:p>
                  <w:pPr>
                    <w:pStyle w:val="20"/>
                    <w:bidi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给水</w:t>
                  </w:r>
                </w:p>
              </w:tc>
              <w:tc>
                <w:tcPr>
                  <w:tcW w:w="1543" w:type="dxa"/>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1499721.8m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/a</w:t>
                  </w:r>
                </w:p>
              </w:tc>
              <w:tc>
                <w:tcPr>
                  <w:tcW w:w="1779" w:type="dxa"/>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依托原有市政管网及第一污水处理厂尾水</w:t>
                  </w:r>
                </w:p>
              </w:tc>
              <w:tc>
                <w:tcPr>
                  <w:tcW w:w="1585" w:type="dxa"/>
                  <w:noWrap w:val="0"/>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1499721.8m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/a</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22" w:type="dxa"/>
                  <w:vMerge w:val="continue"/>
                  <w:noWrap w:val="0"/>
                  <w:vAlign w:val="center"/>
                </w:tcPr>
                <w:p>
                  <w:pPr>
                    <w:pStyle w:val="20"/>
                    <w:bidi w:val="0"/>
                    <w:jc w:val="center"/>
                    <w:rPr>
                      <w:rFonts w:hint="default" w:ascii="Times New Roman" w:hAnsi="Times New Roman" w:cs="Times New Roman"/>
                      <w:color w:val="auto"/>
                    </w:rPr>
                  </w:pPr>
                </w:p>
              </w:tc>
              <w:tc>
                <w:tcPr>
                  <w:tcW w:w="1173" w:type="dxa"/>
                  <w:gridSpan w:val="2"/>
                  <w:vMerge w:val="restart"/>
                  <w:noWrap w:val="0"/>
                  <w:vAlign w:val="center"/>
                </w:tcPr>
                <w:p>
                  <w:pPr>
                    <w:pStyle w:val="20"/>
                    <w:bidi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排水</w:t>
                  </w:r>
                </w:p>
              </w:tc>
              <w:tc>
                <w:tcPr>
                  <w:tcW w:w="1543" w:type="dxa"/>
                  <w:noWrap w:val="0"/>
                  <w:vAlign w:val="center"/>
                </w:tcPr>
                <w:p>
                  <w:pPr>
                    <w:pStyle w:val="20"/>
                    <w:bidi w:val="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生产废水</w:t>
                  </w:r>
                </w:p>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2159710m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/a</w:t>
                  </w:r>
                </w:p>
              </w:tc>
              <w:tc>
                <w:tcPr>
                  <w:tcW w:w="1779" w:type="dxa"/>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依托原有污水处理及中水回用设施</w:t>
                  </w:r>
                </w:p>
              </w:tc>
              <w:tc>
                <w:tcPr>
                  <w:tcW w:w="1585" w:type="dxa"/>
                  <w:noWrap w:val="0"/>
                  <w:vAlign w:val="center"/>
                </w:tcPr>
                <w:p>
                  <w:pPr>
                    <w:pStyle w:val="20"/>
                    <w:bidi w:val="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生产废水</w:t>
                  </w:r>
                </w:p>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2159710m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/a</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22" w:type="dxa"/>
                  <w:vMerge w:val="continue"/>
                  <w:noWrap w:val="0"/>
                  <w:vAlign w:val="center"/>
                </w:tcPr>
                <w:p>
                  <w:pPr>
                    <w:pStyle w:val="20"/>
                    <w:bidi w:val="0"/>
                    <w:jc w:val="center"/>
                    <w:rPr>
                      <w:rFonts w:hint="default" w:ascii="Times New Roman" w:hAnsi="Times New Roman" w:cs="Times New Roman"/>
                      <w:color w:val="auto"/>
                    </w:rPr>
                  </w:pPr>
                </w:p>
              </w:tc>
              <w:tc>
                <w:tcPr>
                  <w:tcW w:w="1173" w:type="dxa"/>
                  <w:gridSpan w:val="2"/>
                  <w:vMerge w:val="continue"/>
                  <w:noWrap w:val="0"/>
                  <w:vAlign w:val="center"/>
                </w:tcPr>
                <w:p>
                  <w:pPr>
                    <w:pStyle w:val="20"/>
                    <w:bidi w:val="0"/>
                    <w:jc w:val="center"/>
                    <w:rPr>
                      <w:rFonts w:hint="default" w:ascii="Times New Roman" w:hAnsi="Times New Roman" w:eastAsia="宋体" w:cs="Times New Roman"/>
                      <w:color w:val="auto"/>
                      <w:lang w:val="en-US" w:eastAsia="zh-CN"/>
                    </w:rPr>
                  </w:pPr>
                </w:p>
              </w:tc>
              <w:tc>
                <w:tcPr>
                  <w:tcW w:w="1543" w:type="dxa"/>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生活污水</w:t>
                  </w:r>
                </w:p>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55200m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/a</w:t>
                  </w:r>
                </w:p>
              </w:tc>
              <w:tc>
                <w:tcPr>
                  <w:tcW w:w="1779" w:type="dxa"/>
                  <w:noWrap w:val="0"/>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接入市政污水管网</w:t>
                  </w:r>
                </w:p>
              </w:tc>
              <w:tc>
                <w:tcPr>
                  <w:tcW w:w="1585" w:type="dxa"/>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生活污水</w:t>
                  </w:r>
                </w:p>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55200m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/a</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22" w:type="dxa"/>
                  <w:vMerge w:val="continue"/>
                  <w:noWrap w:val="0"/>
                  <w:vAlign w:val="center"/>
                </w:tcPr>
                <w:p>
                  <w:pPr>
                    <w:pStyle w:val="20"/>
                    <w:bidi w:val="0"/>
                    <w:jc w:val="center"/>
                    <w:rPr>
                      <w:rFonts w:hint="default" w:ascii="Times New Roman" w:hAnsi="Times New Roman" w:cs="Times New Roman"/>
                      <w:color w:val="auto"/>
                    </w:rPr>
                  </w:pPr>
                </w:p>
              </w:tc>
              <w:tc>
                <w:tcPr>
                  <w:tcW w:w="1173" w:type="dxa"/>
                  <w:gridSpan w:val="2"/>
                  <w:noWrap w:val="0"/>
                  <w:vAlign w:val="center"/>
                </w:tcPr>
                <w:p>
                  <w:pPr>
                    <w:pStyle w:val="20"/>
                    <w:bidi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供电</w:t>
                  </w:r>
                </w:p>
              </w:tc>
              <w:tc>
                <w:tcPr>
                  <w:tcW w:w="1543" w:type="dxa"/>
                  <w:noWrap w:val="0"/>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技改项目新增用电量40万千瓦时/年，厂区现有装机容量满足需求</w:t>
                  </w:r>
                </w:p>
              </w:tc>
              <w:tc>
                <w:tcPr>
                  <w:tcW w:w="1779" w:type="dxa"/>
                  <w:noWrap w:val="0"/>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由国家电网供应</w:t>
                  </w:r>
                </w:p>
              </w:tc>
              <w:tc>
                <w:tcPr>
                  <w:tcW w:w="1585" w:type="dxa"/>
                  <w:noWrap w:val="0"/>
                  <w:vAlign w:val="center"/>
                </w:tcPr>
                <w:p>
                  <w:pPr>
                    <w:pStyle w:val="20"/>
                    <w:bidi w:val="0"/>
                    <w:ind w:firstLine="0" w:firstLineChars="0"/>
                    <w:jc w:val="center"/>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技改项目新增用电量40万千瓦时/年，厂区现有装机容量满足需求</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22" w:type="dxa"/>
                  <w:vMerge w:val="continue"/>
                  <w:noWrap w:val="0"/>
                  <w:vAlign w:val="center"/>
                </w:tcPr>
                <w:p>
                  <w:pPr>
                    <w:pStyle w:val="20"/>
                    <w:bidi w:val="0"/>
                    <w:jc w:val="center"/>
                    <w:rPr>
                      <w:rFonts w:hint="default" w:ascii="Times New Roman" w:hAnsi="Times New Roman" w:cs="Times New Roman"/>
                      <w:color w:val="auto"/>
                    </w:rPr>
                  </w:pPr>
                </w:p>
              </w:tc>
              <w:tc>
                <w:tcPr>
                  <w:tcW w:w="1173" w:type="dxa"/>
                  <w:gridSpan w:val="2"/>
                  <w:noWrap w:val="0"/>
                  <w:vAlign w:val="center"/>
                </w:tcPr>
                <w:p>
                  <w:pPr>
                    <w:pStyle w:val="20"/>
                    <w:bidi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天然气</w:t>
                  </w:r>
                </w:p>
              </w:tc>
              <w:tc>
                <w:tcPr>
                  <w:tcW w:w="1543" w:type="dxa"/>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1118.8m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/h</w:t>
                  </w:r>
                </w:p>
              </w:tc>
              <w:tc>
                <w:tcPr>
                  <w:tcW w:w="1779" w:type="dxa"/>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依托原有管道</w:t>
                  </w:r>
                </w:p>
              </w:tc>
              <w:tc>
                <w:tcPr>
                  <w:tcW w:w="1585" w:type="dxa"/>
                  <w:noWrap w:val="0"/>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1118.8m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/h</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22" w:type="dxa"/>
                  <w:vMerge w:val="continue"/>
                  <w:noWrap w:val="0"/>
                  <w:vAlign w:val="center"/>
                </w:tcPr>
                <w:p>
                  <w:pPr>
                    <w:pStyle w:val="20"/>
                    <w:bidi w:val="0"/>
                    <w:jc w:val="center"/>
                    <w:rPr>
                      <w:rFonts w:hint="default" w:ascii="Times New Roman" w:hAnsi="Times New Roman" w:cs="Times New Roman"/>
                      <w:color w:val="auto"/>
                    </w:rPr>
                  </w:pPr>
                </w:p>
              </w:tc>
              <w:tc>
                <w:tcPr>
                  <w:tcW w:w="1173" w:type="dxa"/>
                  <w:gridSpan w:val="2"/>
                  <w:noWrap w:val="0"/>
                  <w:vAlign w:val="center"/>
                </w:tcPr>
                <w:p>
                  <w:pPr>
                    <w:pStyle w:val="20"/>
                    <w:bidi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蒸汽</w:t>
                  </w:r>
                </w:p>
              </w:tc>
              <w:tc>
                <w:tcPr>
                  <w:tcW w:w="1543" w:type="dxa"/>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11.1t/h</w:t>
                  </w:r>
                </w:p>
              </w:tc>
              <w:tc>
                <w:tcPr>
                  <w:tcW w:w="1779" w:type="dxa"/>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依托原有管道</w:t>
                  </w:r>
                </w:p>
              </w:tc>
              <w:tc>
                <w:tcPr>
                  <w:tcW w:w="1585" w:type="dxa"/>
                  <w:noWrap w:val="0"/>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11.1t/h</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22" w:type="dxa"/>
                  <w:vMerge w:val="continue"/>
                  <w:noWrap w:val="0"/>
                  <w:vAlign w:val="center"/>
                </w:tcPr>
                <w:p>
                  <w:pPr>
                    <w:pStyle w:val="20"/>
                    <w:bidi w:val="0"/>
                    <w:ind w:firstLine="0" w:firstLineChars="0"/>
                    <w:rPr>
                      <w:color w:val="auto"/>
                    </w:rPr>
                  </w:pPr>
                </w:p>
              </w:tc>
              <w:tc>
                <w:tcPr>
                  <w:tcW w:w="1173" w:type="dxa"/>
                  <w:gridSpan w:val="2"/>
                  <w:noWrap w:val="0"/>
                  <w:vAlign w:val="center"/>
                </w:tcPr>
                <w:p>
                  <w:pPr>
                    <w:pStyle w:val="20"/>
                    <w:bidi w:val="0"/>
                    <w:ind w:firstLine="0" w:firstLineChars="0"/>
                    <w:rPr>
                      <w:rFonts w:hint="default" w:eastAsia="宋体"/>
                      <w:color w:val="auto"/>
                      <w:lang w:val="en-US" w:eastAsia="zh-CN"/>
                    </w:rPr>
                  </w:pPr>
                  <w:r>
                    <w:rPr>
                      <w:rFonts w:hint="eastAsia"/>
                      <w:color w:val="auto"/>
                      <w:lang w:val="en-US" w:eastAsia="zh-CN"/>
                    </w:rPr>
                    <w:t>循环冷却水</w:t>
                  </w:r>
                </w:p>
              </w:tc>
              <w:tc>
                <w:tcPr>
                  <w:tcW w:w="1543"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/h</w:t>
                  </w:r>
                </w:p>
              </w:tc>
              <w:tc>
                <w:tcPr>
                  <w:tcW w:w="1779"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依托原有设备</w:t>
                  </w:r>
                </w:p>
              </w:tc>
              <w:tc>
                <w:tcPr>
                  <w:tcW w:w="1585"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500m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/h</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22" w:type="dxa"/>
                  <w:vMerge w:val="continue"/>
                  <w:noWrap w:val="0"/>
                  <w:vAlign w:val="center"/>
                </w:tcPr>
                <w:p>
                  <w:pPr>
                    <w:pStyle w:val="20"/>
                    <w:bidi w:val="0"/>
                    <w:ind w:firstLine="0" w:firstLineChars="0"/>
                    <w:rPr>
                      <w:rFonts w:hint="default" w:ascii="Times New Roman" w:hAnsi="Times New Roman" w:cs="Times New Roman"/>
                      <w:color w:val="auto"/>
                      <w:lang w:val="en-US" w:eastAsia="zh-CN"/>
                    </w:rPr>
                  </w:pPr>
                </w:p>
              </w:tc>
              <w:tc>
                <w:tcPr>
                  <w:tcW w:w="1173" w:type="dxa"/>
                  <w:gridSpan w:val="2"/>
                  <w:noWrap w:val="0"/>
                  <w:vAlign w:val="center"/>
                </w:tcPr>
                <w:p>
                  <w:pPr>
                    <w:pStyle w:val="20"/>
                    <w:bidi w:val="0"/>
                    <w:ind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纯水制备系统</w:t>
                  </w:r>
                </w:p>
              </w:tc>
              <w:tc>
                <w:tcPr>
                  <w:tcW w:w="1543"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83.3m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/h</w:t>
                  </w:r>
                </w:p>
              </w:tc>
              <w:tc>
                <w:tcPr>
                  <w:tcW w:w="1779"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依托原有设备</w:t>
                  </w:r>
                </w:p>
              </w:tc>
              <w:tc>
                <w:tcPr>
                  <w:tcW w:w="1585"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83.3m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/h</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22" w:type="dxa"/>
                  <w:vMerge w:val="continue"/>
                  <w:noWrap w:val="0"/>
                  <w:vAlign w:val="center"/>
                </w:tcPr>
                <w:p>
                  <w:pPr>
                    <w:pStyle w:val="20"/>
                    <w:bidi w:val="0"/>
                    <w:jc w:val="center"/>
                    <w:rPr>
                      <w:rFonts w:hint="default" w:ascii="Times New Roman" w:hAnsi="Times New Roman" w:cs="Times New Roman"/>
                      <w:color w:val="auto"/>
                    </w:rPr>
                  </w:pPr>
                </w:p>
              </w:tc>
              <w:tc>
                <w:tcPr>
                  <w:tcW w:w="1173" w:type="dxa"/>
                  <w:gridSpan w:val="2"/>
                  <w:noWrap w:val="0"/>
                  <w:vAlign w:val="center"/>
                </w:tcPr>
                <w:p>
                  <w:pPr>
                    <w:pStyle w:val="20"/>
                    <w:bidi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事故应急池</w:t>
                  </w:r>
                </w:p>
              </w:tc>
              <w:tc>
                <w:tcPr>
                  <w:tcW w:w="1543" w:type="dxa"/>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r>
                    <w:rPr>
                      <w:rFonts w:hint="default" w:ascii="Arial" w:hAnsi="Arial" w:cs="Arial"/>
                      <w:color w:val="auto"/>
                      <w:lang w:val="en-US" w:eastAsia="zh-CN"/>
                    </w:rPr>
                    <w:t>×</w:t>
                  </w:r>
                  <w:r>
                    <w:rPr>
                      <w:rFonts w:hint="eastAsia" w:ascii="Times New Roman" w:hAnsi="Times New Roman" w:cs="Times New Roman"/>
                      <w:color w:val="auto"/>
                      <w:lang w:val="en-US" w:eastAsia="zh-CN"/>
                    </w:rPr>
                    <w:t>750m</w:t>
                  </w:r>
                  <w:r>
                    <w:rPr>
                      <w:rFonts w:hint="eastAsia" w:ascii="Times New Roman" w:hAnsi="Times New Roman" w:cs="Times New Roman"/>
                      <w:color w:val="auto"/>
                      <w:vertAlign w:val="superscript"/>
                      <w:lang w:val="en-US" w:eastAsia="zh-CN"/>
                    </w:rPr>
                    <w:t>3</w:t>
                  </w:r>
                </w:p>
              </w:tc>
              <w:tc>
                <w:tcPr>
                  <w:tcW w:w="1779" w:type="dxa"/>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依托原有设备</w:t>
                  </w:r>
                </w:p>
              </w:tc>
              <w:tc>
                <w:tcPr>
                  <w:tcW w:w="1585" w:type="dxa"/>
                  <w:noWrap w:val="0"/>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2</w:t>
                  </w:r>
                  <w:r>
                    <w:rPr>
                      <w:rFonts w:hint="default" w:ascii="Arial" w:hAnsi="Arial" w:cs="Arial"/>
                      <w:color w:val="auto"/>
                      <w:lang w:val="en-US" w:eastAsia="zh-CN"/>
                    </w:rPr>
                    <w:t>×</w:t>
                  </w:r>
                  <w:r>
                    <w:rPr>
                      <w:rFonts w:hint="eastAsia" w:ascii="Times New Roman" w:hAnsi="Times New Roman" w:cs="Times New Roman"/>
                      <w:color w:val="auto"/>
                      <w:lang w:val="en-US" w:eastAsia="zh-CN"/>
                    </w:rPr>
                    <w:t>750m</w:t>
                  </w:r>
                  <w:r>
                    <w:rPr>
                      <w:rFonts w:hint="eastAsia" w:ascii="Times New Roman" w:hAnsi="Times New Roman" w:cs="Times New Roman"/>
                      <w:color w:val="auto"/>
                      <w:vertAlign w:val="superscript"/>
                      <w:lang w:val="en-US" w:eastAsia="zh-CN"/>
                    </w:rPr>
                    <w:t>3</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22" w:type="dxa"/>
                  <w:vMerge w:val="restart"/>
                  <w:noWrap w:val="0"/>
                  <w:vAlign w:val="center"/>
                </w:tcPr>
                <w:p>
                  <w:pPr>
                    <w:pStyle w:val="20"/>
                    <w:bidi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储运工程</w:t>
                  </w:r>
                </w:p>
              </w:tc>
              <w:tc>
                <w:tcPr>
                  <w:tcW w:w="1173" w:type="dxa"/>
                  <w:gridSpan w:val="2"/>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原料库</w:t>
                  </w:r>
                </w:p>
              </w:tc>
              <w:tc>
                <w:tcPr>
                  <w:tcW w:w="1543" w:type="dxa"/>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101车间1个20t卧式硫酸储罐，201车间2个20t卧式硫酸储罐，301车间2个卧式盐酸储罐，401车间2个立式盐酸储罐</w:t>
                  </w:r>
                </w:p>
              </w:tc>
              <w:tc>
                <w:tcPr>
                  <w:tcW w:w="1779" w:type="dxa"/>
                  <w:noWrap w:val="0"/>
                  <w:vAlign w:val="center"/>
                </w:tcPr>
                <w:p>
                  <w:pPr>
                    <w:pStyle w:val="20"/>
                    <w:bidi w:val="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依托原有设备</w:t>
                  </w:r>
                </w:p>
              </w:tc>
              <w:tc>
                <w:tcPr>
                  <w:tcW w:w="1585" w:type="dxa"/>
                  <w:noWrap w:val="0"/>
                  <w:vAlign w:val="center"/>
                </w:tcPr>
                <w:p>
                  <w:pPr>
                    <w:pStyle w:val="20"/>
                    <w:bidi w:val="0"/>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101车间1个20t卧式硫酸储罐，201车间2个20t卧式硫酸储罐，301车间2个卧式盐酸储罐，401车间2个立式盐酸储罐</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22" w:type="dxa"/>
                  <w:vMerge w:val="continue"/>
                  <w:noWrap w:val="0"/>
                  <w:vAlign w:val="center"/>
                </w:tcPr>
                <w:p>
                  <w:pPr>
                    <w:pStyle w:val="20"/>
                    <w:bidi w:val="0"/>
                    <w:jc w:val="center"/>
                    <w:rPr>
                      <w:rFonts w:hint="eastAsia" w:ascii="Times New Roman" w:hAnsi="Times New Roman" w:cs="Times New Roman"/>
                      <w:color w:val="auto"/>
                      <w:lang w:val="en-US" w:eastAsia="zh-CN"/>
                    </w:rPr>
                  </w:pPr>
                </w:p>
              </w:tc>
              <w:tc>
                <w:tcPr>
                  <w:tcW w:w="1173" w:type="dxa"/>
                  <w:gridSpan w:val="2"/>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成品库</w:t>
                  </w:r>
                </w:p>
              </w:tc>
              <w:tc>
                <w:tcPr>
                  <w:tcW w:w="1543" w:type="dxa"/>
                  <w:noWrap w:val="0"/>
                  <w:vAlign w:val="center"/>
                </w:tcPr>
                <w:p>
                  <w:pPr>
                    <w:pStyle w:val="20"/>
                    <w:bidi w:val="0"/>
                    <w:ind w:firstLine="0" w:firstLineChars="0"/>
                    <w:jc w:val="center"/>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w:t>
                  </w:r>
                </w:p>
              </w:tc>
              <w:tc>
                <w:tcPr>
                  <w:tcW w:w="1779" w:type="dxa"/>
                  <w:noWrap w:val="0"/>
                  <w:vAlign w:val="center"/>
                </w:tcPr>
                <w:p>
                  <w:pPr>
                    <w:pStyle w:val="20"/>
                    <w:bidi w:val="0"/>
                    <w:ind w:firstLine="0" w:firstLineChars="0"/>
                    <w:jc w:val="center"/>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依托原有设备</w:t>
                  </w:r>
                </w:p>
              </w:tc>
              <w:tc>
                <w:tcPr>
                  <w:tcW w:w="1585" w:type="dxa"/>
                  <w:noWrap w:val="0"/>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w:t>
                  </w:r>
                </w:p>
              </w:tc>
              <w:tc>
                <w:tcPr>
                  <w:tcW w:w="1201"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restart"/>
                  <w:noWrap w:val="0"/>
                  <w:vAlign w:val="center"/>
                </w:tcPr>
                <w:p>
                  <w:pPr>
                    <w:pStyle w:val="20"/>
                    <w:bidi w:val="0"/>
                    <w:jc w:val="center"/>
                    <w:rPr>
                      <w:rFonts w:hint="default" w:ascii="Times New Roman" w:hAnsi="Times New Roman" w:cs="Times New Roman"/>
                      <w:color w:val="auto"/>
                    </w:rPr>
                  </w:pPr>
                  <w:r>
                    <w:rPr>
                      <w:rFonts w:hint="default" w:ascii="Times New Roman" w:hAnsi="Times New Roman" w:cs="Times New Roman"/>
                      <w:color w:val="auto"/>
                    </w:rPr>
                    <w:t>环保工程</w:t>
                  </w:r>
                </w:p>
              </w:tc>
              <w:tc>
                <w:tcPr>
                  <w:tcW w:w="592" w:type="dxa"/>
                  <w:vMerge w:val="restart"/>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废气处理</w:t>
                  </w:r>
                </w:p>
              </w:tc>
              <w:tc>
                <w:tcPr>
                  <w:tcW w:w="581" w:type="dxa"/>
                  <w:vMerge w:val="restart"/>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酸洗酸雾</w:t>
                  </w:r>
                </w:p>
              </w:tc>
              <w:tc>
                <w:tcPr>
                  <w:tcW w:w="1543" w:type="dxa"/>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一期101车间设置3个酸雾净化塔和2根排气筒</w:t>
                  </w:r>
                </w:p>
              </w:tc>
              <w:tc>
                <w:tcPr>
                  <w:tcW w:w="1779" w:type="dxa"/>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取消101车间预处理酸洗</w:t>
                  </w:r>
                </w:p>
              </w:tc>
              <w:tc>
                <w:tcPr>
                  <w:tcW w:w="1585" w:type="dxa"/>
                  <w:noWrap w:val="0"/>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一期101车间设置3个酸雾净化塔和2根排气筒</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continue"/>
                  <w:noWrap w:val="0"/>
                  <w:vAlign w:val="center"/>
                </w:tcPr>
                <w:p>
                  <w:pPr>
                    <w:pStyle w:val="20"/>
                    <w:bidi w:val="0"/>
                    <w:jc w:val="center"/>
                    <w:rPr>
                      <w:rFonts w:hint="default" w:ascii="Times New Roman" w:hAnsi="Times New Roman" w:cs="Times New Roman"/>
                      <w:color w:val="auto"/>
                    </w:rPr>
                  </w:pPr>
                </w:p>
              </w:tc>
              <w:tc>
                <w:tcPr>
                  <w:tcW w:w="592" w:type="dxa"/>
                  <w:vMerge w:val="continue"/>
                  <w:noWrap w:val="0"/>
                  <w:tcMar>
                    <w:left w:w="0" w:type="dxa"/>
                    <w:right w:w="0" w:type="dxa"/>
                  </w:tcMar>
                  <w:vAlign w:val="center"/>
                </w:tcPr>
                <w:p>
                  <w:pPr>
                    <w:pStyle w:val="20"/>
                    <w:bidi w:val="0"/>
                    <w:jc w:val="center"/>
                    <w:rPr>
                      <w:rFonts w:hint="eastAsia" w:ascii="Times New Roman" w:hAnsi="Times New Roman" w:cs="Times New Roman"/>
                      <w:color w:val="auto"/>
                      <w:lang w:val="en-US" w:eastAsia="zh-CN"/>
                    </w:rPr>
                  </w:pPr>
                </w:p>
              </w:tc>
              <w:tc>
                <w:tcPr>
                  <w:tcW w:w="581" w:type="dxa"/>
                  <w:vMerge w:val="continue"/>
                  <w:noWrap w:val="0"/>
                  <w:tcMar>
                    <w:left w:w="0" w:type="dxa"/>
                    <w:right w:w="0" w:type="dxa"/>
                  </w:tcMar>
                  <w:vAlign w:val="center"/>
                </w:tcPr>
                <w:p>
                  <w:pPr>
                    <w:pStyle w:val="20"/>
                    <w:bidi w:val="0"/>
                    <w:jc w:val="center"/>
                    <w:rPr>
                      <w:rFonts w:hint="eastAsia" w:ascii="Times New Roman" w:hAnsi="Times New Roman" w:cs="Times New Roman"/>
                      <w:color w:val="auto"/>
                      <w:lang w:val="en-US" w:eastAsia="zh-CN"/>
                    </w:rPr>
                  </w:pPr>
                </w:p>
              </w:tc>
              <w:tc>
                <w:tcPr>
                  <w:tcW w:w="1543" w:type="dxa"/>
                  <w:noWrap w:val="0"/>
                  <w:tcMar>
                    <w:left w:w="0" w:type="dxa"/>
                    <w:right w:w="0" w:type="dxa"/>
                  </w:tcMar>
                  <w:vAlign w:val="center"/>
                </w:tcPr>
                <w:p>
                  <w:pPr>
                    <w:pStyle w:val="20"/>
                    <w:bidi w:val="0"/>
                    <w:ind w:firstLine="0" w:firstLineChars="0"/>
                    <w:jc w:val="center"/>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二期201车间设置3个酸雾净化塔和2根排气筒</w:t>
                  </w:r>
                </w:p>
              </w:tc>
              <w:tc>
                <w:tcPr>
                  <w:tcW w:w="1779" w:type="dxa"/>
                  <w:noWrap w:val="0"/>
                  <w:vAlign w:val="center"/>
                </w:tcPr>
                <w:p>
                  <w:pPr>
                    <w:pStyle w:val="20"/>
                    <w:bidi w:val="0"/>
                    <w:ind w:firstLine="0" w:firstLineChars="0"/>
                    <w:jc w:val="center"/>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取消201车间预处理酸洗</w:t>
                  </w:r>
                </w:p>
              </w:tc>
              <w:tc>
                <w:tcPr>
                  <w:tcW w:w="1585" w:type="dxa"/>
                  <w:noWrap w:val="0"/>
                  <w:vAlign w:val="center"/>
                </w:tcPr>
                <w:p>
                  <w:pPr>
                    <w:pStyle w:val="20"/>
                    <w:bidi w:val="0"/>
                    <w:ind w:firstLine="0" w:firstLineChars="0"/>
                    <w:jc w:val="center"/>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二期201车间设置3个酸雾净化塔和2根排气筒</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continue"/>
                  <w:noWrap w:val="0"/>
                  <w:vAlign w:val="center"/>
                </w:tcPr>
                <w:p>
                  <w:pPr>
                    <w:pStyle w:val="20"/>
                    <w:bidi w:val="0"/>
                    <w:jc w:val="center"/>
                    <w:rPr>
                      <w:rFonts w:hint="default" w:ascii="Times New Roman" w:hAnsi="Times New Roman" w:cs="Times New Roman"/>
                      <w:color w:val="auto"/>
                    </w:rPr>
                  </w:pPr>
                </w:p>
              </w:tc>
              <w:tc>
                <w:tcPr>
                  <w:tcW w:w="592" w:type="dxa"/>
                  <w:vMerge w:val="continue"/>
                  <w:noWrap w:val="0"/>
                  <w:tcMar>
                    <w:left w:w="0" w:type="dxa"/>
                    <w:right w:w="0" w:type="dxa"/>
                  </w:tcMar>
                  <w:vAlign w:val="center"/>
                </w:tcPr>
                <w:p>
                  <w:pPr>
                    <w:pStyle w:val="20"/>
                    <w:bidi w:val="0"/>
                    <w:jc w:val="center"/>
                    <w:rPr>
                      <w:rFonts w:hint="eastAsia" w:ascii="Times New Roman" w:hAnsi="Times New Roman" w:cs="Times New Roman"/>
                      <w:color w:val="auto"/>
                      <w:lang w:val="en-US" w:eastAsia="zh-CN"/>
                    </w:rPr>
                  </w:pPr>
                </w:p>
              </w:tc>
              <w:tc>
                <w:tcPr>
                  <w:tcW w:w="581" w:type="dxa"/>
                  <w:vMerge w:val="continue"/>
                  <w:noWrap w:val="0"/>
                  <w:tcMar>
                    <w:left w:w="0" w:type="dxa"/>
                    <w:right w:w="0" w:type="dxa"/>
                  </w:tcMar>
                  <w:vAlign w:val="center"/>
                </w:tcPr>
                <w:p>
                  <w:pPr>
                    <w:pStyle w:val="20"/>
                    <w:bidi w:val="0"/>
                    <w:jc w:val="center"/>
                    <w:rPr>
                      <w:rFonts w:hint="eastAsia" w:ascii="Times New Roman" w:hAnsi="Times New Roman" w:cs="Times New Roman"/>
                      <w:color w:val="auto"/>
                      <w:lang w:val="en-US" w:eastAsia="zh-CN"/>
                    </w:rPr>
                  </w:pPr>
                </w:p>
              </w:tc>
              <w:tc>
                <w:tcPr>
                  <w:tcW w:w="1543" w:type="dxa"/>
                  <w:noWrap w:val="0"/>
                  <w:tcMar>
                    <w:left w:w="0" w:type="dxa"/>
                    <w:right w:w="0" w:type="dxa"/>
                  </w:tcMar>
                  <w:vAlign w:val="center"/>
                </w:tcPr>
                <w:p>
                  <w:pPr>
                    <w:pStyle w:val="20"/>
                    <w:bidi w:val="0"/>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二期301车间设置4个酸雾净化塔和4根排气筒</w:t>
                  </w:r>
                </w:p>
              </w:tc>
              <w:tc>
                <w:tcPr>
                  <w:tcW w:w="1779" w:type="dxa"/>
                  <w:noWrap w:val="0"/>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依托原有</w:t>
                  </w:r>
                </w:p>
              </w:tc>
              <w:tc>
                <w:tcPr>
                  <w:tcW w:w="1585" w:type="dxa"/>
                  <w:noWrap w:val="0"/>
                  <w:vAlign w:val="center"/>
                </w:tcPr>
                <w:p>
                  <w:pPr>
                    <w:pStyle w:val="20"/>
                    <w:bidi w:val="0"/>
                    <w:ind w:firstLine="0" w:firstLineChars="0"/>
                    <w:jc w:val="center"/>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二期301车间设置4个酸雾净化塔和4根排气筒</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continue"/>
                  <w:noWrap w:val="0"/>
                  <w:vAlign w:val="center"/>
                </w:tcPr>
                <w:p>
                  <w:pPr>
                    <w:pStyle w:val="20"/>
                    <w:bidi w:val="0"/>
                    <w:jc w:val="center"/>
                    <w:rPr>
                      <w:rFonts w:hint="default" w:ascii="Times New Roman" w:hAnsi="Times New Roman" w:cs="Times New Roman"/>
                      <w:color w:val="auto"/>
                    </w:rPr>
                  </w:pPr>
                </w:p>
              </w:tc>
              <w:tc>
                <w:tcPr>
                  <w:tcW w:w="592" w:type="dxa"/>
                  <w:vMerge w:val="continue"/>
                  <w:noWrap w:val="0"/>
                  <w:tcMar>
                    <w:left w:w="0" w:type="dxa"/>
                    <w:right w:w="0" w:type="dxa"/>
                  </w:tcMar>
                  <w:vAlign w:val="center"/>
                </w:tcPr>
                <w:p>
                  <w:pPr>
                    <w:pStyle w:val="20"/>
                    <w:bidi w:val="0"/>
                    <w:jc w:val="center"/>
                    <w:rPr>
                      <w:rFonts w:hint="eastAsia" w:ascii="Times New Roman" w:hAnsi="Times New Roman" w:cs="Times New Roman"/>
                      <w:color w:val="auto"/>
                      <w:lang w:val="en-US" w:eastAsia="zh-CN"/>
                    </w:rPr>
                  </w:pPr>
                </w:p>
              </w:tc>
              <w:tc>
                <w:tcPr>
                  <w:tcW w:w="581" w:type="dxa"/>
                  <w:vMerge w:val="continue"/>
                  <w:noWrap w:val="0"/>
                  <w:tcMar>
                    <w:left w:w="0" w:type="dxa"/>
                    <w:right w:w="0" w:type="dxa"/>
                  </w:tcMar>
                  <w:vAlign w:val="center"/>
                </w:tcPr>
                <w:p>
                  <w:pPr>
                    <w:pStyle w:val="20"/>
                    <w:bidi w:val="0"/>
                    <w:jc w:val="center"/>
                    <w:rPr>
                      <w:rFonts w:hint="eastAsia" w:ascii="Times New Roman" w:hAnsi="Times New Roman" w:cs="Times New Roman"/>
                      <w:color w:val="auto"/>
                      <w:lang w:val="en-US" w:eastAsia="zh-CN"/>
                    </w:rPr>
                  </w:pPr>
                </w:p>
              </w:tc>
              <w:tc>
                <w:tcPr>
                  <w:tcW w:w="1543" w:type="dxa"/>
                  <w:noWrap w:val="0"/>
                  <w:tcMar>
                    <w:left w:w="0" w:type="dxa"/>
                    <w:right w:w="0" w:type="dxa"/>
                  </w:tcMar>
                  <w:vAlign w:val="center"/>
                </w:tcPr>
                <w:p>
                  <w:pPr>
                    <w:pStyle w:val="20"/>
                    <w:bidi w:val="0"/>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三期401车间设置19个酸雾净化塔和9根排气筒</w:t>
                  </w:r>
                </w:p>
              </w:tc>
              <w:tc>
                <w:tcPr>
                  <w:tcW w:w="1779" w:type="dxa"/>
                  <w:noWrap w:val="0"/>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取消401车间3个预处理酸洗槽</w:t>
                  </w:r>
                </w:p>
              </w:tc>
              <w:tc>
                <w:tcPr>
                  <w:tcW w:w="1585" w:type="dxa"/>
                  <w:noWrap w:val="0"/>
                  <w:vAlign w:val="center"/>
                </w:tcPr>
                <w:p>
                  <w:pPr>
                    <w:pStyle w:val="20"/>
                    <w:bidi w:val="0"/>
                    <w:ind w:firstLine="0" w:firstLineChars="0"/>
                    <w:jc w:val="center"/>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三期401车间设置19个酸雾净化塔和9根排气筒</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continue"/>
                  <w:noWrap w:val="0"/>
                  <w:vAlign w:val="center"/>
                </w:tcPr>
                <w:p>
                  <w:pPr>
                    <w:pStyle w:val="20"/>
                    <w:bidi w:val="0"/>
                    <w:jc w:val="center"/>
                    <w:rPr>
                      <w:rFonts w:hint="default" w:ascii="Times New Roman" w:hAnsi="Times New Roman" w:cs="Times New Roman"/>
                      <w:color w:val="auto"/>
                    </w:rPr>
                  </w:pPr>
                </w:p>
              </w:tc>
              <w:tc>
                <w:tcPr>
                  <w:tcW w:w="592" w:type="dxa"/>
                  <w:vMerge w:val="continue"/>
                  <w:noWrap w:val="0"/>
                  <w:tcMar>
                    <w:left w:w="0" w:type="dxa"/>
                    <w:right w:w="0" w:type="dxa"/>
                  </w:tcMar>
                  <w:vAlign w:val="center"/>
                </w:tcPr>
                <w:p>
                  <w:pPr>
                    <w:pStyle w:val="20"/>
                    <w:bidi w:val="0"/>
                    <w:jc w:val="center"/>
                    <w:rPr>
                      <w:rFonts w:hint="eastAsia" w:ascii="Times New Roman" w:hAnsi="Times New Roman" w:cs="Times New Roman"/>
                      <w:color w:val="auto"/>
                      <w:lang w:val="en-US" w:eastAsia="zh-CN"/>
                    </w:rPr>
                  </w:pPr>
                </w:p>
              </w:tc>
              <w:tc>
                <w:tcPr>
                  <w:tcW w:w="581" w:type="dxa"/>
                  <w:noWrap w:val="0"/>
                  <w:tcMar>
                    <w:left w:w="0" w:type="dxa"/>
                    <w:right w:w="0" w:type="dxa"/>
                  </w:tcMar>
                  <w:vAlign w:val="center"/>
                </w:tcPr>
                <w:p>
                  <w:pPr>
                    <w:pStyle w:val="20"/>
                    <w:bidi w:val="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储罐挥发酸雾</w:t>
                  </w:r>
                </w:p>
              </w:tc>
              <w:tc>
                <w:tcPr>
                  <w:tcW w:w="1543" w:type="dxa"/>
                  <w:noWrap w:val="0"/>
                  <w:tcMar>
                    <w:left w:w="0" w:type="dxa"/>
                    <w:right w:w="0" w:type="dxa"/>
                  </w:tcMar>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盐酸储罐经酸雾净化塔处理后通过排气筒排放</w:t>
                  </w:r>
                </w:p>
              </w:tc>
              <w:tc>
                <w:tcPr>
                  <w:tcW w:w="1779" w:type="dxa"/>
                  <w:noWrap w:val="0"/>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依托原有</w:t>
                  </w:r>
                </w:p>
              </w:tc>
              <w:tc>
                <w:tcPr>
                  <w:tcW w:w="1585" w:type="dxa"/>
                  <w:noWrap w:val="0"/>
                  <w:vAlign w:val="center"/>
                </w:tcPr>
                <w:p>
                  <w:pPr>
                    <w:pStyle w:val="20"/>
                    <w:bidi w:val="0"/>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盐酸储罐经酸雾净化塔处理后通过排气筒排放</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continue"/>
                  <w:noWrap w:val="0"/>
                  <w:vAlign w:val="center"/>
                </w:tcPr>
                <w:p>
                  <w:pPr>
                    <w:pStyle w:val="20"/>
                    <w:bidi w:val="0"/>
                    <w:jc w:val="center"/>
                    <w:rPr>
                      <w:rFonts w:hint="default" w:ascii="Times New Roman" w:hAnsi="Times New Roman" w:cs="Times New Roman"/>
                      <w:color w:val="auto"/>
                    </w:rPr>
                  </w:pPr>
                </w:p>
              </w:tc>
              <w:tc>
                <w:tcPr>
                  <w:tcW w:w="592" w:type="dxa"/>
                  <w:vMerge w:val="continue"/>
                  <w:noWrap w:val="0"/>
                  <w:tcMar>
                    <w:left w:w="0" w:type="dxa"/>
                    <w:right w:w="0" w:type="dxa"/>
                  </w:tcMar>
                  <w:vAlign w:val="center"/>
                </w:tcPr>
                <w:p>
                  <w:pPr>
                    <w:pStyle w:val="20"/>
                    <w:bidi w:val="0"/>
                    <w:jc w:val="center"/>
                    <w:rPr>
                      <w:rFonts w:hint="eastAsia" w:ascii="Times New Roman" w:hAnsi="Times New Roman" w:cs="Times New Roman"/>
                      <w:color w:val="auto"/>
                      <w:lang w:val="en-US" w:eastAsia="zh-CN"/>
                    </w:rPr>
                  </w:pPr>
                </w:p>
              </w:tc>
              <w:tc>
                <w:tcPr>
                  <w:tcW w:w="581" w:type="dxa"/>
                  <w:noWrap w:val="0"/>
                  <w:tcMar>
                    <w:left w:w="0" w:type="dxa"/>
                    <w:right w:w="0" w:type="dxa"/>
                  </w:tcMar>
                  <w:vAlign w:val="center"/>
                </w:tcPr>
                <w:p>
                  <w:pPr>
                    <w:pStyle w:val="20"/>
                    <w:bidi w:val="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硫酸回收设备酸雾</w:t>
                  </w:r>
                </w:p>
              </w:tc>
              <w:tc>
                <w:tcPr>
                  <w:tcW w:w="1543" w:type="dxa"/>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经酸雾净化塔处理后通过新增的1根排气筒排放</w:t>
                  </w:r>
                </w:p>
              </w:tc>
              <w:tc>
                <w:tcPr>
                  <w:tcW w:w="1779" w:type="dxa"/>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新增1套酸雾净化塔和1根排气筒</w:t>
                  </w:r>
                </w:p>
              </w:tc>
              <w:tc>
                <w:tcPr>
                  <w:tcW w:w="1585" w:type="dxa"/>
                  <w:noWrap w:val="0"/>
                  <w:vAlign w:val="center"/>
                </w:tcPr>
                <w:p>
                  <w:pPr>
                    <w:pStyle w:val="20"/>
                    <w:bidi w:val="0"/>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经酸雾净化塔处理后通过新增的1根排气筒排放</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continue"/>
                  <w:noWrap w:val="0"/>
                  <w:vAlign w:val="center"/>
                </w:tcPr>
                <w:p>
                  <w:pPr>
                    <w:pStyle w:val="20"/>
                    <w:bidi w:val="0"/>
                    <w:jc w:val="center"/>
                    <w:rPr>
                      <w:rFonts w:hint="default" w:ascii="Times New Roman" w:hAnsi="Times New Roman" w:cs="Times New Roman"/>
                      <w:color w:val="auto"/>
                    </w:rPr>
                  </w:pPr>
                </w:p>
              </w:tc>
              <w:tc>
                <w:tcPr>
                  <w:tcW w:w="592" w:type="dxa"/>
                  <w:vMerge w:val="continue"/>
                  <w:noWrap w:val="0"/>
                  <w:tcMar>
                    <w:left w:w="0" w:type="dxa"/>
                    <w:right w:w="0" w:type="dxa"/>
                  </w:tcMar>
                  <w:vAlign w:val="center"/>
                </w:tcPr>
                <w:p>
                  <w:pPr>
                    <w:pStyle w:val="20"/>
                    <w:bidi w:val="0"/>
                    <w:jc w:val="center"/>
                    <w:rPr>
                      <w:rFonts w:hint="eastAsia" w:ascii="Times New Roman" w:hAnsi="Times New Roman" w:cs="Times New Roman"/>
                      <w:color w:val="auto"/>
                      <w:lang w:val="en-US" w:eastAsia="zh-CN"/>
                    </w:rPr>
                  </w:pPr>
                </w:p>
              </w:tc>
              <w:tc>
                <w:tcPr>
                  <w:tcW w:w="581" w:type="dxa"/>
                  <w:noWrap w:val="0"/>
                  <w:tcMar>
                    <w:left w:w="0" w:type="dxa"/>
                    <w:right w:w="0" w:type="dxa"/>
                  </w:tcMar>
                  <w:vAlign w:val="center"/>
                </w:tcPr>
                <w:p>
                  <w:pPr>
                    <w:pStyle w:val="20"/>
                    <w:bidi w:val="0"/>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污泥烘干废气</w:t>
                  </w:r>
                </w:p>
              </w:tc>
              <w:tc>
                <w:tcPr>
                  <w:tcW w:w="1543" w:type="dxa"/>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经水喷淋塔处理后通过新增的1根排气筒排放</w:t>
                  </w:r>
                </w:p>
              </w:tc>
              <w:tc>
                <w:tcPr>
                  <w:tcW w:w="1779" w:type="dxa"/>
                  <w:noWrap w:val="0"/>
                  <w:vAlign w:val="center"/>
                </w:tcPr>
                <w:p>
                  <w:pPr>
                    <w:pStyle w:val="20"/>
                    <w:bidi w:val="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新增1套水喷淋塔和1根排气筒</w:t>
                  </w:r>
                </w:p>
              </w:tc>
              <w:tc>
                <w:tcPr>
                  <w:tcW w:w="1585" w:type="dxa"/>
                  <w:noWrap w:val="0"/>
                  <w:vAlign w:val="center"/>
                </w:tcPr>
                <w:p>
                  <w:pPr>
                    <w:pStyle w:val="20"/>
                    <w:bidi w:val="0"/>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经水喷淋塔处理后通过新增的1根排气筒排放</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continue"/>
                  <w:noWrap w:val="0"/>
                  <w:vAlign w:val="center"/>
                </w:tcPr>
                <w:p>
                  <w:pPr>
                    <w:pStyle w:val="20"/>
                    <w:bidi w:val="0"/>
                    <w:jc w:val="center"/>
                    <w:rPr>
                      <w:rFonts w:hint="default" w:ascii="Times New Roman" w:hAnsi="Times New Roman" w:cs="Times New Roman"/>
                      <w:color w:val="auto"/>
                    </w:rPr>
                  </w:pPr>
                </w:p>
              </w:tc>
              <w:tc>
                <w:tcPr>
                  <w:tcW w:w="592" w:type="dxa"/>
                  <w:vMerge w:val="continue"/>
                  <w:noWrap w:val="0"/>
                  <w:tcMar>
                    <w:left w:w="0" w:type="dxa"/>
                    <w:right w:w="0" w:type="dxa"/>
                  </w:tcMar>
                  <w:vAlign w:val="center"/>
                </w:tcPr>
                <w:p>
                  <w:pPr>
                    <w:pStyle w:val="20"/>
                    <w:bidi w:val="0"/>
                    <w:jc w:val="center"/>
                    <w:rPr>
                      <w:rFonts w:hint="eastAsia" w:ascii="Times New Roman" w:hAnsi="Times New Roman" w:cs="Times New Roman"/>
                      <w:color w:val="auto"/>
                      <w:lang w:val="en-US" w:eastAsia="zh-CN"/>
                    </w:rPr>
                  </w:pPr>
                </w:p>
              </w:tc>
              <w:tc>
                <w:tcPr>
                  <w:tcW w:w="581" w:type="dxa"/>
                  <w:noWrap w:val="0"/>
                  <w:tcMar>
                    <w:left w:w="0" w:type="dxa"/>
                    <w:right w:w="0" w:type="dxa"/>
                  </w:tcMar>
                  <w:vAlign w:val="center"/>
                </w:tcPr>
                <w:p>
                  <w:pPr>
                    <w:pStyle w:val="20"/>
                    <w:bidi w:val="0"/>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燃烧废气</w:t>
                  </w:r>
                </w:p>
              </w:tc>
              <w:tc>
                <w:tcPr>
                  <w:tcW w:w="1543" w:type="dxa"/>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直排，23根排气筒</w:t>
                  </w:r>
                </w:p>
              </w:tc>
              <w:tc>
                <w:tcPr>
                  <w:tcW w:w="1779" w:type="dxa"/>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依托原有</w:t>
                  </w:r>
                </w:p>
              </w:tc>
              <w:tc>
                <w:tcPr>
                  <w:tcW w:w="1585" w:type="dxa"/>
                  <w:noWrap w:val="0"/>
                  <w:vAlign w:val="center"/>
                </w:tcPr>
                <w:p>
                  <w:pPr>
                    <w:pStyle w:val="20"/>
                    <w:bidi w:val="0"/>
                    <w:ind w:firstLine="0" w:firstLineChars="0"/>
                    <w:jc w:val="center"/>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直排，23根排气筒</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722" w:type="dxa"/>
                  <w:vMerge w:val="continue"/>
                  <w:noWrap w:val="0"/>
                  <w:vAlign w:val="center"/>
                </w:tcPr>
                <w:p>
                  <w:pPr>
                    <w:pStyle w:val="20"/>
                    <w:bidi w:val="0"/>
                    <w:jc w:val="center"/>
                    <w:rPr>
                      <w:rFonts w:hint="default" w:ascii="Times New Roman" w:hAnsi="Times New Roman" w:cs="Times New Roman"/>
                      <w:color w:val="auto"/>
                    </w:rPr>
                  </w:pPr>
                </w:p>
              </w:tc>
              <w:tc>
                <w:tcPr>
                  <w:tcW w:w="592" w:type="dxa"/>
                  <w:vMerge w:val="restart"/>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废水处理</w:t>
                  </w:r>
                </w:p>
              </w:tc>
              <w:tc>
                <w:tcPr>
                  <w:tcW w:w="581" w:type="dxa"/>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废水处理站</w:t>
                  </w:r>
                </w:p>
              </w:tc>
              <w:tc>
                <w:tcPr>
                  <w:tcW w:w="1543" w:type="dxa"/>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厂区内共建有2座污水处理站，一期、二期项目共用1座污水站（设计处理量2200t/d），三期项目建有1座污水站（设计处理量5500t/d）</w:t>
                  </w:r>
                </w:p>
              </w:tc>
              <w:tc>
                <w:tcPr>
                  <w:tcW w:w="1779" w:type="dxa"/>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依托原有，生产废水经废水处理站处理后75%回用于生产，25%尾水达标排至周家塘河，最终汇入二干河。</w:t>
                  </w:r>
                </w:p>
              </w:tc>
              <w:tc>
                <w:tcPr>
                  <w:tcW w:w="1585" w:type="dxa"/>
                  <w:noWrap w:val="0"/>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厂区内共建有2座污水处理站，一期、二期项目共用1座污水站（设计处理量2200t/d），三期项目建有1座污水站（设计处理量5500t/d）</w:t>
                  </w:r>
                </w:p>
              </w:tc>
              <w:tc>
                <w:tcPr>
                  <w:tcW w:w="1201"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722" w:type="dxa"/>
                  <w:vMerge w:val="continue"/>
                  <w:noWrap w:val="0"/>
                  <w:vAlign w:val="center"/>
                </w:tcPr>
                <w:p>
                  <w:pPr>
                    <w:pStyle w:val="20"/>
                    <w:bidi w:val="0"/>
                    <w:ind w:firstLine="0" w:firstLineChars="0"/>
                    <w:rPr>
                      <w:color w:val="auto"/>
                    </w:rPr>
                  </w:pPr>
                </w:p>
              </w:tc>
              <w:tc>
                <w:tcPr>
                  <w:tcW w:w="592" w:type="dxa"/>
                  <w:vMerge w:val="continue"/>
                  <w:noWrap w:val="0"/>
                  <w:tcMar>
                    <w:left w:w="0" w:type="dxa"/>
                    <w:right w:w="0" w:type="dxa"/>
                  </w:tcMar>
                  <w:vAlign w:val="center"/>
                </w:tcPr>
                <w:p>
                  <w:pPr>
                    <w:pStyle w:val="20"/>
                    <w:bidi w:val="0"/>
                    <w:ind w:firstLine="0" w:firstLineChars="0"/>
                    <w:rPr>
                      <w:rFonts w:hint="default" w:ascii="Times New Roman" w:hAnsi="Times New Roman" w:cs="Times New Roman"/>
                      <w:color w:val="auto"/>
                      <w:lang w:val="en-US" w:eastAsia="zh-CN"/>
                    </w:rPr>
                  </w:pPr>
                </w:p>
              </w:tc>
              <w:tc>
                <w:tcPr>
                  <w:tcW w:w="581" w:type="dxa"/>
                  <w:noWrap w:val="0"/>
                  <w:tcMar>
                    <w:left w:w="0" w:type="dxa"/>
                    <w:right w:w="0" w:type="dxa"/>
                  </w:tcMar>
                  <w:vAlign w:val="center"/>
                </w:tcPr>
                <w:p>
                  <w:pPr>
                    <w:pStyle w:val="20"/>
                    <w:bidi w:val="0"/>
                    <w:ind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生活污水</w:t>
                  </w:r>
                </w:p>
              </w:tc>
              <w:tc>
                <w:tcPr>
                  <w:tcW w:w="1543" w:type="dxa"/>
                  <w:noWrap w:val="0"/>
                  <w:tcMar>
                    <w:left w:w="0" w:type="dxa"/>
                    <w:right w:w="0" w:type="dxa"/>
                  </w:tcMar>
                  <w:vAlign w:val="center"/>
                </w:tcPr>
                <w:p>
                  <w:pPr>
                    <w:pStyle w:val="20"/>
                    <w:bidi w:val="0"/>
                    <w:ind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接入市政污水管网进入张家港市给排水公司第三污水处理厂集中处理</w:t>
                  </w:r>
                </w:p>
              </w:tc>
              <w:tc>
                <w:tcPr>
                  <w:tcW w:w="1779" w:type="dxa"/>
                  <w:noWrap w:val="0"/>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依托原有</w:t>
                  </w:r>
                </w:p>
              </w:tc>
              <w:tc>
                <w:tcPr>
                  <w:tcW w:w="1585"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接入市政污水管网进入张家港市给排水公司第三污水处理厂集中处理</w:t>
                  </w:r>
                </w:p>
              </w:tc>
              <w:tc>
                <w:tcPr>
                  <w:tcW w:w="1201"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22" w:type="dxa"/>
                  <w:vMerge w:val="continue"/>
                  <w:noWrap w:val="0"/>
                  <w:vAlign w:val="center"/>
                </w:tcPr>
                <w:p>
                  <w:pPr>
                    <w:pStyle w:val="20"/>
                    <w:bidi w:val="0"/>
                    <w:jc w:val="center"/>
                    <w:rPr>
                      <w:rFonts w:hint="default" w:ascii="Times New Roman" w:hAnsi="Times New Roman" w:cs="Times New Roman"/>
                      <w:color w:val="auto"/>
                    </w:rPr>
                  </w:pPr>
                </w:p>
              </w:tc>
              <w:tc>
                <w:tcPr>
                  <w:tcW w:w="592" w:type="dxa"/>
                  <w:vMerge w:val="restart"/>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固废处置</w:t>
                  </w:r>
                </w:p>
              </w:tc>
              <w:tc>
                <w:tcPr>
                  <w:tcW w:w="581" w:type="dxa"/>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一般固废仓库</w:t>
                  </w:r>
                </w:p>
              </w:tc>
              <w:tc>
                <w:tcPr>
                  <w:tcW w:w="1543" w:type="dxa"/>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600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2</w:t>
                  </w:r>
                </w:p>
              </w:tc>
              <w:tc>
                <w:tcPr>
                  <w:tcW w:w="1779" w:type="dxa"/>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依托原有</w:t>
                  </w:r>
                </w:p>
              </w:tc>
              <w:tc>
                <w:tcPr>
                  <w:tcW w:w="1585" w:type="dxa"/>
                  <w:noWrap w:val="0"/>
                  <w:tcMar>
                    <w:left w:w="0" w:type="dxa"/>
                    <w:right w:w="0" w:type="dxa"/>
                  </w:tcMar>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600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2</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722" w:type="dxa"/>
                  <w:vMerge w:val="continue"/>
                  <w:noWrap w:val="0"/>
                  <w:vAlign w:val="center"/>
                </w:tcPr>
                <w:p>
                  <w:pPr>
                    <w:pStyle w:val="20"/>
                    <w:bidi w:val="0"/>
                    <w:jc w:val="center"/>
                    <w:rPr>
                      <w:rFonts w:hint="default" w:ascii="Times New Roman" w:hAnsi="Times New Roman" w:cs="Times New Roman"/>
                      <w:color w:val="auto"/>
                    </w:rPr>
                  </w:pPr>
                </w:p>
              </w:tc>
              <w:tc>
                <w:tcPr>
                  <w:tcW w:w="592" w:type="dxa"/>
                  <w:vMerge w:val="continue"/>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p>
              </w:tc>
              <w:tc>
                <w:tcPr>
                  <w:tcW w:w="581" w:type="dxa"/>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危废仓库</w:t>
                  </w:r>
                </w:p>
              </w:tc>
              <w:tc>
                <w:tcPr>
                  <w:tcW w:w="1543" w:type="dxa"/>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790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2</w:t>
                  </w:r>
                </w:p>
              </w:tc>
              <w:tc>
                <w:tcPr>
                  <w:tcW w:w="1779" w:type="dxa"/>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依托原有</w:t>
                  </w:r>
                </w:p>
              </w:tc>
              <w:tc>
                <w:tcPr>
                  <w:tcW w:w="1585" w:type="dxa"/>
                  <w:noWrap w:val="0"/>
                  <w:tcMar>
                    <w:left w:w="0" w:type="dxa"/>
                    <w:right w:w="0" w:type="dxa"/>
                  </w:tcMar>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790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2</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722" w:type="dxa"/>
                  <w:vMerge w:val="continue"/>
                  <w:noWrap w:val="0"/>
                  <w:vAlign w:val="center"/>
                </w:tcPr>
                <w:p>
                  <w:pPr>
                    <w:pStyle w:val="20"/>
                    <w:bidi w:val="0"/>
                    <w:jc w:val="center"/>
                    <w:rPr>
                      <w:rFonts w:hint="default" w:ascii="Times New Roman" w:hAnsi="Times New Roman" w:cs="Times New Roman"/>
                      <w:color w:val="auto"/>
                    </w:rPr>
                  </w:pPr>
                </w:p>
              </w:tc>
              <w:tc>
                <w:tcPr>
                  <w:tcW w:w="592" w:type="dxa"/>
                  <w:vMerge w:val="continue"/>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p>
              </w:tc>
              <w:tc>
                <w:tcPr>
                  <w:tcW w:w="581" w:type="dxa"/>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废酸储存池</w:t>
                  </w:r>
                </w:p>
              </w:tc>
              <w:tc>
                <w:tcPr>
                  <w:tcW w:w="1543" w:type="dxa"/>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废硫酸储罐2个（30000L/个）、废盐酸储罐2个（30000L/个）、废盐酸贮池1个（180000L）</w:t>
                  </w:r>
                </w:p>
              </w:tc>
              <w:tc>
                <w:tcPr>
                  <w:tcW w:w="1779" w:type="dxa"/>
                  <w:noWrap w:val="0"/>
                  <w:tcMar>
                    <w:left w:w="0" w:type="dxa"/>
                    <w:right w:w="0" w:type="dxa"/>
                  </w:tcMar>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依托原有</w:t>
                  </w:r>
                </w:p>
              </w:tc>
              <w:tc>
                <w:tcPr>
                  <w:tcW w:w="1585" w:type="dxa"/>
                  <w:noWrap w:val="0"/>
                  <w:tcMar>
                    <w:left w:w="0" w:type="dxa"/>
                    <w:right w:w="0" w:type="dxa"/>
                  </w:tcMar>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废硫酸储罐2个（30000L/个）、废盐酸储罐2个（30000L/个）、废盐酸贮池1个（180000L）</w:t>
                  </w:r>
                </w:p>
              </w:tc>
              <w:tc>
                <w:tcPr>
                  <w:tcW w:w="1201"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3、主要设备</w:t>
            </w:r>
          </w:p>
          <w:p>
            <w:pPr>
              <w:keepNext w:val="0"/>
              <w:keepLines w:val="0"/>
              <w:pageBreakBefore w:val="0"/>
              <w:widowControl w:val="0"/>
              <w:kinsoku/>
              <w:wordWrap/>
              <w:topLinePunct w:val="0"/>
              <w:bidi w:val="0"/>
              <w:spacing w:line="360" w:lineRule="auto"/>
              <w:ind w:firstLine="465"/>
              <w:rPr>
                <w:rFonts w:hint="default" w:ascii="Times New Roman" w:hAnsi="Times New Roman" w:cs="Times New Roman"/>
                <w:color w:val="auto"/>
              </w:rPr>
            </w:pPr>
            <w:r>
              <w:rPr>
                <w:rFonts w:hint="default" w:ascii="Times New Roman" w:hAnsi="Times New Roman" w:cs="Times New Roman"/>
                <w:color w:val="auto"/>
              </w:rPr>
              <w:t>本项目主要设备见表2-</w:t>
            </w:r>
            <w:r>
              <w:rPr>
                <w:rFonts w:hint="default" w:ascii="Times New Roman" w:hAnsi="Times New Roman" w:cs="Times New Roman"/>
                <w:color w:val="auto"/>
                <w:lang w:val="en-US" w:eastAsia="zh-CN"/>
              </w:rPr>
              <w:t>3</w:t>
            </w:r>
            <w:r>
              <w:rPr>
                <w:rFonts w:hint="default" w:ascii="Times New Roman" w:hAnsi="Times New Roman" w:cs="Times New Roman"/>
                <w:color w:val="auto"/>
              </w:rPr>
              <w:t>。</w:t>
            </w:r>
          </w:p>
          <w:p>
            <w:pPr>
              <w:keepNext w:val="0"/>
              <w:keepLines w:val="0"/>
              <w:pageBreakBefore w:val="0"/>
              <w:widowControl w:val="0"/>
              <w:kinsoku/>
              <w:wordWrap/>
              <w:topLinePunct w:val="0"/>
              <w:bidi w:val="0"/>
              <w:snapToGrid w:val="0"/>
              <w:spacing w:line="360" w:lineRule="auto"/>
              <w:ind w:left="0" w:leftChars="0" w:firstLine="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表2-3  本项目主要设备一览表</w:t>
            </w:r>
          </w:p>
          <w:tbl>
            <w:tblPr>
              <w:tblStyle w:val="17"/>
              <w:tblW w:w="8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1136"/>
              <w:gridCol w:w="1125"/>
              <w:gridCol w:w="696"/>
              <w:gridCol w:w="2293"/>
              <w:gridCol w:w="698"/>
              <w:gridCol w:w="640"/>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pStyle w:val="20"/>
                    <w:bidi w:val="0"/>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136" w:type="dxa"/>
                  <w:vAlign w:val="center"/>
                </w:tcPr>
                <w:p>
                  <w:pPr>
                    <w:pStyle w:val="20"/>
                    <w:bidi w:val="0"/>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1125" w:type="dxa"/>
                  <w:vAlign w:val="center"/>
                </w:tcPr>
                <w:p>
                  <w:pPr>
                    <w:pStyle w:val="20"/>
                    <w:bidi w:val="0"/>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规格</w:t>
                  </w:r>
                </w:p>
              </w:tc>
              <w:tc>
                <w:tcPr>
                  <w:tcW w:w="696" w:type="dxa"/>
                  <w:vAlign w:val="center"/>
                </w:tcPr>
                <w:p>
                  <w:pPr>
                    <w:pStyle w:val="20"/>
                    <w:bidi w:val="0"/>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设计</w:t>
                  </w:r>
                  <w:r>
                    <w:rPr>
                      <w:rFonts w:hint="default" w:ascii="Times New Roman" w:hAnsi="Times New Roman" w:cs="Times New Roman"/>
                      <w:b/>
                      <w:bCs/>
                      <w:color w:val="auto"/>
                    </w:rPr>
                    <w:t>数量</w:t>
                  </w:r>
                </w:p>
              </w:tc>
              <w:tc>
                <w:tcPr>
                  <w:tcW w:w="2293" w:type="dxa"/>
                  <w:vAlign w:val="center"/>
                </w:tcPr>
                <w:p>
                  <w:pPr>
                    <w:pStyle w:val="20"/>
                    <w:bidi w:val="0"/>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备注</w:t>
                  </w:r>
                </w:p>
              </w:tc>
              <w:tc>
                <w:tcPr>
                  <w:tcW w:w="698" w:type="dxa"/>
                  <w:vAlign w:val="center"/>
                </w:tcPr>
                <w:p>
                  <w:pPr>
                    <w:pStyle w:val="20"/>
                    <w:bidi w:val="0"/>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实际建设</w:t>
                  </w:r>
                </w:p>
              </w:tc>
              <w:tc>
                <w:tcPr>
                  <w:tcW w:w="640" w:type="dxa"/>
                  <w:vAlign w:val="center"/>
                </w:tcPr>
                <w:p>
                  <w:pPr>
                    <w:pStyle w:val="20"/>
                    <w:bidi w:val="0"/>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1028" w:type="dxa"/>
                  <w:vAlign w:val="center"/>
                </w:tcPr>
                <w:p>
                  <w:pPr>
                    <w:pStyle w:val="20"/>
                    <w:bidi w:val="0"/>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1136"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硫酸在线回收设备</w:t>
                  </w:r>
                </w:p>
              </w:tc>
              <w:tc>
                <w:tcPr>
                  <w:tcW w:w="1125"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凯新，设计处理能力10t/d</w:t>
                  </w:r>
                </w:p>
              </w:tc>
              <w:tc>
                <w:tcPr>
                  <w:tcW w:w="696"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1</w:t>
                  </w:r>
                </w:p>
              </w:tc>
              <w:tc>
                <w:tcPr>
                  <w:tcW w:w="2293"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针对一期、二期电解酸洗产生的废酸进行回收</w:t>
                  </w:r>
                </w:p>
              </w:tc>
              <w:tc>
                <w:tcPr>
                  <w:tcW w:w="698"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1</w:t>
                  </w:r>
                </w:p>
              </w:tc>
              <w:tc>
                <w:tcPr>
                  <w:tcW w:w="640"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台</w:t>
                  </w:r>
                </w:p>
              </w:tc>
              <w:tc>
                <w:tcPr>
                  <w:tcW w:w="1028" w:type="dxa"/>
                  <w:vAlign w:val="center"/>
                </w:tcPr>
                <w:p>
                  <w:pPr>
                    <w:pStyle w:val="20"/>
                    <w:bidi w:val="0"/>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1136"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中频扩散炉</w:t>
                  </w:r>
                </w:p>
              </w:tc>
              <w:tc>
                <w:tcPr>
                  <w:tcW w:w="1125" w:type="dxa"/>
                  <w:vAlign w:val="center"/>
                </w:tcPr>
                <w:p>
                  <w:pPr>
                    <w:pStyle w:val="20"/>
                    <w:bidi w:val="0"/>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超音频电源、加热床（5m</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1.2m</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1.2m）</w:t>
                  </w:r>
                </w:p>
              </w:tc>
              <w:tc>
                <w:tcPr>
                  <w:tcW w:w="696"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7</w:t>
                  </w:r>
                </w:p>
              </w:tc>
              <w:tc>
                <w:tcPr>
                  <w:tcW w:w="2293"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淘汰一期、二期项目所有砂扩散（天然气加热）工艺，全部更新为中频扩散炉（电感应加热）</w:t>
                  </w:r>
                </w:p>
              </w:tc>
              <w:tc>
                <w:tcPr>
                  <w:tcW w:w="698"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7</w:t>
                  </w:r>
                </w:p>
              </w:tc>
              <w:tc>
                <w:tcPr>
                  <w:tcW w:w="640" w:type="dxa"/>
                  <w:vAlign w:val="center"/>
                </w:tcPr>
                <w:p>
                  <w:pPr>
                    <w:pStyle w:val="20"/>
                    <w:bidi w:val="0"/>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台</w:t>
                  </w:r>
                </w:p>
              </w:tc>
              <w:tc>
                <w:tcPr>
                  <w:tcW w:w="1028" w:type="dxa"/>
                  <w:vAlign w:val="center"/>
                </w:tcPr>
                <w:p>
                  <w:pPr>
                    <w:pStyle w:val="20"/>
                    <w:bidi w:val="0"/>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1136"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水淬火槽</w:t>
                  </w:r>
                </w:p>
              </w:tc>
              <w:tc>
                <w:tcPr>
                  <w:tcW w:w="1125" w:type="dxa"/>
                  <w:vAlign w:val="center"/>
                </w:tcPr>
                <w:p>
                  <w:pPr>
                    <w:pStyle w:val="20"/>
                    <w:bidi w:val="0"/>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6m</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1.8m</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1.2m</w:t>
                  </w:r>
                </w:p>
              </w:tc>
              <w:tc>
                <w:tcPr>
                  <w:tcW w:w="696"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5</w:t>
                  </w:r>
                </w:p>
              </w:tc>
              <w:tc>
                <w:tcPr>
                  <w:tcW w:w="2293"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二期锆砂淬火改水淬火</w:t>
                  </w:r>
                </w:p>
              </w:tc>
              <w:tc>
                <w:tcPr>
                  <w:tcW w:w="698"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5</w:t>
                  </w:r>
                </w:p>
              </w:tc>
              <w:tc>
                <w:tcPr>
                  <w:tcW w:w="640" w:type="dxa"/>
                  <w:vAlign w:val="center"/>
                </w:tcPr>
                <w:p>
                  <w:pPr>
                    <w:pStyle w:val="20"/>
                    <w:bidi w:val="0"/>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台</w:t>
                  </w:r>
                </w:p>
              </w:tc>
              <w:tc>
                <w:tcPr>
                  <w:tcW w:w="1028" w:type="dxa"/>
                  <w:vAlign w:val="center"/>
                </w:tcPr>
                <w:p>
                  <w:pPr>
                    <w:pStyle w:val="20"/>
                    <w:bidi w:val="0"/>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1136"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砂带机</w:t>
                  </w:r>
                </w:p>
              </w:tc>
              <w:tc>
                <w:tcPr>
                  <w:tcW w:w="1125"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SDJ-1210-B</w:t>
                  </w:r>
                </w:p>
              </w:tc>
              <w:tc>
                <w:tcPr>
                  <w:tcW w:w="696"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18</w:t>
                  </w:r>
                </w:p>
              </w:tc>
              <w:tc>
                <w:tcPr>
                  <w:tcW w:w="2293"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淘汰一期101车间3个预处理酸洗槽（盐酸）、二期201车间5个预处理酸洗槽（硫酸）、三期401车间3个预处理酸洗槽（盐酸），调整为18台砂带机</w:t>
                  </w:r>
                </w:p>
              </w:tc>
              <w:tc>
                <w:tcPr>
                  <w:tcW w:w="698"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18</w:t>
                  </w:r>
                </w:p>
              </w:tc>
              <w:tc>
                <w:tcPr>
                  <w:tcW w:w="640" w:type="dxa"/>
                  <w:vAlign w:val="center"/>
                </w:tcPr>
                <w:p>
                  <w:pPr>
                    <w:pStyle w:val="20"/>
                    <w:bidi w:val="0"/>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台</w:t>
                  </w:r>
                </w:p>
              </w:tc>
              <w:tc>
                <w:tcPr>
                  <w:tcW w:w="1028" w:type="dxa"/>
                  <w:vAlign w:val="center"/>
                </w:tcPr>
                <w:p>
                  <w:pPr>
                    <w:pStyle w:val="20"/>
                    <w:bidi w:val="0"/>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1136"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高效污泥烘干设备</w:t>
                  </w:r>
                </w:p>
              </w:tc>
              <w:tc>
                <w:tcPr>
                  <w:tcW w:w="1125"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KJG-65，设计处理能力：20t/d</w:t>
                  </w:r>
                </w:p>
              </w:tc>
              <w:tc>
                <w:tcPr>
                  <w:tcW w:w="696"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1</w:t>
                  </w:r>
                </w:p>
              </w:tc>
              <w:tc>
                <w:tcPr>
                  <w:tcW w:w="2293"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原污泥烘干设备损坏淘汰，更新为高效污泥烘干设备</w:t>
                  </w:r>
                </w:p>
              </w:tc>
              <w:tc>
                <w:tcPr>
                  <w:tcW w:w="698"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1</w:t>
                  </w:r>
                </w:p>
              </w:tc>
              <w:tc>
                <w:tcPr>
                  <w:tcW w:w="640" w:type="dxa"/>
                  <w:vAlign w:val="center"/>
                </w:tcPr>
                <w:p>
                  <w:pPr>
                    <w:pStyle w:val="20"/>
                    <w:bidi w:val="0"/>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台</w:t>
                  </w:r>
                </w:p>
              </w:tc>
              <w:tc>
                <w:tcPr>
                  <w:tcW w:w="1028" w:type="dxa"/>
                  <w:vAlign w:val="center"/>
                </w:tcPr>
                <w:p>
                  <w:pPr>
                    <w:pStyle w:val="20"/>
                    <w:bidi w:val="0"/>
                    <w:ind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无变化</w:t>
                  </w:r>
                </w:p>
              </w:tc>
            </w:tr>
          </w:tbl>
          <w:p>
            <w:pPr>
              <w:pStyle w:val="19"/>
              <w:jc w:val="both"/>
              <w:rPr>
                <w:rFonts w:hint="default" w:ascii="Times New Roman" w:hAnsi="Times New Roman" w:cs="Times New Roman"/>
                <w:color w:val="auto"/>
              </w:rPr>
            </w:pP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主要原辅料及用量</w:t>
            </w:r>
          </w:p>
          <w:p>
            <w:pPr>
              <w:keepNext w:val="0"/>
              <w:keepLines w:val="0"/>
              <w:pageBreakBefore w:val="0"/>
              <w:widowControl w:val="0"/>
              <w:kinsoku/>
              <w:wordWrap/>
              <w:overflowPunct/>
              <w:topLinePunct w:val="0"/>
              <w:autoSpaceDE/>
              <w:autoSpaceDN/>
              <w:bidi w:val="0"/>
              <w:adjustRightInd/>
              <w:snapToGrid/>
              <w:spacing w:line="336" w:lineRule="auto"/>
              <w:textAlignment w:val="auto"/>
              <w:outlineLvl w:val="9"/>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项目原辅料及用量见表2-4，原辅材料理化性质见表2-5。</w:t>
            </w:r>
          </w:p>
          <w:p>
            <w:pPr>
              <w:keepNext w:val="0"/>
              <w:keepLines w:val="0"/>
              <w:pageBreakBefore w:val="0"/>
              <w:widowControl w:val="0"/>
              <w:kinsoku/>
              <w:wordWrap/>
              <w:overflowPunct/>
              <w:topLinePunct w:val="0"/>
              <w:autoSpaceDE/>
              <w:autoSpaceDN/>
              <w:bidi w:val="0"/>
              <w:adjustRightInd/>
              <w:snapToGrid w:val="0"/>
              <w:spacing w:before="157" w:beforeLines="50" w:line="360" w:lineRule="auto"/>
              <w:ind w:left="0" w:leftChars="0" w:firstLine="0" w:firstLineChars="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表2-4  本项目主要原辅料及用量表</w:t>
            </w:r>
          </w:p>
          <w:tbl>
            <w:tblPr>
              <w:tblStyle w:val="16"/>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518"/>
              <w:gridCol w:w="1191"/>
              <w:gridCol w:w="1404"/>
              <w:gridCol w:w="1276"/>
              <w:gridCol w:w="1158"/>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3" w:type="pct"/>
                  <w:tcBorders>
                    <w:tl2br w:val="nil"/>
                    <w:tr2bl w:val="nil"/>
                  </w:tcBorders>
                  <w:vAlign w:val="center"/>
                </w:tcPr>
                <w:p>
                  <w:pPr>
                    <w:pStyle w:val="20"/>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序号</w:t>
                  </w:r>
                </w:p>
              </w:tc>
              <w:tc>
                <w:tcPr>
                  <w:tcW w:w="1042" w:type="pct"/>
                  <w:gridSpan w:val="2"/>
                  <w:tcBorders>
                    <w:tl2br w:val="nil"/>
                    <w:tr2bl w:val="nil"/>
                  </w:tcBorders>
                  <w:vAlign w:val="center"/>
                </w:tcPr>
                <w:p>
                  <w:pPr>
                    <w:pStyle w:val="20"/>
                    <w:bidi w:val="0"/>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856" w:type="pct"/>
                  <w:tcBorders>
                    <w:tl2br w:val="nil"/>
                    <w:tr2bl w:val="nil"/>
                  </w:tcBorders>
                  <w:vAlign w:val="center"/>
                </w:tcPr>
                <w:p>
                  <w:pPr>
                    <w:pStyle w:val="20"/>
                    <w:bidi w:val="0"/>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成分</w:t>
                  </w:r>
                  <w:r>
                    <w:rPr>
                      <w:rFonts w:hint="default" w:ascii="Times New Roman" w:hAnsi="Times New Roman" w:cs="Times New Roman"/>
                      <w:b/>
                      <w:bCs/>
                      <w:color w:val="auto"/>
                    </w:rPr>
                    <w:t>、规格</w:t>
                  </w:r>
                </w:p>
              </w:tc>
              <w:tc>
                <w:tcPr>
                  <w:tcW w:w="778" w:type="pct"/>
                  <w:tcBorders>
                    <w:tl2br w:val="nil"/>
                    <w:tr2bl w:val="nil"/>
                  </w:tcBorders>
                  <w:vAlign w:val="center"/>
                </w:tcPr>
                <w:p>
                  <w:pPr>
                    <w:pStyle w:val="20"/>
                    <w:bidi w:val="0"/>
                    <w:ind w:firstLine="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设计</w:t>
                  </w:r>
                  <w:r>
                    <w:rPr>
                      <w:rFonts w:hint="default" w:ascii="Times New Roman" w:hAnsi="Times New Roman" w:cs="Times New Roman"/>
                      <w:b/>
                      <w:bCs/>
                      <w:color w:val="auto"/>
                    </w:rPr>
                    <w:t>年用量</w:t>
                  </w:r>
                  <w:r>
                    <w:rPr>
                      <w:rFonts w:hint="default" w:ascii="Times New Roman" w:hAnsi="Times New Roman" w:cs="Times New Roman"/>
                      <w:b/>
                      <w:bCs/>
                      <w:color w:val="auto"/>
                      <w:lang w:val="en-US" w:eastAsia="zh-CN"/>
                    </w:rPr>
                    <w:t>t/a</w:t>
                  </w:r>
                </w:p>
              </w:tc>
              <w:tc>
                <w:tcPr>
                  <w:tcW w:w="706" w:type="pct"/>
                  <w:tcBorders>
                    <w:tl2br w:val="nil"/>
                    <w:tr2bl w:val="nil"/>
                  </w:tcBorders>
                  <w:vAlign w:val="center"/>
                </w:tcPr>
                <w:p>
                  <w:pPr>
                    <w:pStyle w:val="20"/>
                    <w:bidi w:val="0"/>
                    <w:ind w:firstLine="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eastAsia="zh-CN"/>
                    </w:rPr>
                    <w:t>实际建设</w:t>
                  </w:r>
                  <w:r>
                    <w:rPr>
                      <w:rFonts w:hint="default" w:ascii="Times New Roman" w:hAnsi="Times New Roman" w:cs="Times New Roman"/>
                      <w:b/>
                      <w:bCs/>
                      <w:color w:val="auto"/>
                      <w:lang w:val="en-US" w:eastAsia="zh-CN"/>
                    </w:rPr>
                    <w:t>t/a</w:t>
                  </w:r>
                </w:p>
              </w:tc>
              <w:tc>
                <w:tcPr>
                  <w:tcW w:w="903" w:type="pct"/>
                  <w:tcBorders>
                    <w:tl2br w:val="nil"/>
                    <w:tr2bl w:val="nil"/>
                  </w:tcBorders>
                  <w:vAlign w:val="center"/>
                </w:tcPr>
                <w:p>
                  <w:pPr>
                    <w:pStyle w:val="20"/>
                    <w:bidi w:val="0"/>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3" w:type="pct"/>
                  <w:tcBorders>
                    <w:tl2br w:val="nil"/>
                    <w:tr2bl w:val="nil"/>
                  </w:tcBorders>
                  <w:vAlign w:val="center"/>
                </w:tcPr>
                <w:p>
                  <w:pPr>
                    <w:pStyle w:val="20"/>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315" w:type="pct"/>
                  <w:tcBorders>
                    <w:tl2br w:val="nil"/>
                    <w:tr2bl w:val="nil"/>
                  </w:tcBorders>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原料</w:t>
                  </w:r>
                </w:p>
              </w:tc>
              <w:tc>
                <w:tcPr>
                  <w:tcW w:w="72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kern w:val="2"/>
                      <w:sz w:val="21"/>
                      <w:szCs w:val="21"/>
                      <w:vertAlign w:val="baseline"/>
                      <w:lang w:val="en-US" w:eastAsia="zh-CN"/>
                    </w:rPr>
                    <w:t>盘条</w:t>
                  </w:r>
                </w:p>
              </w:tc>
              <w:tc>
                <w:tcPr>
                  <w:tcW w:w="85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color w:val="auto"/>
                      <w:kern w:val="2"/>
                      <w:sz w:val="21"/>
                      <w:szCs w:val="21"/>
                      <w:vertAlign w:val="baseline"/>
                      <w:lang w:val="en-US" w:eastAsia="zh-CN"/>
                    </w:rPr>
                  </w:pPr>
                  <w:r>
                    <w:rPr>
                      <w:rFonts w:hint="default" w:ascii="Times New Roman" w:hAnsi="Times New Roman" w:cs="Times New Roman"/>
                      <w:color w:val="auto"/>
                      <w:kern w:val="2"/>
                      <w:sz w:val="21"/>
                      <w:szCs w:val="21"/>
                      <w:vertAlign w:val="baseline"/>
                      <w:lang w:val="en-US" w:eastAsia="zh-CN"/>
                    </w:rPr>
                    <w:t>钢，Φ5.5mm</w:t>
                  </w:r>
                </w:p>
                <w:p>
                  <w:pPr>
                    <w:pStyle w:val="27"/>
                    <w:keepNext w:val="0"/>
                    <w:keepLines w:val="0"/>
                    <w:suppressLineNumbers w:val="0"/>
                    <w:autoSpaceDE w:val="0"/>
                    <w:autoSpaceDN w:val="0"/>
                    <w:spacing w:before="0" w:beforeAutospacing="0" w:after="0" w:afterAutospacing="0"/>
                    <w:ind w:left="0" w:right="0" w:firstLine="0" w:firstLineChars="0"/>
                    <w:jc w:val="center"/>
                    <w:rPr>
                      <w:rFonts w:hint="default" w:ascii="Times New Roman" w:hAnsi="Times New Roman" w:cs="Times New Roman"/>
                      <w:color w:val="auto"/>
                      <w:kern w:val="2"/>
                      <w:sz w:val="21"/>
                      <w:szCs w:val="21"/>
                      <w:vertAlign w:val="baseline"/>
                      <w:lang w:val="en-US" w:eastAsia="zh-CN"/>
                    </w:rPr>
                  </w:pPr>
                  <w:r>
                    <w:rPr>
                      <w:rFonts w:hint="default" w:ascii="Times New Roman" w:hAnsi="Times New Roman" w:cs="Times New Roman"/>
                      <w:color w:val="auto"/>
                      <w:kern w:val="2"/>
                      <w:sz w:val="21"/>
                      <w:szCs w:val="21"/>
                      <w:vertAlign w:val="baseline"/>
                      <w:lang w:val="en-US" w:eastAsia="zh-CN"/>
                    </w:rPr>
                    <w:t>碳</w:t>
                  </w:r>
                  <w:r>
                    <w:rPr>
                      <w:rFonts w:hint="eastAsia"/>
                    </w:rPr>
                    <w:t>0.7</w:t>
                  </w:r>
                  <w:r>
                    <w:rPr>
                      <w:rFonts w:hint="eastAsia"/>
                      <w:lang w:val="en-US" w:eastAsia="zh-CN"/>
                    </w:rPr>
                    <w:t>2</w:t>
                  </w:r>
                  <w:r>
                    <w:rPr>
                      <w:rFonts w:hint="default" w:ascii="Times New Roman" w:hAnsi="Times New Roman" w:cs="Times New Roman"/>
                      <w:color w:val="auto"/>
                      <w:kern w:val="2"/>
                      <w:sz w:val="21"/>
                      <w:szCs w:val="21"/>
                      <w:vertAlign w:val="baseline"/>
                      <w:lang w:val="en-US" w:eastAsia="zh-CN"/>
                    </w:rPr>
                    <w:t>%</w:t>
                  </w:r>
                  <w:r>
                    <w:rPr>
                      <w:rFonts w:hint="eastAsia" w:ascii="Times New Roman" w:hAnsi="Times New Roman" w:cs="Times New Roman"/>
                      <w:color w:val="auto"/>
                      <w:kern w:val="2"/>
                      <w:sz w:val="21"/>
                      <w:szCs w:val="21"/>
                      <w:vertAlign w:val="baseline"/>
                      <w:lang w:val="en-US" w:eastAsia="zh-CN"/>
                    </w:rPr>
                    <w:t>，</w:t>
                  </w:r>
                  <w:r>
                    <w:rPr>
                      <w:rFonts w:hint="default" w:ascii="Times New Roman" w:hAnsi="Times New Roman" w:cs="Times New Roman"/>
                      <w:color w:val="auto"/>
                      <w:kern w:val="2"/>
                      <w:sz w:val="21"/>
                      <w:szCs w:val="21"/>
                      <w:vertAlign w:val="baseline"/>
                      <w:lang w:val="en-US" w:eastAsia="zh-CN"/>
                    </w:rPr>
                    <w:t>硅</w:t>
                  </w:r>
                  <w:r>
                    <w:rPr>
                      <w:rFonts w:hint="eastAsia"/>
                      <w:lang w:val="en-US" w:eastAsia="zh-CN"/>
                    </w:rPr>
                    <w:t>0.22</w:t>
                  </w:r>
                  <w:r>
                    <w:rPr>
                      <w:rFonts w:hint="default" w:ascii="Times New Roman" w:hAnsi="Times New Roman" w:cs="Times New Roman"/>
                      <w:color w:val="auto"/>
                      <w:kern w:val="2"/>
                      <w:sz w:val="21"/>
                      <w:szCs w:val="21"/>
                      <w:vertAlign w:val="baseline"/>
                      <w:lang w:val="en-US" w:eastAsia="zh-CN"/>
                    </w:rPr>
                    <w:t>%，</w:t>
                  </w:r>
                </w:p>
                <w:p>
                  <w:pPr>
                    <w:pStyle w:val="27"/>
                    <w:keepNext w:val="0"/>
                    <w:keepLines w:val="0"/>
                    <w:suppressLineNumbers w:val="0"/>
                    <w:autoSpaceDE w:val="0"/>
                    <w:autoSpaceDN w:val="0"/>
                    <w:spacing w:before="0" w:beforeAutospacing="0" w:after="0" w:afterAutospacing="0"/>
                    <w:ind w:left="0" w:right="0" w:firstLine="0" w:firstLineChars="0"/>
                    <w:jc w:val="center"/>
                    <w:rPr>
                      <w:rFonts w:hint="eastAsia"/>
                      <w:lang w:val="en-US" w:eastAsia="zh-CN"/>
                    </w:rPr>
                  </w:pPr>
                  <w:r>
                    <w:rPr>
                      <w:rFonts w:hint="default" w:ascii="Times New Roman" w:hAnsi="Times New Roman" w:cs="Times New Roman"/>
                      <w:color w:val="auto"/>
                      <w:kern w:val="2"/>
                      <w:sz w:val="21"/>
                      <w:szCs w:val="21"/>
                      <w:vertAlign w:val="baseline"/>
                      <w:lang w:val="en-US" w:eastAsia="zh-CN"/>
                    </w:rPr>
                    <w:t>锰</w:t>
                  </w:r>
                  <w:r>
                    <w:rPr>
                      <w:rFonts w:hint="eastAsia"/>
                      <w:lang w:val="en-US" w:eastAsia="zh-CN"/>
                    </w:rPr>
                    <w:t>0.03</w:t>
                  </w:r>
                  <w:r>
                    <w:rPr>
                      <w:rFonts w:hint="default" w:ascii="Times New Roman" w:hAnsi="Times New Roman" w:cs="Times New Roman"/>
                      <w:color w:val="auto"/>
                      <w:kern w:val="2"/>
                      <w:sz w:val="21"/>
                      <w:szCs w:val="21"/>
                      <w:vertAlign w:val="baseline"/>
                      <w:lang w:val="en-US" w:eastAsia="zh-CN"/>
                    </w:rPr>
                    <w:t>%</w:t>
                  </w:r>
                  <w:r>
                    <w:rPr>
                      <w:rFonts w:hint="eastAsia" w:ascii="Times New Roman" w:hAnsi="Times New Roman" w:cs="Times New Roman"/>
                      <w:color w:val="auto"/>
                      <w:kern w:val="2"/>
                      <w:sz w:val="21"/>
                      <w:szCs w:val="21"/>
                      <w:vertAlign w:val="baseline"/>
                      <w:lang w:val="en-US" w:eastAsia="zh-CN"/>
                    </w:rPr>
                    <w:t>，</w:t>
                  </w:r>
                </w:p>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color w:val="auto"/>
                      <w:lang w:val="en-US" w:eastAsia="zh-CN"/>
                    </w:rPr>
                  </w:pPr>
                  <w:r>
                    <w:rPr>
                      <w:rFonts w:hint="eastAsia"/>
                      <w:lang w:val="en-US" w:eastAsia="zh-CN"/>
                    </w:rPr>
                    <w:t>磷0.01%，硫0.005%</w:t>
                  </w:r>
                </w:p>
              </w:tc>
              <w:tc>
                <w:tcPr>
                  <w:tcW w:w="778" w:type="pct"/>
                  <w:tcBorders>
                    <w:tl2br w:val="nil"/>
                    <w:tr2bl w:val="nil"/>
                  </w:tcBorders>
                  <w:vAlign w:val="center"/>
                </w:tcPr>
                <w:p>
                  <w:pPr>
                    <w:pStyle w:val="27"/>
                    <w:autoSpaceDE w:val="0"/>
                    <w:autoSpaceDN w:val="0"/>
                    <w:ind w:firstLine="0" w:firstLineChars="0"/>
                    <w:rPr>
                      <w:rFonts w:hint="default" w:ascii="Times New Roman" w:hAnsi="Times New Roman" w:eastAsia="宋体" w:cs="Times New Roman"/>
                      <w:color w:val="auto"/>
                      <w:kern w:val="2"/>
                      <w:sz w:val="21"/>
                      <w:szCs w:val="21"/>
                      <w:lang w:val="en-US" w:eastAsia="zh-CN" w:bidi="ar-SA"/>
                    </w:rPr>
                  </w:pPr>
                  <w:r>
                    <w:rPr>
                      <w:rFonts w:ascii="Times New Roman" w:hAnsi="Times New Roman"/>
                      <w:color w:val="000000" w:themeColor="text1"/>
                      <w:kern w:val="2"/>
                      <w:lang w:eastAsia="zh-CN" w:bidi="ar-SA"/>
                      <w14:textFill>
                        <w14:solidFill>
                          <w14:schemeClr w14:val="tx1"/>
                        </w14:solidFill>
                      </w14:textFill>
                    </w:rPr>
                    <w:t>185300</w:t>
                  </w:r>
                </w:p>
              </w:tc>
              <w:tc>
                <w:tcPr>
                  <w:tcW w:w="706" w:type="pct"/>
                  <w:tcBorders>
                    <w:tl2br w:val="nil"/>
                    <w:tr2bl w:val="nil"/>
                  </w:tcBorders>
                  <w:vAlign w:val="center"/>
                </w:tcPr>
                <w:p>
                  <w:pPr>
                    <w:pStyle w:val="27"/>
                    <w:autoSpaceDE w:val="0"/>
                    <w:autoSpaceDN w:val="0"/>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kern w:val="2"/>
                      <w:lang w:eastAsia="zh-CN" w:bidi="ar-SA"/>
                    </w:rPr>
                    <w:t>185300</w:t>
                  </w:r>
                </w:p>
              </w:tc>
              <w:tc>
                <w:tcPr>
                  <w:tcW w:w="903" w:type="pct"/>
                  <w:tcBorders>
                    <w:tl2br w:val="nil"/>
                    <w:tr2bl w:val="nil"/>
                  </w:tcBorders>
                  <w:vAlign w:val="center"/>
                </w:tcPr>
                <w:p>
                  <w:pPr>
                    <w:pStyle w:val="27"/>
                    <w:autoSpaceDE w:val="0"/>
                    <w:autoSpaceDN w:val="0"/>
                    <w:ind w:firstLine="0" w:firstLineChars="0"/>
                    <w:rPr>
                      <w:rFonts w:hint="default" w:ascii="Times New Roman" w:hAnsi="Times New Roman" w:eastAsia="宋体"/>
                      <w:color w:val="auto"/>
                      <w:kern w:val="2"/>
                      <w:lang w:val="en-US" w:eastAsia="zh-CN" w:bidi="ar-SA"/>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3" w:type="pct"/>
                  <w:tcBorders>
                    <w:tl2br w:val="nil"/>
                    <w:tr2bl w:val="nil"/>
                  </w:tcBorders>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315" w:type="pct"/>
                  <w:vMerge w:val="restart"/>
                  <w:tcBorders>
                    <w:tl2br w:val="nil"/>
                    <w:tr2bl w:val="nil"/>
                  </w:tcBorders>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辅料</w:t>
                  </w:r>
                </w:p>
              </w:tc>
              <w:tc>
                <w:tcPr>
                  <w:tcW w:w="72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铜粒</w:t>
                  </w:r>
                </w:p>
              </w:tc>
              <w:tc>
                <w:tcPr>
                  <w:tcW w:w="85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纯铜，固体</w:t>
                  </w:r>
                </w:p>
              </w:tc>
              <w:tc>
                <w:tcPr>
                  <w:tcW w:w="778"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kern w:val="2"/>
                      <w:lang w:eastAsia="zh-CN" w:bidi="ar-SA"/>
                      <w14:textFill>
                        <w14:solidFill>
                          <w14:schemeClr w14:val="tx1"/>
                        </w14:solidFill>
                      </w14:textFill>
                    </w:rPr>
                    <w:t>740</w:t>
                  </w:r>
                </w:p>
              </w:tc>
              <w:tc>
                <w:tcPr>
                  <w:tcW w:w="706"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kern w:val="2"/>
                      <w:lang w:eastAsia="zh-CN" w:bidi="ar-SA"/>
                    </w:rPr>
                    <w:t>706.9</w:t>
                  </w:r>
                </w:p>
              </w:tc>
              <w:tc>
                <w:tcPr>
                  <w:tcW w:w="903" w:type="pct"/>
                  <w:tcBorders>
                    <w:tl2br w:val="nil"/>
                    <w:tr2bl w:val="nil"/>
                  </w:tcBorders>
                  <w:vAlign w:val="center"/>
                </w:tcPr>
                <w:p>
                  <w:pPr>
                    <w:pStyle w:val="27"/>
                    <w:autoSpaceDE w:val="0"/>
                    <w:autoSpaceDN w:val="0"/>
                    <w:ind w:firstLine="0" w:firstLineChars="0"/>
                    <w:rPr>
                      <w:rFonts w:hint="default" w:ascii="Times New Roman" w:hAnsi="Times New Roman" w:eastAsia="宋体"/>
                      <w:color w:val="auto"/>
                      <w:kern w:val="2"/>
                      <w:lang w:val="en-US" w:eastAsia="zh-CN" w:bidi="ar-SA"/>
                    </w:rPr>
                  </w:pPr>
                  <w:r>
                    <w:rPr>
                      <w:rFonts w:hint="eastAsia" w:ascii="Times New Roman" w:hAnsi="Times New Roman" w:eastAsia="宋体"/>
                      <w:color w:val="auto"/>
                      <w:kern w:val="2"/>
                      <w:lang w:val="en-US" w:eastAsia="zh-CN" w:bidi="ar-SA"/>
                    </w:rPr>
                    <w:t xml:space="preserve">-33.0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3" w:type="pct"/>
                  <w:tcBorders>
                    <w:tl2br w:val="nil"/>
                    <w:tr2bl w:val="nil"/>
                  </w:tcBorders>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315" w:type="pct"/>
                  <w:vMerge w:val="continue"/>
                  <w:tcBorders>
                    <w:tl2br w:val="nil"/>
                    <w:tr2bl w:val="nil"/>
                  </w:tcBorders>
                  <w:vAlign w:val="center"/>
                </w:tcPr>
                <w:p>
                  <w:pPr>
                    <w:pStyle w:val="20"/>
                    <w:bidi w:val="0"/>
                    <w:jc w:val="center"/>
                    <w:rPr>
                      <w:rFonts w:hint="default" w:ascii="Times New Roman" w:hAnsi="Times New Roman" w:cs="Times New Roman"/>
                      <w:color w:val="auto"/>
                      <w:lang w:val="en-US" w:eastAsia="zh-CN"/>
                    </w:rPr>
                  </w:pPr>
                </w:p>
              </w:tc>
              <w:tc>
                <w:tcPr>
                  <w:tcW w:w="72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锌板</w:t>
                  </w:r>
                </w:p>
              </w:tc>
              <w:tc>
                <w:tcPr>
                  <w:tcW w:w="85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纯锌，固体</w:t>
                  </w:r>
                </w:p>
              </w:tc>
              <w:tc>
                <w:tcPr>
                  <w:tcW w:w="778"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kern w:val="2"/>
                      <w:lang w:eastAsia="zh-CN" w:bidi="ar-SA"/>
                      <w14:textFill>
                        <w14:solidFill>
                          <w14:schemeClr w14:val="tx1"/>
                        </w14:solidFill>
                      </w14:textFill>
                    </w:rPr>
                    <w:t>470</w:t>
                  </w:r>
                </w:p>
              </w:tc>
              <w:tc>
                <w:tcPr>
                  <w:tcW w:w="706"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kern w:val="2"/>
                      <w:lang w:eastAsia="zh-CN" w:bidi="ar-SA"/>
                    </w:rPr>
                    <w:t>373.5</w:t>
                  </w:r>
                </w:p>
              </w:tc>
              <w:tc>
                <w:tcPr>
                  <w:tcW w:w="903" w:type="pct"/>
                  <w:tcBorders>
                    <w:tl2br w:val="nil"/>
                    <w:tr2bl w:val="nil"/>
                  </w:tcBorders>
                  <w:vAlign w:val="center"/>
                </w:tcPr>
                <w:p>
                  <w:pPr>
                    <w:pStyle w:val="27"/>
                    <w:autoSpaceDE w:val="0"/>
                    <w:autoSpaceDN w:val="0"/>
                    <w:ind w:firstLine="0" w:firstLineChars="0"/>
                    <w:rPr>
                      <w:rFonts w:hint="default" w:ascii="Times New Roman" w:hAnsi="Times New Roman" w:eastAsia="宋体"/>
                      <w:color w:val="auto"/>
                      <w:kern w:val="2"/>
                      <w:lang w:val="en-US" w:eastAsia="zh-CN" w:bidi="ar-SA"/>
                    </w:rPr>
                  </w:pPr>
                  <w:r>
                    <w:rPr>
                      <w:rFonts w:hint="eastAsia" w:ascii="Times New Roman" w:hAnsi="Times New Roman" w:eastAsia="宋体"/>
                      <w:color w:val="auto"/>
                      <w:kern w:val="2"/>
                      <w:lang w:val="en-US" w:eastAsia="zh-CN" w:bidi="ar-SA"/>
                    </w:rPr>
                    <w:t xml:space="preserve">-96.5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3" w:type="pct"/>
                  <w:tcBorders>
                    <w:tl2br w:val="nil"/>
                    <w:tr2bl w:val="nil"/>
                  </w:tcBorders>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w:t>
                  </w:r>
                </w:p>
              </w:tc>
              <w:tc>
                <w:tcPr>
                  <w:tcW w:w="315" w:type="pct"/>
                  <w:vMerge w:val="continue"/>
                  <w:tcBorders>
                    <w:tl2br w:val="nil"/>
                    <w:tr2bl w:val="nil"/>
                  </w:tcBorders>
                  <w:vAlign w:val="center"/>
                </w:tcPr>
                <w:p>
                  <w:pPr>
                    <w:pStyle w:val="20"/>
                    <w:bidi w:val="0"/>
                    <w:jc w:val="center"/>
                    <w:rPr>
                      <w:rFonts w:hint="default" w:ascii="Times New Roman" w:hAnsi="Times New Roman" w:cs="Times New Roman"/>
                      <w:color w:val="auto"/>
                      <w:lang w:val="en-US" w:eastAsia="zh-CN"/>
                    </w:rPr>
                  </w:pPr>
                </w:p>
              </w:tc>
              <w:tc>
                <w:tcPr>
                  <w:tcW w:w="72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硼砂</w:t>
                  </w:r>
                </w:p>
              </w:tc>
              <w:tc>
                <w:tcPr>
                  <w:tcW w:w="85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固体，含量</w:t>
                  </w:r>
                  <w:r>
                    <w:rPr>
                      <w:rFonts w:hint="default" w:ascii="Times New Roman" w:hAnsi="Times New Roman" w:eastAsia="宋体" w:cs="Times New Roman"/>
                      <w:color w:val="auto"/>
                      <w:kern w:val="2"/>
                      <w:sz w:val="21"/>
                      <w:szCs w:val="21"/>
                      <w:vertAlign w:val="baseline"/>
                      <w:lang w:val="en-US" w:eastAsia="zh-CN"/>
                    </w:rPr>
                    <w:t>≧</w:t>
                  </w:r>
                  <w:r>
                    <w:rPr>
                      <w:rFonts w:hint="default" w:ascii="Times New Roman" w:hAnsi="Times New Roman" w:cs="Times New Roman"/>
                      <w:color w:val="auto"/>
                      <w:kern w:val="2"/>
                      <w:sz w:val="21"/>
                      <w:szCs w:val="21"/>
                      <w:vertAlign w:val="baseline"/>
                      <w:lang w:val="en-US" w:eastAsia="zh-CN"/>
                    </w:rPr>
                    <w:t>95%</w:t>
                  </w:r>
                </w:p>
              </w:tc>
              <w:tc>
                <w:tcPr>
                  <w:tcW w:w="778"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kern w:val="2"/>
                      <w:lang w:eastAsia="zh-CN" w:bidi="ar-SA"/>
                      <w14:textFill>
                        <w14:solidFill>
                          <w14:schemeClr w14:val="tx1"/>
                        </w14:solidFill>
                      </w14:textFill>
                    </w:rPr>
                    <w:t>140</w:t>
                  </w:r>
                </w:p>
              </w:tc>
              <w:tc>
                <w:tcPr>
                  <w:tcW w:w="706"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kern w:val="2"/>
                      <w:lang w:eastAsia="zh-CN" w:bidi="ar-SA"/>
                    </w:rPr>
                    <w:t>82.8</w:t>
                  </w:r>
                </w:p>
              </w:tc>
              <w:tc>
                <w:tcPr>
                  <w:tcW w:w="903" w:type="pct"/>
                  <w:tcBorders>
                    <w:tl2br w:val="nil"/>
                    <w:tr2bl w:val="nil"/>
                  </w:tcBorders>
                  <w:vAlign w:val="center"/>
                </w:tcPr>
                <w:p>
                  <w:pPr>
                    <w:pStyle w:val="27"/>
                    <w:autoSpaceDE w:val="0"/>
                    <w:autoSpaceDN w:val="0"/>
                    <w:ind w:firstLine="0" w:firstLineChars="0"/>
                    <w:rPr>
                      <w:rFonts w:hint="default" w:ascii="Times New Roman" w:hAnsi="Times New Roman" w:eastAsia="宋体"/>
                      <w:color w:val="auto"/>
                      <w:kern w:val="2"/>
                      <w:lang w:val="en-US" w:eastAsia="zh-CN" w:bidi="ar-SA"/>
                    </w:rPr>
                  </w:pPr>
                  <w:r>
                    <w:rPr>
                      <w:rFonts w:hint="eastAsia" w:ascii="Times New Roman" w:hAnsi="Times New Roman" w:eastAsia="宋体"/>
                      <w:color w:val="auto"/>
                      <w:kern w:val="2"/>
                      <w:lang w:val="en-US" w:eastAsia="zh-CN" w:bidi="ar-SA"/>
                    </w:rPr>
                    <w:t xml:space="preserve">-57.2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3" w:type="pct"/>
                  <w:tcBorders>
                    <w:tl2br w:val="nil"/>
                    <w:tr2bl w:val="nil"/>
                  </w:tcBorders>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315" w:type="pct"/>
                  <w:vMerge w:val="continue"/>
                  <w:tcBorders>
                    <w:tl2br w:val="nil"/>
                    <w:tr2bl w:val="nil"/>
                  </w:tcBorders>
                  <w:vAlign w:val="center"/>
                </w:tcPr>
                <w:p>
                  <w:pPr>
                    <w:pStyle w:val="20"/>
                    <w:bidi w:val="0"/>
                    <w:jc w:val="center"/>
                    <w:rPr>
                      <w:rFonts w:hint="default" w:ascii="Times New Roman" w:hAnsi="Times New Roman" w:cs="Times New Roman"/>
                      <w:color w:val="auto"/>
                      <w:lang w:val="en-US" w:eastAsia="zh-CN"/>
                    </w:rPr>
                  </w:pPr>
                </w:p>
              </w:tc>
              <w:tc>
                <w:tcPr>
                  <w:tcW w:w="72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焦磷酸钾</w:t>
                  </w:r>
                </w:p>
              </w:tc>
              <w:tc>
                <w:tcPr>
                  <w:tcW w:w="85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固体，工业级</w:t>
                  </w:r>
                </w:p>
              </w:tc>
              <w:tc>
                <w:tcPr>
                  <w:tcW w:w="778"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kern w:val="2"/>
                      <w:lang w:eastAsia="zh-CN" w:bidi="ar-SA"/>
                      <w14:textFill>
                        <w14:solidFill>
                          <w14:schemeClr w14:val="tx1"/>
                        </w14:solidFill>
                      </w14:textFill>
                    </w:rPr>
                    <w:t>235</w:t>
                  </w:r>
                </w:p>
              </w:tc>
              <w:tc>
                <w:tcPr>
                  <w:tcW w:w="706"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kern w:val="2"/>
                      <w:lang w:eastAsia="zh-CN" w:bidi="ar-SA"/>
                    </w:rPr>
                    <w:t>53.5</w:t>
                  </w:r>
                </w:p>
              </w:tc>
              <w:tc>
                <w:tcPr>
                  <w:tcW w:w="903" w:type="pct"/>
                  <w:tcBorders>
                    <w:tl2br w:val="nil"/>
                    <w:tr2bl w:val="nil"/>
                  </w:tcBorders>
                  <w:vAlign w:val="center"/>
                </w:tcPr>
                <w:p>
                  <w:pPr>
                    <w:pStyle w:val="27"/>
                    <w:autoSpaceDE w:val="0"/>
                    <w:autoSpaceDN w:val="0"/>
                    <w:ind w:firstLine="0" w:firstLineChars="0"/>
                    <w:rPr>
                      <w:rFonts w:hint="default" w:ascii="Times New Roman" w:hAnsi="Times New Roman" w:eastAsia="宋体"/>
                      <w:color w:val="auto"/>
                      <w:kern w:val="2"/>
                      <w:lang w:val="en-US" w:eastAsia="zh-CN" w:bidi="ar-SA"/>
                    </w:rPr>
                  </w:pPr>
                  <w:r>
                    <w:rPr>
                      <w:rFonts w:hint="eastAsia" w:ascii="Times New Roman" w:hAnsi="Times New Roman" w:eastAsia="宋体"/>
                      <w:color w:val="auto"/>
                      <w:kern w:val="2"/>
                      <w:lang w:val="en-US" w:eastAsia="zh-CN" w:bidi="ar-SA"/>
                    </w:rPr>
                    <w:t xml:space="preserve">-181.5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3" w:type="pct"/>
                  <w:tcBorders>
                    <w:tl2br w:val="nil"/>
                    <w:tr2bl w:val="nil"/>
                  </w:tcBorders>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w:t>
                  </w:r>
                </w:p>
              </w:tc>
              <w:tc>
                <w:tcPr>
                  <w:tcW w:w="315" w:type="pct"/>
                  <w:vMerge w:val="continue"/>
                  <w:tcBorders>
                    <w:tl2br w:val="nil"/>
                    <w:tr2bl w:val="nil"/>
                  </w:tcBorders>
                  <w:vAlign w:val="center"/>
                </w:tcPr>
                <w:p>
                  <w:pPr>
                    <w:pStyle w:val="20"/>
                    <w:bidi w:val="0"/>
                    <w:jc w:val="center"/>
                    <w:rPr>
                      <w:rFonts w:hint="default" w:ascii="Times New Roman" w:hAnsi="Times New Roman" w:cs="Times New Roman"/>
                      <w:color w:val="auto"/>
                      <w:lang w:val="en-US" w:eastAsia="zh-CN"/>
                    </w:rPr>
                  </w:pPr>
                </w:p>
              </w:tc>
              <w:tc>
                <w:tcPr>
                  <w:tcW w:w="72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焦磷酸铜</w:t>
                  </w:r>
                </w:p>
              </w:tc>
              <w:tc>
                <w:tcPr>
                  <w:tcW w:w="85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固体，工业级</w:t>
                  </w:r>
                </w:p>
              </w:tc>
              <w:tc>
                <w:tcPr>
                  <w:tcW w:w="778"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kern w:val="2"/>
                      <w:lang w:eastAsia="zh-CN" w:bidi="ar-SA"/>
                      <w14:textFill>
                        <w14:solidFill>
                          <w14:schemeClr w14:val="tx1"/>
                        </w14:solidFill>
                      </w14:textFill>
                    </w:rPr>
                    <w:t>5</w:t>
                  </w:r>
                </w:p>
              </w:tc>
              <w:tc>
                <w:tcPr>
                  <w:tcW w:w="706"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5</w:t>
                  </w:r>
                </w:p>
              </w:tc>
              <w:tc>
                <w:tcPr>
                  <w:tcW w:w="903"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color w:val="auto"/>
                      <w:kern w:val="2"/>
                      <w:sz w:val="21"/>
                      <w:szCs w:val="21"/>
                      <w:vertAlign w:val="baseline"/>
                      <w:lang w:val="en-US" w:eastAsia="zh-CN"/>
                    </w:rPr>
                  </w:pPr>
                  <w:r>
                    <w:rPr>
                      <w:rFonts w:hint="default" w:ascii="Times New Roman" w:hAnsi="Times New Roman" w:cs="Times New Roman"/>
                      <w:color w:val="auto"/>
                      <w:kern w:val="2"/>
                      <w:sz w:val="21"/>
                      <w:szCs w:val="21"/>
                      <w:vertAlign w:val="baseline"/>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3" w:type="pct"/>
                  <w:tcBorders>
                    <w:tl2br w:val="nil"/>
                    <w:tr2bl w:val="nil"/>
                  </w:tcBorders>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p>
              </w:tc>
              <w:tc>
                <w:tcPr>
                  <w:tcW w:w="315" w:type="pct"/>
                  <w:vMerge w:val="continue"/>
                  <w:tcBorders>
                    <w:tl2br w:val="nil"/>
                    <w:tr2bl w:val="nil"/>
                  </w:tcBorders>
                  <w:vAlign w:val="center"/>
                </w:tcPr>
                <w:p>
                  <w:pPr>
                    <w:pStyle w:val="20"/>
                    <w:bidi w:val="0"/>
                    <w:jc w:val="center"/>
                    <w:rPr>
                      <w:rFonts w:hint="default" w:ascii="Times New Roman" w:hAnsi="Times New Roman" w:cs="Times New Roman"/>
                      <w:color w:val="auto"/>
                      <w:lang w:val="en-US" w:eastAsia="zh-CN"/>
                    </w:rPr>
                  </w:pPr>
                </w:p>
              </w:tc>
              <w:tc>
                <w:tcPr>
                  <w:tcW w:w="72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硫酸锌</w:t>
                  </w:r>
                </w:p>
              </w:tc>
              <w:tc>
                <w:tcPr>
                  <w:tcW w:w="85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固体，工业级</w:t>
                  </w:r>
                </w:p>
              </w:tc>
              <w:tc>
                <w:tcPr>
                  <w:tcW w:w="778"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kern w:val="2"/>
                      <w:lang w:eastAsia="zh-CN" w:bidi="ar-SA"/>
                      <w14:textFill>
                        <w14:solidFill>
                          <w14:schemeClr w14:val="tx1"/>
                        </w14:solidFill>
                      </w14:textFill>
                    </w:rPr>
                    <w:t>3</w:t>
                  </w:r>
                </w:p>
              </w:tc>
              <w:tc>
                <w:tcPr>
                  <w:tcW w:w="706"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3</w:t>
                  </w:r>
                </w:p>
              </w:tc>
              <w:tc>
                <w:tcPr>
                  <w:tcW w:w="903"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color w:val="auto"/>
                      <w:kern w:val="2"/>
                      <w:sz w:val="21"/>
                      <w:szCs w:val="21"/>
                      <w:vertAlign w:val="baseline"/>
                      <w:lang w:val="en-US" w:eastAsia="zh-CN"/>
                    </w:rPr>
                  </w:pPr>
                  <w:r>
                    <w:rPr>
                      <w:rFonts w:hint="default" w:ascii="Times New Roman" w:hAnsi="Times New Roman" w:cs="Times New Roman"/>
                      <w:color w:val="auto"/>
                      <w:kern w:val="2"/>
                      <w:sz w:val="21"/>
                      <w:szCs w:val="21"/>
                      <w:vertAlign w:val="baseline"/>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3" w:type="pct"/>
                  <w:tcBorders>
                    <w:tl2br w:val="nil"/>
                    <w:tr2bl w:val="nil"/>
                  </w:tcBorders>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w:t>
                  </w:r>
                </w:p>
              </w:tc>
              <w:tc>
                <w:tcPr>
                  <w:tcW w:w="315" w:type="pct"/>
                  <w:vMerge w:val="continue"/>
                  <w:tcBorders>
                    <w:tl2br w:val="nil"/>
                    <w:tr2bl w:val="nil"/>
                  </w:tcBorders>
                  <w:vAlign w:val="center"/>
                </w:tcPr>
                <w:p>
                  <w:pPr>
                    <w:pStyle w:val="20"/>
                    <w:bidi w:val="0"/>
                    <w:jc w:val="center"/>
                    <w:rPr>
                      <w:rFonts w:hint="default" w:ascii="Times New Roman" w:hAnsi="Times New Roman" w:cs="Times New Roman"/>
                      <w:color w:val="auto"/>
                      <w:lang w:val="en-US" w:eastAsia="zh-CN"/>
                    </w:rPr>
                  </w:pPr>
                </w:p>
              </w:tc>
              <w:tc>
                <w:tcPr>
                  <w:tcW w:w="72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磷酸</w:t>
                  </w:r>
                </w:p>
              </w:tc>
              <w:tc>
                <w:tcPr>
                  <w:tcW w:w="85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液体，80%</w:t>
                  </w:r>
                </w:p>
              </w:tc>
              <w:tc>
                <w:tcPr>
                  <w:tcW w:w="778"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kern w:val="2"/>
                      <w:lang w:eastAsia="zh-CN" w:bidi="ar-SA"/>
                      <w14:textFill>
                        <w14:solidFill>
                          <w14:schemeClr w14:val="tx1"/>
                        </w14:solidFill>
                      </w14:textFill>
                    </w:rPr>
                    <w:t>230</w:t>
                  </w:r>
                </w:p>
              </w:tc>
              <w:tc>
                <w:tcPr>
                  <w:tcW w:w="706"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kern w:val="2"/>
                      <w:lang w:eastAsia="zh-CN" w:bidi="ar-SA"/>
                    </w:rPr>
                    <w:t>214.1</w:t>
                  </w:r>
                </w:p>
              </w:tc>
              <w:tc>
                <w:tcPr>
                  <w:tcW w:w="903" w:type="pct"/>
                  <w:tcBorders>
                    <w:tl2br w:val="nil"/>
                    <w:tr2bl w:val="nil"/>
                  </w:tcBorders>
                  <w:vAlign w:val="center"/>
                </w:tcPr>
                <w:p>
                  <w:pPr>
                    <w:pStyle w:val="27"/>
                    <w:autoSpaceDE w:val="0"/>
                    <w:autoSpaceDN w:val="0"/>
                    <w:ind w:firstLine="0" w:firstLineChars="0"/>
                    <w:rPr>
                      <w:rFonts w:hint="default" w:ascii="Times New Roman" w:hAnsi="Times New Roman" w:eastAsia="宋体"/>
                      <w:color w:val="auto"/>
                      <w:kern w:val="2"/>
                      <w:lang w:val="en-US" w:eastAsia="zh-CN" w:bidi="ar-SA"/>
                    </w:rPr>
                  </w:pPr>
                  <w:r>
                    <w:rPr>
                      <w:rFonts w:hint="eastAsia" w:ascii="Times New Roman" w:hAnsi="Times New Roman" w:eastAsia="宋体"/>
                      <w:color w:val="auto"/>
                      <w:kern w:val="2"/>
                      <w:lang w:val="en-US" w:eastAsia="zh-CN" w:bidi="ar-SA"/>
                    </w:rPr>
                    <w:t xml:space="preserve">-15.8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3" w:type="pct"/>
                  <w:tcBorders>
                    <w:tl2br w:val="nil"/>
                    <w:tr2bl w:val="nil"/>
                  </w:tcBorders>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9</w:t>
                  </w:r>
                </w:p>
              </w:tc>
              <w:tc>
                <w:tcPr>
                  <w:tcW w:w="315" w:type="pct"/>
                  <w:vMerge w:val="continue"/>
                  <w:tcBorders>
                    <w:tl2br w:val="nil"/>
                    <w:tr2bl w:val="nil"/>
                  </w:tcBorders>
                  <w:vAlign w:val="center"/>
                </w:tcPr>
                <w:p>
                  <w:pPr>
                    <w:pStyle w:val="20"/>
                    <w:bidi w:val="0"/>
                    <w:jc w:val="center"/>
                    <w:rPr>
                      <w:rFonts w:hint="default" w:ascii="Times New Roman" w:hAnsi="Times New Roman" w:cs="Times New Roman"/>
                      <w:color w:val="auto"/>
                      <w:lang w:val="en-US" w:eastAsia="zh-CN"/>
                    </w:rPr>
                  </w:pPr>
                </w:p>
              </w:tc>
              <w:tc>
                <w:tcPr>
                  <w:tcW w:w="72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硫酸</w:t>
                  </w:r>
                </w:p>
              </w:tc>
              <w:tc>
                <w:tcPr>
                  <w:tcW w:w="85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液体，93%</w:t>
                  </w:r>
                </w:p>
              </w:tc>
              <w:tc>
                <w:tcPr>
                  <w:tcW w:w="778"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kern w:val="2"/>
                      <w:lang w:eastAsia="zh-CN" w:bidi="ar-SA"/>
                      <w14:textFill>
                        <w14:solidFill>
                          <w14:schemeClr w14:val="tx1"/>
                        </w14:solidFill>
                      </w14:textFill>
                    </w:rPr>
                    <w:t>1750.21</w:t>
                  </w:r>
                </w:p>
              </w:tc>
              <w:tc>
                <w:tcPr>
                  <w:tcW w:w="706"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kern w:val="2"/>
                      <w:lang w:eastAsia="zh-CN" w:bidi="ar-SA"/>
                    </w:rPr>
                    <w:t>1403.9</w:t>
                  </w:r>
                </w:p>
              </w:tc>
              <w:tc>
                <w:tcPr>
                  <w:tcW w:w="903" w:type="pct"/>
                  <w:tcBorders>
                    <w:tl2br w:val="nil"/>
                    <w:tr2bl w:val="nil"/>
                  </w:tcBorders>
                  <w:vAlign w:val="center"/>
                </w:tcPr>
                <w:p>
                  <w:pPr>
                    <w:pStyle w:val="27"/>
                    <w:autoSpaceDE w:val="0"/>
                    <w:autoSpaceDN w:val="0"/>
                    <w:ind w:firstLine="0" w:firstLineChars="0"/>
                    <w:rPr>
                      <w:rFonts w:hint="default" w:ascii="Times New Roman" w:hAnsi="Times New Roman" w:eastAsia="宋体"/>
                      <w:color w:val="auto"/>
                      <w:kern w:val="2"/>
                      <w:lang w:val="en-US" w:eastAsia="zh-CN" w:bidi="ar-SA"/>
                    </w:rPr>
                  </w:pPr>
                  <w:r>
                    <w:rPr>
                      <w:rFonts w:hint="eastAsia" w:ascii="Times New Roman" w:hAnsi="Times New Roman" w:eastAsia="宋体"/>
                      <w:color w:val="auto"/>
                      <w:kern w:val="2"/>
                      <w:lang w:val="en-US" w:eastAsia="zh-CN" w:bidi="ar-SA"/>
                    </w:rPr>
                    <w:t xml:space="preserve">-346.3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3" w:type="pct"/>
                  <w:tcBorders>
                    <w:tl2br w:val="nil"/>
                    <w:tr2bl w:val="nil"/>
                  </w:tcBorders>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c>
                <w:tcPr>
                  <w:tcW w:w="315" w:type="pct"/>
                  <w:vMerge w:val="continue"/>
                  <w:tcBorders>
                    <w:tl2br w:val="nil"/>
                    <w:tr2bl w:val="nil"/>
                  </w:tcBorders>
                  <w:vAlign w:val="center"/>
                </w:tcPr>
                <w:p>
                  <w:pPr>
                    <w:pStyle w:val="20"/>
                    <w:bidi w:val="0"/>
                    <w:jc w:val="center"/>
                    <w:rPr>
                      <w:rFonts w:hint="default" w:ascii="Times New Roman" w:hAnsi="Times New Roman" w:cs="Times New Roman"/>
                      <w:color w:val="auto"/>
                      <w:lang w:val="en-US" w:eastAsia="zh-CN"/>
                    </w:rPr>
                  </w:pPr>
                </w:p>
              </w:tc>
              <w:tc>
                <w:tcPr>
                  <w:tcW w:w="72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盐酸</w:t>
                  </w:r>
                </w:p>
              </w:tc>
              <w:tc>
                <w:tcPr>
                  <w:tcW w:w="85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液体，30%</w:t>
                  </w:r>
                </w:p>
              </w:tc>
              <w:tc>
                <w:tcPr>
                  <w:tcW w:w="778"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kern w:val="2"/>
                      <w:lang w:eastAsia="zh-CN" w:bidi="ar-SA"/>
                      <w14:textFill>
                        <w14:solidFill>
                          <w14:schemeClr w14:val="tx1"/>
                        </w14:solidFill>
                      </w14:textFill>
                    </w:rPr>
                    <w:t>5225</w:t>
                  </w:r>
                </w:p>
              </w:tc>
              <w:tc>
                <w:tcPr>
                  <w:tcW w:w="706"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kern w:val="2"/>
                      <w:lang w:eastAsia="zh-CN" w:bidi="ar-SA"/>
                    </w:rPr>
                    <w:t>5225</w:t>
                  </w:r>
                </w:p>
              </w:tc>
              <w:tc>
                <w:tcPr>
                  <w:tcW w:w="903"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3" w:type="pct"/>
                  <w:tcBorders>
                    <w:tl2br w:val="nil"/>
                    <w:tr2bl w:val="nil"/>
                  </w:tcBorders>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11</w:t>
                  </w:r>
                </w:p>
              </w:tc>
              <w:tc>
                <w:tcPr>
                  <w:tcW w:w="315" w:type="pct"/>
                  <w:vMerge w:val="continue"/>
                  <w:tcBorders>
                    <w:tl2br w:val="nil"/>
                    <w:tr2bl w:val="nil"/>
                  </w:tcBorders>
                  <w:vAlign w:val="center"/>
                </w:tcPr>
                <w:p>
                  <w:pPr>
                    <w:pStyle w:val="20"/>
                    <w:bidi w:val="0"/>
                    <w:jc w:val="center"/>
                    <w:rPr>
                      <w:rFonts w:hint="default" w:ascii="Times New Roman" w:hAnsi="Times New Roman" w:cs="Times New Roman"/>
                      <w:color w:val="auto"/>
                      <w:lang w:val="en-US" w:eastAsia="zh-CN"/>
                    </w:rPr>
                  </w:pPr>
                </w:p>
              </w:tc>
              <w:tc>
                <w:tcPr>
                  <w:tcW w:w="72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拉丝粉</w:t>
                  </w:r>
                </w:p>
              </w:tc>
              <w:tc>
                <w:tcPr>
                  <w:tcW w:w="85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硬脂酸钠</w:t>
                  </w:r>
                </w:p>
              </w:tc>
              <w:tc>
                <w:tcPr>
                  <w:tcW w:w="778"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kern w:val="2"/>
                      <w:lang w:eastAsia="zh-CN" w:bidi="ar-SA"/>
                      <w14:textFill>
                        <w14:solidFill>
                          <w14:schemeClr w14:val="tx1"/>
                        </w14:solidFill>
                      </w14:textFill>
                    </w:rPr>
                    <w:t>287</w:t>
                  </w:r>
                </w:p>
              </w:tc>
              <w:tc>
                <w:tcPr>
                  <w:tcW w:w="706"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kern w:val="2"/>
                      <w:lang w:eastAsia="zh-CN" w:bidi="ar-SA"/>
                    </w:rPr>
                    <w:t>210.8</w:t>
                  </w:r>
                </w:p>
              </w:tc>
              <w:tc>
                <w:tcPr>
                  <w:tcW w:w="903" w:type="pct"/>
                  <w:tcBorders>
                    <w:tl2br w:val="nil"/>
                    <w:tr2bl w:val="nil"/>
                  </w:tcBorders>
                  <w:vAlign w:val="center"/>
                </w:tcPr>
                <w:p>
                  <w:pPr>
                    <w:pStyle w:val="27"/>
                    <w:autoSpaceDE w:val="0"/>
                    <w:autoSpaceDN w:val="0"/>
                    <w:ind w:firstLine="0" w:firstLineChars="0"/>
                    <w:rPr>
                      <w:rFonts w:hint="default" w:ascii="Times New Roman" w:hAnsi="Times New Roman" w:eastAsia="宋体"/>
                      <w:color w:val="auto"/>
                      <w:kern w:val="2"/>
                      <w:lang w:val="en-US" w:eastAsia="zh-CN" w:bidi="ar-SA"/>
                    </w:rPr>
                  </w:pPr>
                  <w:r>
                    <w:rPr>
                      <w:rFonts w:hint="eastAsia" w:ascii="Times New Roman" w:hAnsi="Times New Roman" w:eastAsia="宋体"/>
                      <w:color w:val="auto"/>
                      <w:kern w:val="2"/>
                      <w:lang w:val="en-US" w:eastAsia="zh-CN" w:bidi="ar-SA"/>
                    </w:rPr>
                    <w:t xml:space="preserve">-76.2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3" w:type="pct"/>
                  <w:tcBorders>
                    <w:tl2br w:val="nil"/>
                    <w:tr2bl w:val="nil"/>
                  </w:tcBorders>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w:t>
                  </w:r>
                </w:p>
              </w:tc>
              <w:tc>
                <w:tcPr>
                  <w:tcW w:w="315" w:type="pct"/>
                  <w:vMerge w:val="continue"/>
                  <w:tcBorders>
                    <w:tl2br w:val="nil"/>
                    <w:tr2bl w:val="nil"/>
                  </w:tcBorders>
                  <w:vAlign w:val="center"/>
                </w:tcPr>
                <w:p>
                  <w:pPr>
                    <w:pStyle w:val="20"/>
                    <w:bidi w:val="0"/>
                    <w:jc w:val="center"/>
                    <w:rPr>
                      <w:rFonts w:hint="default" w:ascii="Times New Roman" w:hAnsi="Times New Roman" w:cs="Times New Roman"/>
                      <w:color w:val="auto"/>
                      <w:lang w:val="en-US" w:eastAsia="zh-CN"/>
                    </w:rPr>
                  </w:pPr>
                </w:p>
              </w:tc>
              <w:tc>
                <w:tcPr>
                  <w:tcW w:w="72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乳化液</w:t>
                  </w:r>
                </w:p>
              </w:tc>
              <w:tc>
                <w:tcPr>
                  <w:tcW w:w="85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硬脂酸钠35%、动物油25%、矿油</w:t>
                  </w:r>
                </w:p>
              </w:tc>
              <w:tc>
                <w:tcPr>
                  <w:tcW w:w="778"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kern w:val="2"/>
                      <w:lang w:eastAsia="zh-CN" w:bidi="ar-SA"/>
                      <w14:textFill>
                        <w14:solidFill>
                          <w14:schemeClr w14:val="tx1"/>
                        </w14:solidFill>
                      </w14:textFill>
                    </w:rPr>
                    <w:t>1450</w:t>
                  </w:r>
                </w:p>
              </w:tc>
              <w:tc>
                <w:tcPr>
                  <w:tcW w:w="706"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kern w:val="2"/>
                      <w:lang w:eastAsia="zh-CN" w:bidi="ar-SA"/>
                    </w:rPr>
                    <w:t>1184.4</w:t>
                  </w:r>
                </w:p>
              </w:tc>
              <w:tc>
                <w:tcPr>
                  <w:tcW w:w="903" w:type="pct"/>
                  <w:tcBorders>
                    <w:tl2br w:val="nil"/>
                    <w:tr2bl w:val="nil"/>
                  </w:tcBorders>
                  <w:vAlign w:val="center"/>
                </w:tcPr>
                <w:p>
                  <w:pPr>
                    <w:pStyle w:val="27"/>
                    <w:autoSpaceDE w:val="0"/>
                    <w:autoSpaceDN w:val="0"/>
                    <w:ind w:firstLine="0" w:firstLineChars="0"/>
                    <w:rPr>
                      <w:rFonts w:hint="default" w:ascii="Times New Roman" w:hAnsi="Times New Roman" w:eastAsia="宋体"/>
                      <w:color w:val="auto"/>
                      <w:kern w:val="2"/>
                      <w:lang w:val="en-US" w:eastAsia="zh-CN" w:bidi="ar-SA"/>
                    </w:rPr>
                  </w:pPr>
                  <w:r>
                    <w:rPr>
                      <w:rFonts w:hint="eastAsia" w:ascii="Times New Roman" w:hAnsi="Times New Roman" w:eastAsia="宋体"/>
                      <w:color w:val="auto"/>
                      <w:kern w:val="2"/>
                      <w:lang w:val="en-US" w:eastAsia="zh-CN" w:bidi="ar-SA"/>
                    </w:rPr>
                    <w:t xml:space="preserve">-265.6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713" w:type="pct"/>
                  <w:tcBorders>
                    <w:tl2br w:val="nil"/>
                    <w:tr2bl w:val="nil"/>
                  </w:tcBorders>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13</w:t>
                  </w:r>
                </w:p>
              </w:tc>
              <w:tc>
                <w:tcPr>
                  <w:tcW w:w="315" w:type="pct"/>
                  <w:vMerge w:val="continue"/>
                  <w:tcBorders>
                    <w:tl2br w:val="nil"/>
                    <w:tr2bl w:val="nil"/>
                  </w:tcBorders>
                  <w:vAlign w:val="center"/>
                </w:tcPr>
                <w:p>
                  <w:pPr>
                    <w:pStyle w:val="20"/>
                    <w:bidi w:val="0"/>
                    <w:jc w:val="center"/>
                    <w:rPr>
                      <w:rFonts w:hint="default" w:ascii="Times New Roman" w:hAnsi="Times New Roman" w:cs="Times New Roman"/>
                      <w:color w:val="auto"/>
                      <w:lang w:val="en-US" w:eastAsia="zh-CN"/>
                    </w:rPr>
                  </w:pPr>
                </w:p>
              </w:tc>
              <w:tc>
                <w:tcPr>
                  <w:tcW w:w="72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液碱</w:t>
                  </w:r>
                </w:p>
              </w:tc>
              <w:tc>
                <w:tcPr>
                  <w:tcW w:w="85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氢氧化钠，30%</w:t>
                  </w:r>
                </w:p>
              </w:tc>
              <w:tc>
                <w:tcPr>
                  <w:tcW w:w="778"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kern w:val="2"/>
                      <w:lang w:eastAsia="zh-CN" w:bidi="ar-SA"/>
                      <w14:textFill>
                        <w14:solidFill>
                          <w14:schemeClr w14:val="tx1"/>
                        </w14:solidFill>
                      </w14:textFill>
                    </w:rPr>
                    <w:t>4000</w:t>
                  </w:r>
                </w:p>
              </w:tc>
              <w:tc>
                <w:tcPr>
                  <w:tcW w:w="706"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kern w:val="2"/>
                      <w:lang w:eastAsia="zh-CN" w:bidi="ar-SA"/>
                    </w:rPr>
                    <w:t>1915.9</w:t>
                  </w:r>
                </w:p>
              </w:tc>
              <w:tc>
                <w:tcPr>
                  <w:tcW w:w="903" w:type="pct"/>
                  <w:tcBorders>
                    <w:tl2br w:val="nil"/>
                    <w:tr2bl w:val="nil"/>
                  </w:tcBorders>
                  <w:vAlign w:val="center"/>
                </w:tcPr>
                <w:p>
                  <w:pPr>
                    <w:pStyle w:val="27"/>
                    <w:autoSpaceDE w:val="0"/>
                    <w:autoSpaceDN w:val="0"/>
                    <w:ind w:firstLine="0" w:firstLineChars="0"/>
                    <w:rPr>
                      <w:rFonts w:hint="default" w:ascii="Times New Roman" w:hAnsi="Times New Roman" w:eastAsia="宋体"/>
                      <w:color w:val="auto"/>
                      <w:kern w:val="2"/>
                      <w:lang w:val="en-US" w:eastAsia="zh-CN" w:bidi="ar-SA"/>
                    </w:rPr>
                  </w:pPr>
                  <w:r>
                    <w:rPr>
                      <w:rFonts w:hint="eastAsia" w:ascii="Times New Roman" w:hAnsi="Times New Roman" w:eastAsia="宋体"/>
                      <w:color w:val="auto"/>
                      <w:kern w:val="2"/>
                      <w:lang w:val="en-US" w:eastAsia="zh-CN" w:bidi="ar-SA"/>
                    </w:rPr>
                    <w:t xml:space="preserve">-2084.0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3" w:type="pct"/>
                  <w:tcBorders>
                    <w:tl2br w:val="nil"/>
                    <w:tr2bl w:val="nil"/>
                  </w:tcBorders>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14</w:t>
                  </w:r>
                </w:p>
              </w:tc>
              <w:tc>
                <w:tcPr>
                  <w:tcW w:w="315" w:type="pct"/>
                  <w:vMerge w:val="continue"/>
                  <w:tcBorders>
                    <w:tl2br w:val="nil"/>
                    <w:tr2bl w:val="nil"/>
                  </w:tcBorders>
                  <w:vAlign w:val="center"/>
                </w:tcPr>
                <w:p>
                  <w:pPr>
                    <w:pStyle w:val="20"/>
                    <w:bidi w:val="0"/>
                    <w:jc w:val="center"/>
                    <w:rPr>
                      <w:rFonts w:hint="default" w:ascii="Times New Roman" w:hAnsi="Times New Roman" w:cs="Times New Roman"/>
                      <w:color w:val="auto"/>
                      <w:lang w:val="en-US" w:eastAsia="zh-CN"/>
                    </w:rPr>
                  </w:pPr>
                </w:p>
              </w:tc>
              <w:tc>
                <w:tcPr>
                  <w:tcW w:w="72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次氯酸钠</w:t>
                  </w:r>
                </w:p>
              </w:tc>
              <w:tc>
                <w:tcPr>
                  <w:tcW w:w="85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次氯酸钠</w:t>
                  </w:r>
                </w:p>
              </w:tc>
              <w:tc>
                <w:tcPr>
                  <w:tcW w:w="778"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kern w:val="2"/>
                      <w:lang w:eastAsia="zh-CN" w:bidi="ar-SA"/>
                      <w14:textFill>
                        <w14:solidFill>
                          <w14:schemeClr w14:val="tx1"/>
                        </w14:solidFill>
                      </w14:textFill>
                    </w:rPr>
                    <w:t>78.85</w:t>
                  </w:r>
                </w:p>
              </w:tc>
              <w:tc>
                <w:tcPr>
                  <w:tcW w:w="706"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kern w:val="2"/>
                      <w:lang w:eastAsia="zh-CN" w:bidi="ar-SA"/>
                    </w:rPr>
                    <w:t>78.85</w:t>
                  </w:r>
                </w:p>
              </w:tc>
              <w:tc>
                <w:tcPr>
                  <w:tcW w:w="903"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blHeader/>
                <w:jc w:val="center"/>
              </w:trPr>
              <w:tc>
                <w:tcPr>
                  <w:tcW w:w="713" w:type="pct"/>
                  <w:tcBorders>
                    <w:tl2br w:val="nil"/>
                    <w:tr2bl w:val="nil"/>
                  </w:tcBorders>
                  <w:vAlign w:val="center"/>
                </w:tcPr>
                <w:p>
                  <w:pPr>
                    <w:pStyle w:val="20"/>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p>
              </w:tc>
              <w:tc>
                <w:tcPr>
                  <w:tcW w:w="315" w:type="pct"/>
                  <w:vMerge w:val="continue"/>
                  <w:tcBorders>
                    <w:tl2br w:val="nil"/>
                    <w:tr2bl w:val="nil"/>
                  </w:tcBorders>
                  <w:vAlign w:val="center"/>
                </w:tcPr>
                <w:p>
                  <w:pPr>
                    <w:pStyle w:val="20"/>
                    <w:bidi w:val="0"/>
                    <w:jc w:val="center"/>
                    <w:rPr>
                      <w:rFonts w:hint="default" w:ascii="Times New Roman" w:hAnsi="Times New Roman" w:cs="Times New Roman"/>
                      <w:color w:val="auto"/>
                      <w:lang w:val="en-US" w:eastAsia="zh-CN"/>
                    </w:rPr>
                  </w:pPr>
                </w:p>
              </w:tc>
              <w:tc>
                <w:tcPr>
                  <w:tcW w:w="72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淬火液</w:t>
                  </w:r>
                </w:p>
              </w:tc>
              <w:tc>
                <w:tcPr>
                  <w:tcW w:w="856" w:type="pct"/>
                  <w:tcBorders>
                    <w:tl2br w:val="nil"/>
                    <w:tr2bl w:val="nil"/>
                  </w:tcBorders>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Aqua-Quench110淬火液</w:t>
                  </w:r>
                </w:p>
              </w:tc>
              <w:tc>
                <w:tcPr>
                  <w:tcW w:w="778"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kern w:val="2"/>
                      <w:lang w:eastAsia="zh-CN" w:bidi="ar-SA"/>
                      <w14:textFill>
                        <w14:solidFill>
                          <w14:schemeClr w14:val="tx1"/>
                        </w14:solidFill>
                      </w14:textFill>
                    </w:rPr>
                    <w:t>42</w:t>
                  </w:r>
                </w:p>
              </w:tc>
              <w:tc>
                <w:tcPr>
                  <w:tcW w:w="706" w:type="pct"/>
                  <w:tcBorders>
                    <w:tl2br w:val="nil"/>
                    <w:tr2bl w:val="nil"/>
                  </w:tcBorders>
                  <w:vAlign w:val="center"/>
                </w:tcPr>
                <w:p>
                  <w:pPr>
                    <w:pStyle w:val="27"/>
                    <w:autoSpaceDE w:val="0"/>
                    <w:autoSpaceDN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kern w:val="2"/>
                      <w:lang w:eastAsia="zh-CN" w:bidi="ar-SA"/>
                    </w:rPr>
                    <w:t>30</w:t>
                  </w:r>
                </w:p>
              </w:tc>
              <w:tc>
                <w:tcPr>
                  <w:tcW w:w="903" w:type="pct"/>
                  <w:tcBorders>
                    <w:tl2br w:val="nil"/>
                    <w:tr2bl w:val="nil"/>
                  </w:tcBorders>
                  <w:vAlign w:val="center"/>
                </w:tcPr>
                <w:p>
                  <w:pPr>
                    <w:pStyle w:val="27"/>
                    <w:autoSpaceDE w:val="0"/>
                    <w:autoSpaceDN w:val="0"/>
                    <w:ind w:firstLine="0" w:firstLineChars="0"/>
                    <w:rPr>
                      <w:rFonts w:hint="default" w:ascii="Times New Roman" w:hAnsi="Times New Roman" w:eastAsia="宋体"/>
                      <w:color w:val="auto"/>
                      <w:kern w:val="2"/>
                      <w:lang w:val="en-US" w:eastAsia="zh-CN" w:bidi="ar-SA"/>
                    </w:rPr>
                  </w:pPr>
                  <w:r>
                    <w:rPr>
                      <w:rFonts w:hint="eastAsia" w:ascii="Times New Roman" w:hAnsi="Times New Roman" w:eastAsia="宋体"/>
                      <w:color w:val="auto"/>
                      <w:kern w:val="2"/>
                      <w:lang w:val="en-US" w:eastAsia="zh-CN" w:bidi="ar-SA"/>
                    </w:rPr>
                    <w:t xml:space="preserve">-12.0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3" w:type="pct"/>
                  <w:vAlign w:val="center"/>
                </w:tcPr>
                <w:p>
                  <w:pPr>
                    <w:pStyle w:val="20"/>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16</w:t>
                  </w:r>
                </w:p>
              </w:tc>
              <w:tc>
                <w:tcPr>
                  <w:tcW w:w="315" w:type="pct"/>
                  <w:vMerge w:val="continue"/>
                  <w:vAlign w:val="center"/>
                </w:tcPr>
                <w:p>
                  <w:pPr>
                    <w:pStyle w:val="20"/>
                    <w:bidi w:val="0"/>
                    <w:jc w:val="center"/>
                    <w:rPr>
                      <w:rFonts w:hint="default" w:ascii="Times New Roman" w:hAnsi="Times New Roman" w:cs="Times New Roman"/>
                      <w:color w:val="auto"/>
                      <w:lang w:val="en-US" w:eastAsia="zh-CN"/>
                    </w:rPr>
                  </w:pPr>
                </w:p>
              </w:tc>
              <w:tc>
                <w:tcPr>
                  <w:tcW w:w="726" w:type="pct"/>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砂带</w:t>
                  </w:r>
                </w:p>
              </w:tc>
              <w:tc>
                <w:tcPr>
                  <w:tcW w:w="856" w:type="pct"/>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氧化铝</w:t>
                  </w:r>
                </w:p>
              </w:tc>
              <w:tc>
                <w:tcPr>
                  <w:tcW w:w="778" w:type="pct"/>
                  <w:vAlign w:val="center"/>
                </w:tcPr>
                <w:p>
                  <w:pPr>
                    <w:pStyle w:val="27"/>
                    <w:autoSpaceDE w:val="0"/>
                    <w:autoSpaceDN w:val="0"/>
                    <w:ind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ascii="Times New Roman" w:hAnsi="Times New Roman"/>
                      <w:color w:val="000000" w:themeColor="text1"/>
                      <w:kern w:val="2"/>
                      <w:lang w:eastAsia="zh-CN" w:bidi="ar-SA"/>
                      <w14:textFill>
                        <w14:solidFill>
                          <w14:schemeClr w14:val="tx1"/>
                        </w14:solidFill>
                      </w14:textFill>
                    </w:rPr>
                    <w:t>5</w:t>
                  </w:r>
                </w:p>
              </w:tc>
              <w:tc>
                <w:tcPr>
                  <w:tcW w:w="706" w:type="pct"/>
                  <w:vAlign w:val="center"/>
                </w:tcPr>
                <w:p>
                  <w:pPr>
                    <w:pStyle w:val="27"/>
                    <w:autoSpaceDE w:val="0"/>
                    <w:autoSpaceDN w:val="0"/>
                    <w:ind w:firstLine="0" w:firstLineChars="0"/>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Theme="minorEastAsia"/>
                      <w:color w:val="auto"/>
                      <w:kern w:val="2"/>
                      <w:lang w:eastAsia="zh-CN" w:bidi="ar-SA"/>
                    </w:rPr>
                    <w:t>5</w:t>
                  </w:r>
                </w:p>
              </w:tc>
              <w:tc>
                <w:tcPr>
                  <w:tcW w:w="903" w:type="pct"/>
                  <w:vAlign w:val="center"/>
                </w:tcPr>
                <w:p>
                  <w:pPr>
                    <w:pStyle w:val="20"/>
                    <w:bidi w:val="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bl>
          <w:p>
            <w:pPr>
              <w:keepNext w:val="0"/>
              <w:keepLines w:val="0"/>
              <w:pageBreakBefore w:val="0"/>
              <w:widowControl w:val="0"/>
              <w:kinsoku/>
              <w:wordWrap/>
              <w:topLinePunct w:val="0"/>
              <w:bidi w:val="0"/>
              <w:snapToGrid w:val="0"/>
              <w:spacing w:line="360" w:lineRule="auto"/>
              <w:ind w:left="0" w:leftChars="0" w:firstLine="0" w:firstLineChars="0"/>
              <w:jc w:val="center"/>
              <w:rPr>
                <w:rFonts w:hint="eastAsia" w:ascii="Times New Roman" w:hAnsi="Times New Roman" w:cs="Times New Roman"/>
                <w:b/>
                <w:bCs/>
                <w:color w:val="auto"/>
                <w:lang w:val="en-US" w:eastAsia="zh-CN"/>
              </w:rPr>
            </w:pPr>
          </w:p>
          <w:p>
            <w:pPr>
              <w:keepNext w:val="0"/>
              <w:keepLines w:val="0"/>
              <w:pageBreakBefore w:val="0"/>
              <w:widowControl w:val="0"/>
              <w:kinsoku/>
              <w:wordWrap/>
              <w:topLinePunct w:val="0"/>
              <w:bidi w:val="0"/>
              <w:snapToGrid w:val="0"/>
              <w:spacing w:line="360" w:lineRule="auto"/>
              <w:ind w:left="0" w:leftChars="0" w:firstLine="0" w:firstLineChars="0"/>
              <w:jc w:val="center"/>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表2-5 部分原辅料理化性质一览表</w:t>
            </w:r>
          </w:p>
          <w:tbl>
            <w:tblPr>
              <w:tblStyle w:val="17"/>
              <w:tblW w:w="7917"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974"/>
              <w:gridCol w:w="426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696" w:type="dxa"/>
                  <w:vAlign w:val="center"/>
                </w:tcPr>
                <w:p>
                  <w:pPr>
                    <w:pStyle w:val="20"/>
                    <w:bidi w:val="0"/>
                    <w:ind w:firstLine="0" w:firstLineChars="0"/>
                    <w:jc w:val="center"/>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序号</w:t>
                  </w:r>
                </w:p>
              </w:tc>
              <w:tc>
                <w:tcPr>
                  <w:tcW w:w="974" w:type="dxa"/>
                  <w:vAlign w:val="center"/>
                </w:tcPr>
                <w:p>
                  <w:pPr>
                    <w:pStyle w:val="20"/>
                    <w:bidi w:val="0"/>
                    <w:ind w:firstLine="0" w:firstLineChars="0"/>
                    <w:jc w:val="center"/>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名称</w:t>
                  </w:r>
                </w:p>
              </w:tc>
              <w:tc>
                <w:tcPr>
                  <w:tcW w:w="4262" w:type="dxa"/>
                  <w:vAlign w:val="center"/>
                </w:tcPr>
                <w:p>
                  <w:pPr>
                    <w:pStyle w:val="20"/>
                    <w:bidi w:val="0"/>
                    <w:ind w:firstLine="0" w:firstLineChars="0"/>
                    <w:jc w:val="center"/>
                    <w:rPr>
                      <w:rFonts w:hint="default" w:ascii="Times New Roman" w:hAnsi="Times New Roman" w:cs="Times New Roman"/>
                      <w:b/>
                      <w:bCs/>
                      <w:color w:val="auto"/>
                      <w:lang w:val="en-US" w:eastAsia="zh-CN"/>
                    </w:rPr>
                  </w:pPr>
                  <w:r>
                    <w:rPr>
                      <w:rFonts w:hint="eastAsia" w:ascii="Times New Roman" w:hAnsi="Times New Roman" w:cs="Times New Roman"/>
                      <w:b/>
                      <w:bCs/>
                      <w:color w:val="auto"/>
                    </w:rPr>
                    <w:t>理化性质</w:t>
                  </w:r>
                </w:p>
              </w:tc>
              <w:tc>
                <w:tcPr>
                  <w:tcW w:w="1985" w:type="dxa"/>
                  <w:vAlign w:val="center"/>
                </w:tcPr>
                <w:p>
                  <w:pPr>
                    <w:pStyle w:val="20"/>
                    <w:bidi w:val="0"/>
                    <w:ind w:firstLine="0" w:firstLineChars="0"/>
                    <w:jc w:val="center"/>
                    <w:rPr>
                      <w:rFonts w:hint="default" w:ascii="Times New Roman" w:hAnsi="Times New Roman" w:cs="Times New Roman"/>
                      <w:b/>
                      <w:bCs/>
                      <w:color w:val="auto"/>
                      <w:lang w:val="en-US" w:eastAsia="zh-CN"/>
                    </w:rPr>
                  </w:pPr>
                  <w:r>
                    <w:rPr>
                      <w:rFonts w:hint="eastAsia" w:ascii="Times New Roman" w:hAnsi="Times New Roman" w:cs="Times New Roman"/>
                      <w:b/>
                      <w:bCs/>
                      <w:color w:val="auto"/>
                    </w:rPr>
                    <w:t>毒性理性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96" w:type="dxa"/>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w:t>
                  </w:r>
                </w:p>
              </w:tc>
              <w:tc>
                <w:tcPr>
                  <w:tcW w:w="974"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硫酸</w:t>
                  </w:r>
                </w:p>
              </w:tc>
              <w:tc>
                <w:tcPr>
                  <w:tcW w:w="4262"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无色透明油状液体，无臭。分子量98.08，熔点10.5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，沸点330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，相对密度（水=1）1.83，饱和蒸气压0.13kPa（145.8</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）。与水混溶，溶</w:t>
                  </w:r>
                  <w:r>
                    <w:rPr>
                      <w:rFonts w:hint="eastAsia" w:ascii="Times New Roman" w:hAnsi="Times New Roman" w:cs="Times New Roman"/>
                      <w:color w:val="000000" w:themeColor="text1"/>
                      <w:sz w:val="21"/>
                      <w:szCs w:val="21"/>
                      <w:lang w:val="en-US" w:eastAsia="zh-CN"/>
                      <w14:textFill>
                        <w14:solidFill>
                          <w14:schemeClr w14:val="tx1"/>
                        </w14:solidFill>
                      </w14:textFill>
                    </w:rPr>
                    <w:t>于碱</w:t>
                  </w:r>
                  <w:r>
                    <w:rPr>
                      <w:rFonts w:hint="default" w:ascii="Times New Roman" w:hAnsi="Times New Roman" w:cs="Times New Roman"/>
                      <w:color w:val="000000" w:themeColor="text1"/>
                      <w:sz w:val="21"/>
                      <w:szCs w:val="21"/>
                      <w:lang w:val="en-US" w:eastAsia="zh-CN"/>
                      <w14:textFill>
                        <w14:solidFill>
                          <w14:schemeClr w14:val="tx1"/>
                        </w14:solidFill>
                      </w14:textFill>
                    </w:rPr>
                    <w:t>液。</w:t>
                  </w:r>
                </w:p>
              </w:tc>
              <w:tc>
                <w:tcPr>
                  <w:tcW w:w="1985"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LD</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50</w:t>
                  </w:r>
                  <w:r>
                    <w:rPr>
                      <w:rFonts w:hint="default" w:ascii="Times New Roman" w:hAnsi="Times New Roman" w:cs="Times New Roman"/>
                      <w:color w:val="000000" w:themeColor="text1"/>
                      <w:sz w:val="21"/>
                      <w:szCs w:val="21"/>
                      <w:lang w:val="en-US" w:eastAsia="zh-CN"/>
                      <w14:textFill>
                        <w14:solidFill>
                          <w14:schemeClr w14:val="tx1"/>
                        </w14:solidFill>
                      </w14:textFill>
                    </w:rPr>
                    <w:t>：80mg/kg（大鼠经口）；LC</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50</w:t>
                  </w:r>
                  <w:r>
                    <w:rPr>
                      <w:rFonts w:hint="default" w:ascii="Times New Roman" w:hAnsi="Times New Roman" w:cs="Times New Roman"/>
                      <w:color w:val="000000" w:themeColor="text1"/>
                      <w:sz w:val="21"/>
                      <w:szCs w:val="21"/>
                      <w:lang w:val="en-US" w:eastAsia="zh-CN"/>
                      <w14:textFill>
                        <w14:solidFill>
                          <w14:schemeClr w14:val="tx1"/>
                        </w14:solidFill>
                      </w14:textFill>
                    </w:rPr>
                    <w:t>：510mg/m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，2小时（大鼠吸入）；320</w:t>
                  </w:r>
                  <w:r>
                    <w:rPr>
                      <w:rFonts w:hint="default" w:ascii="Times New Roman" w:hAnsi="Times New Roman" w:cs="Times New Roman"/>
                      <w:color w:val="000000" w:themeColor="text1"/>
                      <w:sz w:val="21"/>
                      <w:szCs w:val="21"/>
                      <w:lang w:val="en-US" w:eastAsia="zh-CN"/>
                      <w14:textFill>
                        <w14:solidFill>
                          <w14:schemeClr w14:val="tx1"/>
                        </w14:solidFill>
                      </w14:textFill>
                    </w:rPr>
                    <w:t>mg/m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，2小时（小鼠吸入）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96" w:type="dxa"/>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p>
              </w:tc>
              <w:tc>
                <w:tcPr>
                  <w:tcW w:w="974"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盐酸</w:t>
                  </w:r>
                </w:p>
              </w:tc>
              <w:tc>
                <w:tcPr>
                  <w:tcW w:w="4262"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分子量：36.46，无色有刺激性气味的气体。蒸气压4225.6kPa（20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）；熔点-114.2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℃；沸点-85℃，易溶于水，相对密度（水=1）1.19.</w:t>
                  </w:r>
                </w:p>
              </w:tc>
              <w:tc>
                <w:tcPr>
                  <w:tcW w:w="1985"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LD</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50</w:t>
                  </w:r>
                  <w:r>
                    <w:rPr>
                      <w:rFonts w:hint="default" w:ascii="Times New Roman" w:hAnsi="Times New Roman" w:cs="Times New Roman"/>
                      <w:color w:val="000000" w:themeColor="text1"/>
                      <w:sz w:val="21"/>
                      <w:szCs w:val="21"/>
                      <w:lang w:val="en-US" w:eastAsia="zh-CN"/>
                      <w14:textFill>
                        <w14:solidFill>
                          <w14:schemeClr w14:val="tx1"/>
                        </w14:solidFill>
                      </w14:textFill>
                    </w:rPr>
                    <w:t>：900mg/kg（兔经口）；LC</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50</w:t>
                  </w:r>
                  <w:r>
                    <w:rPr>
                      <w:rFonts w:hint="default" w:ascii="Times New Roman" w:hAnsi="Times New Roman" w:cs="Times New Roman"/>
                      <w:color w:val="000000" w:themeColor="text1"/>
                      <w:sz w:val="21"/>
                      <w:szCs w:val="21"/>
                      <w:lang w:val="en-US" w:eastAsia="zh-CN"/>
                      <w14:textFill>
                        <w14:solidFill>
                          <w14:schemeClr w14:val="tx1"/>
                        </w14:solidFill>
                      </w14:textFill>
                    </w:rPr>
                    <w:t>：3124ppm/小时</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96" w:type="dxa"/>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974"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磷酸</w:t>
                  </w:r>
                </w:p>
              </w:tc>
              <w:tc>
                <w:tcPr>
                  <w:tcW w:w="4262"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分子量：98.00，纯磷酸为无色结晶，无臭，具有酸味。熔点42.4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℃；沸点260℃，与水混溶，可混溶于乙醇。相对密度（水=1）1.87。</w:t>
                  </w:r>
                </w:p>
              </w:tc>
              <w:tc>
                <w:tcPr>
                  <w:tcW w:w="1985"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LD</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50</w:t>
                  </w:r>
                  <w:r>
                    <w:rPr>
                      <w:rFonts w:hint="default" w:ascii="Times New Roman" w:hAnsi="Times New Roman" w:cs="Times New Roman"/>
                      <w:color w:val="000000" w:themeColor="text1"/>
                      <w:sz w:val="21"/>
                      <w:szCs w:val="21"/>
                      <w:lang w:val="en-US" w:eastAsia="zh-CN"/>
                      <w14:textFill>
                        <w14:solidFill>
                          <w14:schemeClr w14:val="tx1"/>
                        </w14:solidFill>
                      </w14:textFill>
                    </w:rPr>
                    <w:t>：1530mg/kg（大鼠经口）；2740mg/kg</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，（兔经皮）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96" w:type="dxa"/>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w:t>
                  </w:r>
                </w:p>
              </w:tc>
              <w:tc>
                <w:tcPr>
                  <w:tcW w:w="974"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氢氧化钠</w:t>
                  </w:r>
                </w:p>
              </w:tc>
              <w:tc>
                <w:tcPr>
                  <w:tcW w:w="4262"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相对密度：2.12；沸点：1390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℃；熔点：318.4℃；极易溶于水</w:t>
                  </w:r>
                </w:p>
              </w:tc>
              <w:tc>
                <w:tcPr>
                  <w:tcW w:w="1985"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小鼠（腹注）LD</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50</w:t>
                  </w:r>
                  <w:r>
                    <w:rPr>
                      <w:rFonts w:hint="default" w:ascii="Times New Roman" w:hAnsi="Times New Roman" w:cs="Times New Roman"/>
                      <w:color w:val="000000" w:themeColor="text1"/>
                      <w:sz w:val="21"/>
                      <w:szCs w:val="21"/>
                      <w:lang w:val="en-US" w:eastAsia="zh-CN"/>
                      <w14:textFill>
                        <w14:solidFill>
                          <w14:schemeClr w14:val="tx1"/>
                        </w14:solidFill>
                      </w14:textFill>
                    </w:rPr>
                    <w:t>：40mg/kg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96" w:type="dxa"/>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974"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铜</w:t>
                  </w:r>
                </w:p>
              </w:tc>
              <w:tc>
                <w:tcPr>
                  <w:tcW w:w="4262"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红棕色金属，原子量63.5，比重8.92，熔点1083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℃，沸点2336℃，富有延展性。</w:t>
                  </w:r>
                </w:p>
              </w:tc>
              <w:tc>
                <w:tcPr>
                  <w:tcW w:w="1985"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铜的毒性小于铜盐。食入金属铜可引起恶心、胃痛、腹泻。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96" w:type="dxa"/>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w:t>
                  </w:r>
                </w:p>
              </w:tc>
              <w:tc>
                <w:tcPr>
                  <w:tcW w:w="974"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锌</w:t>
                  </w:r>
                </w:p>
              </w:tc>
              <w:tc>
                <w:tcPr>
                  <w:tcW w:w="4262"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白色微带蓝色金属，原子量65.4，比重7.1，熔点419.5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℃，沸点07℃，500℃以上可形成直径小于1μ的烟尘。</w:t>
                  </w:r>
                </w:p>
              </w:tc>
              <w:tc>
                <w:tcPr>
                  <w:tcW w:w="1985"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锌的毒性小于锌盐。吸入40mg氧化锌尘即可引起中毒，高热、呕吐、腹痛、呼吸增快。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96" w:type="dxa"/>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p>
              </w:tc>
              <w:tc>
                <w:tcPr>
                  <w:tcW w:w="974"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硫酸锌</w:t>
                  </w:r>
                </w:p>
              </w:tc>
              <w:tc>
                <w:tcPr>
                  <w:tcW w:w="4262"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无色斜方晶体，分子量161，比重1.957，易溶于水。</w:t>
                  </w:r>
                </w:p>
              </w:tc>
              <w:tc>
                <w:tcPr>
                  <w:tcW w:w="1985"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口服高浓度硫酸锌溶液可能引起锌中毒。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96" w:type="dxa"/>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w:t>
                  </w:r>
                </w:p>
              </w:tc>
              <w:tc>
                <w:tcPr>
                  <w:tcW w:w="974"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焦磷酸钾</w:t>
                  </w:r>
                </w:p>
              </w:tc>
              <w:tc>
                <w:tcPr>
                  <w:tcW w:w="4262"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室温下为白色结晶性粉末或颗粒，在空气中有很强的吸湿性，极易溶于水，但不溶于乙醇，水溶液呈碱性。</w:t>
                  </w:r>
                </w:p>
              </w:tc>
              <w:tc>
                <w:tcPr>
                  <w:tcW w:w="1985"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96" w:type="dxa"/>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9</w:t>
                  </w:r>
                </w:p>
              </w:tc>
              <w:tc>
                <w:tcPr>
                  <w:tcW w:w="974"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jc w:val="center"/>
                    <w:rPr>
                      <w:rFonts w:hint="eastAsia"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rPr>
                    <w:t>焦磷酸铜</w:t>
                  </w:r>
                </w:p>
              </w:tc>
              <w:tc>
                <w:tcPr>
                  <w:tcW w:w="4262"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分子量301.03，淡绿色粉末，溶于酸、氨水，不溶于水，可与焦磷酸钠形成复盐，对金属离子具有较强络合能力，用作电镀添加剂。</w:t>
                  </w:r>
                </w:p>
              </w:tc>
              <w:tc>
                <w:tcPr>
                  <w:tcW w:w="1985"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毒性小于硫酸铜，（人口服硫酸铜0.065-0.13g或动物口服1%硫酸铜溶液90mL即急性中毒，出现胃肠炎、溶血、肾损害等）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96" w:type="dxa"/>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c>
                <w:tcPr>
                  <w:tcW w:w="974"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硬脂酸钠</w:t>
                  </w:r>
                </w:p>
              </w:tc>
              <w:tc>
                <w:tcPr>
                  <w:tcW w:w="4262"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白色细微粉末或块状固体，有滑腻感，有脂肪味，在空气中有吸水性。微溶于冷水，溶于热水或醇溶液，水溶液因水解呈碱性。</w:t>
                  </w:r>
                </w:p>
              </w:tc>
              <w:tc>
                <w:tcPr>
                  <w:tcW w:w="1985"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11</w:t>
                  </w:r>
                </w:p>
              </w:tc>
              <w:tc>
                <w:tcPr>
                  <w:tcW w:w="974"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乳化液</w:t>
                  </w:r>
                </w:p>
              </w:tc>
              <w:tc>
                <w:tcPr>
                  <w:tcW w:w="4262"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为黄棕色水溶性透明液体；pH8.0~9.5，呈弱碱性，挥发性较低，无腐蚀性。一般用在金属切削、磨加工过程中，用来冷却和润滑刀具和加工件的工业用液体，由多种超强功能助剂经科学复合配伍而成，同时具备良好的冷却性能、润滑性能、防锈性能、除油清洗功能、防腐功能、易稀释特点。</w:t>
                  </w:r>
                </w:p>
              </w:tc>
              <w:tc>
                <w:tcPr>
                  <w:tcW w:w="1985"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w:t>
                  </w:r>
                </w:p>
              </w:tc>
              <w:tc>
                <w:tcPr>
                  <w:tcW w:w="974"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淬火液</w:t>
                  </w:r>
                </w:p>
              </w:tc>
              <w:tc>
                <w:tcPr>
                  <w:tcW w:w="4262"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半透明的琥珀色液体，粘度555±25cSt，pH9.0±0.5，溶水性：任何比例，均极易溶解于冷水或热水中，污染控制：非常低（BOD</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5</w:t>
                  </w:r>
                  <w:r>
                    <w:rPr>
                      <w:rFonts w:hint="default" w:ascii="Times New Roman" w:hAnsi="Times New Roman" w:cs="Times New Roman"/>
                      <w:color w:val="000000" w:themeColor="text1"/>
                      <w:sz w:val="21"/>
                      <w:szCs w:val="21"/>
                      <w:lang w:val="en-US" w:eastAsia="zh-CN"/>
                      <w14:textFill>
                        <w14:solidFill>
                          <w14:schemeClr w14:val="tx1"/>
                        </w14:solidFill>
                      </w14:textFill>
                    </w:rPr>
                    <w:t>=84mg/L）。</w:t>
                  </w:r>
                </w:p>
              </w:tc>
              <w:tc>
                <w:tcPr>
                  <w:tcW w:w="1985"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鱼的毒性试验：浓度为20.000ppm，约96小时未死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vAlign w:val="center"/>
                </w:tcPr>
                <w:p>
                  <w:pPr>
                    <w:pStyle w:val="20"/>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13</w:t>
                  </w:r>
                </w:p>
              </w:tc>
              <w:tc>
                <w:tcPr>
                  <w:tcW w:w="974"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次氯酸钠</w:t>
                  </w:r>
                </w:p>
              </w:tc>
              <w:tc>
                <w:tcPr>
                  <w:tcW w:w="4262"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微黄色溶液，有似氯气的气味，熔点（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）-6，沸点（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）102.2。</w:t>
                  </w:r>
                </w:p>
              </w:tc>
              <w:tc>
                <w:tcPr>
                  <w:tcW w:w="1985" w:type="dxa"/>
                  <w:vAlign w:val="center"/>
                </w:tcPr>
                <w:p>
                  <w:pPr>
                    <w:pStyle w:val="27"/>
                    <w:keepNext w:val="0"/>
                    <w:keepLines w:val="0"/>
                    <w:suppressLineNumbers w:val="0"/>
                    <w:autoSpaceDE w:val="0"/>
                    <w:autoSpaceDN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LD</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50</w:t>
                  </w:r>
                  <w:r>
                    <w:rPr>
                      <w:rFonts w:hint="default" w:ascii="Times New Roman" w:hAnsi="Times New Roman" w:cs="Times New Roman"/>
                      <w:color w:val="000000" w:themeColor="text1"/>
                      <w:sz w:val="21"/>
                      <w:szCs w:val="21"/>
                      <w:lang w:val="en-US" w:eastAsia="zh-CN"/>
                      <w14:textFill>
                        <w14:solidFill>
                          <w14:schemeClr w14:val="tx1"/>
                        </w14:solidFill>
                      </w14:textFill>
                    </w:rPr>
                    <w:t>：5800mg/kg（小鼠经口）</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5、主要产品</w:t>
            </w:r>
          </w:p>
          <w:p>
            <w:pPr>
              <w:keepNext w:val="0"/>
              <w:keepLines w:val="0"/>
              <w:pageBreakBefore w:val="0"/>
              <w:widowControl w:val="0"/>
              <w:kinsoku/>
              <w:wordWrap/>
              <w:topLinePunct w:val="0"/>
              <w:bidi w:val="0"/>
              <w:snapToGrid w:val="0"/>
              <w:spacing w:line="360" w:lineRule="auto"/>
              <w:ind w:left="0" w:leftChars="0" w:firstLine="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表2-</w:t>
            </w:r>
            <w:r>
              <w:rPr>
                <w:rFonts w:hint="eastAsia" w:ascii="Times New Roman" w:hAnsi="Times New Roman" w:cs="Times New Roman"/>
                <w:b/>
                <w:bCs/>
                <w:color w:val="auto"/>
                <w:lang w:val="en-US" w:eastAsia="zh-CN"/>
              </w:rPr>
              <w:t>6</w:t>
            </w:r>
            <w:r>
              <w:rPr>
                <w:rFonts w:hint="default" w:ascii="Times New Roman" w:hAnsi="Times New Roman" w:cs="Times New Roman"/>
                <w:b/>
                <w:bCs/>
                <w:color w:val="auto"/>
                <w:lang w:val="en-US" w:eastAsia="zh-CN"/>
              </w:rPr>
              <w:t xml:space="preserve">  建设项目</w:t>
            </w:r>
            <w:r>
              <w:rPr>
                <w:rFonts w:hint="eastAsia" w:ascii="Times New Roman" w:hAnsi="Times New Roman" w:cs="Times New Roman"/>
                <w:b/>
                <w:bCs/>
                <w:color w:val="auto"/>
                <w:lang w:val="en-US" w:eastAsia="zh-CN"/>
              </w:rPr>
              <w:t>改</w:t>
            </w:r>
            <w:r>
              <w:rPr>
                <w:rFonts w:hint="default" w:ascii="Times New Roman" w:hAnsi="Times New Roman" w:cs="Times New Roman"/>
                <w:b/>
                <w:bCs/>
                <w:color w:val="auto"/>
                <w:lang w:val="en-US" w:eastAsia="zh-CN"/>
              </w:rPr>
              <w:t>建主体工程及产品方案</w:t>
            </w:r>
          </w:p>
          <w:tbl>
            <w:tblPr>
              <w:tblStyle w:val="16"/>
              <w:tblW w:w="47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58"/>
              <w:gridCol w:w="1339"/>
              <w:gridCol w:w="1372"/>
              <w:gridCol w:w="1425"/>
              <w:gridCol w:w="1253"/>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74" w:hRule="atLeast"/>
                <w:jc w:val="center"/>
              </w:trPr>
              <w:tc>
                <w:tcPr>
                  <w:tcW w:w="807" w:type="pct"/>
                  <w:noWrap w:val="0"/>
                  <w:vAlign w:val="center"/>
                </w:tcPr>
                <w:p>
                  <w:pPr>
                    <w:pStyle w:val="20"/>
                    <w:bidi w:val="0"/>
                    <w:rPr>
                      <w:rFonts w:hint="default" w:ascii="Times New Roman" w:hAnsi="Times New Roman" w:cs="Times New Roman"/>
                      <w:b/>
                      <w:bCs/>
                      <w:color w:val="auto"/>
                    </w:rPr>
                  </w:pPr>
                  <w:r>
                    <w:rPr>
                      <w:rFonts w:hint="eastAsia" w:ascii="Times New Roman" w:hAnsi="Times New Roman" w:cs="Times New Roman"/>
                      <w:b/>
                      <w:bCs/>
                      <w:color w:val="auto"/>
                      <w:lang w:val="en-US" w:eastAsia="zh-CN"/>
                    </w:rPr>
                    <w:t>工程</w:t>
                  </w:r>
                  <w:r>
                    <w:rPr>
                      <w:rFonts w:hint="default" w:ascii="Times New Roman" w:hAnsi="Times New Roman" w:cs="Times New Roman"/>
                      <w:b/>
                      <w:bCs/>
                      <w:color w:val="auto"/>
                    </w:rPr>
                    <w:t>名称</w:t>
                  </w:r>
                </w:p>
              </w:tc>
              <w:tc>
                <w:tcPr>
                  <w:tcW w:w="859" w:type="pct"/>
                  <w:noWrap w:val="0"/>
                  <w:vAlign w:val="center"/>
                </w:tcPr>
                <w:p>
                  <w:pPr>
                    <w:pStyle w:val="20"/>
                    <w:bidi w:val="0"/>
                    <w:rPr>
                      <w:rFonts w:hint="default"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产品名称</w:t>
                  </w:r>
                </w:p>
              </w:tc>
              <w:tc>
                <w:tcPr>
                  <w:tcW w:w="881" w:type="pct"/>
                  <w:noWrap w:val="0"/>
                  <w:vAlign w:val="center"/>
                </w:tcPr>
                <w:p>
                  <w:pPr>
                    <w:pStyle w:val="20"/>
                    <w:bidi w:val="0"/>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年运行时数</w:t>
                  </w:r>
                </w:p>
                <w:p>
                  <w:pPr>
                    <w:pStyle w:val="20"/>
                    <w:bidi w:val="0"/>
                    <w:ind w:firstLine="0" w:firstLineChars="0"/>
                    <w:rPr>
                      <w:rFonts w:hint="default" w:ascii="Times New Roman" w:hAnsi="Times New Roman" w:cs="Times New Roman"/>
                      <w:b/>
                      <w:bCs/>
                      <w:color w:val="auto"/>
                      <w:lang w:val="en-US" w:eastAsia="zh-CN"/>
                    </w:rPr>
                  </w:pPr>
                  <w:r>
                    <w:rPr>
                      <w:rFonts w:hint="default" w:ascii="Times New Roman" w:hAnsi="Times New Roman" w:cs="Times New Roman"/>
                      <w:b/>
                      <w:bCs/>
                      <w:color w:val="auto"/>
                    </w:rPr>
                    <w:t>（h）</w:t>
                  </w:r>
                </w:p>
              </w:tc>
              <w:tc>
                <w:tcPr>
                  <w:tcW w:w="915" w:type="pct"/>
                  <w:noWrap w:val="0"/>
                  <w:vAlign w:val="center"/>
                </w:tcPr>
                <w:p>
                  <w:pPr>
                    <w:pStyle w:val="20"/>
                    <w:bidi w:val="0"/>
                    <w:rPr>
                      <w:rFonts w:hint="default" w:ascii="Times New Roman" w:hAnsi="Times New Roman" w:cs="Times New Roman"/>
                      <w:b/>
                      <w:bCs/>
                      <w:color w:val="auto"/>
                    </w:rPr>
                  </w:pPr>
                  <w:r>
                    <w:rPr>
                      <w:rFonts w:hint="default" w:ascii="Times New Roman" w:hAnsi="Times New Roman" w:cs="Times New Roman"/>
                      <w:b/>
                      <w:bCs/>
                      <w:color w:val="auto"/>
                    </w:rPr>
                    <w:t>年设计能力</w:t>
                  </w:r>
                </w:p>
                <w:p>
                  <w:pPr>
                    <w:pStyle w:val="20"/>
                    <w:bidi w:val="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（t</w:t>
                  </w:r>
                  <w:r>
                    <w:rPr>
                      <w:rFonts w:hint="default" w:ascii="Times New Roman" w:hAnsi="Times New Roman" w:cs="Times New Roman"/>
                      <w:b/>
                      <w:bCs/>
                      <w:color w:val="auto"/>
                      <w:lang w:val="en-US" w:eastAsia="zh-CN"/>
                    </w:rPr>
                    <w:t>/a</w:t>
                  </w:r>
                  <w:r>
                    <w:rPr>
                      <w:rFonts w:hint="eastAsia" w:ascii="Times New Roman" w:hAnsi="Times New Roman" w:cs="Times New Roman"/>
                      <w:b/>
                      <w:bCs/>
                      <w:color w:val="auto"/>
                      <w:lang w:val="en-US" w:eastAsia="zh-CN"/>
                    </w:rPr>
                    <w:t>）</w:t>
                  </w:r>
                </w:p>
              </w:tc>
              <w:tc>
                <w:tcPr>
                  <w:tcW w:w="804" w:type="pct"/>
                  <w:noWrap w:val="0"/>
                  <w:tcMar>
                    <w:left w:w="28" w:type="dxa"/>
                    <w:right w:w="28" w:type="dxa"/>
                  </w:tcMar>
                  <w:vAlign w:val="center"/>
                </w:tcPr>
                <w:p>
                  <w:pPr>
                    <w:pStyle w:val="2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实际建设</w:t>
                  </w:r>
                </w:p>
                <w:p>
                  <w:pPr>
                    <w:pStyle w:val="20"/>
                    <w:bidi w:val="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（t</w:t>
                  </w:r>
                  <w:r>
                    <w:rPr>
                      <w:rFonts w:hint="default" w:ascii="Times New Roman" w:hAnsi="Times New Roman" w:cs="Times New Roman"/>
                      <w:b/>
                      <w:bCs/>
                      <w:color w:val="auto"/>
                      <w:lang w:val="en-US" w:eastAsia="zh-CN"/>
                    </w:rPr>
                    <w:t>/a</w:t>
                  </w:r>
                  <w:r>
                    <w:rPr>
                      <w:rFonts w:hint="eastAsia" w:ascii="Times New Roman" w:hAnsi="Times New Roman" w:cs="Times New Roman"/>
                      <w:b/>
                      <w:bCs/>
                      <w:color w:val="auto"/>
                      <w:lang w:val="en-US" w:eastAsia="zh-CN"/>
                    </w:rPr>
                    <w:t>）</w:t>
                  </w:r>
                </w:p>
              </w:tc>
              <w:tc>
                <w:tcPr>
                  <w:tcW w:w="731" w:type="pct"/>
                  <w:noWrap w:val="0"/>
                  <w:tcMar>
                    <w:left w:w="28" w:type="dxa"/>
                    <w:right w:w="28" w:type="dxa"/>
                  </w:tcMar>
                  <w:vAlign w:val="center"/>
                </w:tcPr>
                <w:p>
                  <w:pPr>
                    <w:pStyle w:val="2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07" w:type="pct"/>
                  <w:noWrap w:val="0"/>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一期工程</w:t>
                  </w:r>
                </w:p>
              </w:tc>
              <w:tc>
                <w:tcPr>
                  <w:tcW w:w="859" w:type="pct"/>
                  <w:noWrap w:val="0"/>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钢帘线</w:t>
                  </w:r>
                </w:p>
              </w:tc>
              <w:tc>
                <w:tcPr>
                  <w:tcW w:w="881" w:type="pct"/>
                  <w:noWrap w:val="0"/>
                  <w:vAlign w:val="center"/>
                </w:tcPr>
                <w:p>
                  <w:pPr>
                    <w:pStyle w:val="20"/>
                    <w:bidi w:val="0"/>
                    <w:ind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7920</w:t>
                  </w:r>
                </w:p>
              </w:tc>
              <w:tc>
                <w:tcPr>
                  <w:tcW w:w="915" w:type="pct"/>
                  <w:noWrap w:val="0"/>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5000</w:t>
                  </w:r>
                </w:p>
              </w:tc>
              <w:tc>
                <w:tcPr>
                  <w:tcW w:w="1253"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5000</w:t>
                  </w:r>
                </w:p>
              </w:tc>
              <w:tc>
                <w:tcPr>
                  <w:tcW w:w="731" w:type="pct"/>
                  <w:noWrap w:val="0"/>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07" w:type="pct"/>
                  <w:noWrap w:val="0"/>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二期工程</w:t>
                  </w:r>
                </w:p>
              </w:tc>
              <w:tc>
                <w:tcPr>
                  <w:tcW w:w="1339" w:type="dxa"/>
                  <w:noWrap w:val="0"/>
                  <w:vAlign w:val="center"/>
                </w:tcPr>
                <w:p>
                  <w:pPr>
                    <w:pStyle w:val="20"/>
                    <w:bidi w:val="0"/>
                    <w:ind w:firstLine="0" w:firstLine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钢帘线</w:t>
                  </w:r>
                </w:p>
              </w:tc>
              <w:tc>
                <w:tcPr>
                  <w:tcW w:w="1372" w:type="dxa"/>
                  <w:noWrap w:val="0"/>
                  <w:vAlign w:val="center"/>
                </w:tcPr>
                <w:p>
                  <w:pPr>
                    <w:pStyle w:val="20"/>
                    <w:bidi w:val="0"/>
                    <w:ind w:firstLine="0" w:firstLine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7920</w:t>
                  </w:r>
                </w:p>
              </w:tc>
              <w:tc>
                <w:tcPr>
                  <w:tcW w:w="915" w:type="pct"/>
                  <w:noWrap w:val="0"/>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75000</w:t>
                  </w:r>
                </w:p>
              </w:tc>
              <w:tc>
                <w:tcPr>
                  <w:tcW w:w="1253" w:type="dxa"/>
                  <w:noWrap w:val="0"/>
                  <w:vAlign w:val="center"/>
                </w:tcPr>
                <w:p>
                  <w:pPr>
                    <w:pStyle w:val="20"/>
                    <w:bidi w:val="0"/>
                    <w:ind w:firstLine="0" w:firstLine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75000</w:t>
                  </w:r>
                </w:p>
              </w:tc>
              <w:tc>
                <w:tcPr>
                  <w:tcW w:w="1139"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07" w:type="pct"/>
                  <w:noWrap w:val="0"/>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三期工程</w:t>
                  </w:r>
                </w:p>
              </w:tc>
              <w:tc>
                <w:tcPr>
                  <w:tcW w:w="1339" w:type="dxa"/>
                  <w:noWrap w:val="0"/>
                  <w:vAlign w:val="center"/>
                </w:tcPr>
                <w:p>
                  <w:pPr>
                    <w:pStyle w:val="20"/>
                    <w:bidi w:val="0"/>
                    <w:ind w:firstLine="0" w:firstLine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钢帘线</w:t>
                  </w:r>
                </w:p>
              </w:tc>
              <w:tc>
                <w:tcPr>
                  <w:tcW w:w="1372" w:type="dxa"/>
                  <w:noWrap w:val="0"/>
                  <w:vAlign w:val="center"/>
                </w:tcPr>
                <w:p>
                  <w:pPr>
                    <w:pStyle w:val="20"/>
                    <w:bidi w:val="0"/>
                    <w:ind w:firstLine="0" w:firstLine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7920</w:t>
                  </w:r>
                </w:p>
              </w:tc>
              <w:tc>
                <w:tcPr>
                  <w:tcW w:w="915" w:type="pct"/>
                  <w:noWrap w:val="0"/>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100000</w:t>
                  </w:r>
                </w:p>
              </w:tc>
              <w:tc>
                <w:tcPr>
                  <w:tcW w:w="1253" w:type="dxa"/>
                  <w:noWrap w:val="0"/>
                  <w:vAlign w:val="center"/>
                </w:tcPr>
                <w:p>
                  <w:pPr>
                    <w:pStyle w:val="20"/>
                    <w:bidi w:val="0"/>
                    <w:ind w:firstLine="0" w:firstLine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100000</w:t>
                  </w:r>
                </w:p>
              </w:tc>
              <w:tc>
                <w:tcPr>
                  <w:tcW w:w="1139"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6、变动情况</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outlineLvl w:val="9"/>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原环评硫酸在线回收设备年运行300天，每天运行24小时，年运行7200小时，实际建设硫酸在线回收设备年运行200天，每天运行8小时，年运行1600小时；</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outlineLvl w:val="9"/>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按照</w:t>
            </w:r>
            <w:r>
              <w:rPr>
                <w:rFonts w:hint="default" w:ascii="Times New Roman" w:hAnsi="Times New Roman" w:cs="Times New Roman"/>
                <w:color w:val="auto"/>
                <w:lang w:val="en-US" w:eastAsia="zh-CN"/>
              </w:rPr>
              <w:t>《污染影响类建设项目重大变动清单（试行）》（生态环境部环办环评函[2020]688号）进行综合分析，实际建设的性质、规模、地点、生产工艺和环境保护措施均未发生重大变动</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实际建设变动情况见表2-</w:t>
            </w:r>
            <w:r>
              <w:rPr>
                <w:rFonts w:hint="eastAsia" w:ascii="Times New Roman" w:hAnsi="Times New Roman" w:cs="Times New Roman"/>
                <w:color w:val="auto"/>
                <w:lang w:val="en-US" w:eastAsia="zh-CN"/>
              </w:rPr>
              <w:t>7</w:t>
            </w:r>
            <w:r>
              <w:rPr>
                <w:rFonts w:hint="default" w:ascii="Times New Roman" w:hAnsi="Times New Roman" w:cs="Times New Roman"/>
                <w:color w:val="auto"/>
                <w:lang w:val="en-US" w:eastAsia="zh-CN"/>
              </w:rPr>
              <w:t>。</w:t>
            </w:r>
          </w:p>
          <w:p>
            <w:pPr>
              <w:pStyle w:val="19"/>
              <w:jc w:val="both"/>
              <w:rPr>
                <w:rFonts w:hint="default" w:ascii="Times New Roman" w:hAnsi="Times New Roman" w:eastAsia="宋体" w:cs="Times New Roman"/>
                <w:b/>
                <w:bCs/>
                <w:color w:val="auto"/>
                <w:sz w:val="28"/>
                <w:szCs w:val="28"/>
              </w:rPr>
            </w:pPr>
          </w:p>
          <w:p>
            <w:pPr>
              <w:pStyle w:val="19"/>
              <w:jc w:val="both"/>
              <w:rPr>
                <w:rFonts w:hint="default" w:ascii="Times New Roman" w:hAnsi="Times New Roman" w:eastAsia="宋体" w:cs="Times New Roman"/>
                <w:b/>
                <w:bCs/>
                <w:color w:val="auto"/>
                <w:sz w:val="28"/>
                <w:szCs w:val="28"/>
              </w:rPr>
            </w:pPr>
          </w:p>
          <w:p>
            <w:pPr>
              <w:pStyle w:val="19"/>
              <w:jc w:val="both"/>
              <w:rPr>
                <w:rFonts w:hint="default" w:ascii="Times New Roman" w:hAnsi="Times New Roman" w:eastAsia="宋体" w:cs="Times New Roman"/>
                <w:b/>
                <w:bCs/>
                <w:color w:val="auto"/>
                <w:sz w:val="28"/>
                <w:szCs w:val="28"/>
              </w:rPr>
            </w:pPr>
          </w:p>
          <w:p>
            <w:pPr>
              <w:pStyle w:val="19"/>
              <w:jc w:val="both"/>
              <w:rPr>
                <w:rFonts w:hint="default" w:ascii="Times New Roman" w:hAnsi="Times New Roman" w:eastAsia="宋体" w:cs="Times New Roman"/>
                <w:b/>
                <w:bCs/>
                <w:color w:val="auto"/>
                <w:sz w:val="28"/>
                <w:szCs w:val="28"/>
              </w:rPr>
            </w:pPr>
          </w:p>
          <w:p>
            <w:pPr>
              <w:pStyle w:val="19"/>
              <w:jc w:val="both"/>
              <w:rPr>
                <w:rFonts w:hint="default" w:ascii="Times New Roman" w:hAnsi="Times New Roman" w:eastAsia="宋体" w:cs="Times New Roman"/>
                <w:b/>
                <w:bCs/>
                <w:color w:val="auto"/>
                <w:sz w:val="28"/>
                <w:szCs w:val="28"/>
              </w:rPr>
            </w:pPr>
          </w:p>
          <w:p>
            <w:pPr>
              <w:pStyle w:val="19"/>
              <w:jc w:val="both"/>
              <w:rPr>
                <w:rFonts w:hint="default" w:ascii="Times New Roman" w:hAnsi="Times New Roman" w:eastAsia="宋体" w:cs="Times New Roman"/>
                <w:b/>
                <w:bCs/>
                <w:color w:val="auto"/>
                <w:sz w:val="28"/>
                <w:szCs w:val="28"/>
              </w:rPr>
            </w:pPr>
          </w:p>
          <w:p>
            <w:pPr>
              <w:pStyle w:val="19"/>
              <w:jc w:val="both"/>
              <w:rPr>
                <w:rFonts w:hint="default" w:ascii="Times New Roman" w:hAnsi="Times New Roman" w:eastAsia="宋体" w:cs="Times New Roman"/>
                <w:b/>
                <w:bCs/>
                <w:color w:val="auto"/>
                <w:sz w:val="28"/>
                <w:szCs w:val="28"/>
              </w:rPr>
            </w:pPr>
          </w:p>
          <w:p>
            <w:pPr>
              <w:pStyle w:val="19"/>
              <w:jc w:val="both"/>
              <w:rPr>
                <w:rFonts w:hint="default" w:ascii="Times New Roman" w:hAnsi="Times New Roman" w:eastAsia="宋体" w:cs="Times New Roman"/>
                <w:b/>
                <w:bCs/>
                <w:color w:val="auto"/>
                <w:sz w:val="28"/>
                <w:szCs w:val="28"/>
              </w:rPr>
            </w:pPr>
          </w:p>
          <w:p>
            <w:pPr>
              <w:pStyle w:val="19"/>
              <w:jc w:val="both"/>
              <w:rPr>
                <w:rFonts w:hint="default" w:ascii="Times New Roman" w:hAnsi="Times New Roman" w:eastAsia="宋体" w:cs="Times New Roman"/>
                <w:b/>
                <w:bCs/>
                <w:color w:val="auto"/>
                <w:sz w:val="28"/>
                <w:szCs w:val="28"/>
              </w:rPr>
            </w:pPr>
          </w:p>
          <w:p>
            <w:pPr>
              <w:pStyle w:val="19"/>
              <w:jc w:val="both"/>
              <w:rPr>
                <w:rFonts w:hint="default" w:ascii="Times New Roman" w:hAnsi="Times New Roman" w:eastAsia="宋体" w:cs="Times New Roman"/>
                <w:b/>
                <w:bCs/>
                <w:color w:val="auto"/>
                <w:sz w:val="28"/>
                <w:szCs w:val="28"/>
              </w:rPr>
            </w:pPr>
          </w:p>
          <w:p>
            <w:pPr>
              <w:pStyle w:val="19"/>
              <w:jc w:val="both"/>
              <w:rPr>
                <w:rFonts w:hint="default" w:ascii="Times New Roman" w:hAnsi="Times New Roman" w:eastAsia="宋体" w:cs="Times New Roman"/>
                <w:b/>
                <w:bCs/>
                <w:color w:val="auto"/>
                <w:sz w:val="28"/>
                <w:szCs w:val="28"/>
              </w:rPr>
            </w:pPr>
          </w:p>
        </w:tc>
      </w:tr>
    </w:tbl>
    <w:p>
      <w:pPr>
        <w:rPr>
          <w:rFonts w:hint="default" w:ascii="Times New Roman" w:hAnsi="Times New Roman" w:eastAsia="宋体" w:cs="Times New Roman"/>
          <w:b/>
          <w:bCs/>
          <w:color w:val="auto"/>
          <w:sz w:val="28"/>
          <w:szCs w:val="28"/>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4" w:hRule="atLeast"/>
        </w:trPr>
        <w:tc>
          <w:tcPr>
            <w:tcW w:w="14333" w:type="dxa"/>
            <w:vAlign w:val="top"/>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表2-</w:t>
            </w:r>
            <w:r>
              <w:rPr>
                <w:rFonts w:hint="eastAsia" w:ascii="Times New Roman" w:hAnsi="Times New Roman" w:cs="Times New Roman"/>
                <w:b/>
                <w:bCs/>
                <w:color w:val="auto"/>
                <w:vertAlign w:val="baseline"/>
                <w:lang w:val="en-US" w:eastAsia="zh-CN"/>
              </w:rPr>
              <w:t>7</w:t>
            </w:r>
            <w:r>
              <w:rPr>
                <w:rFonts w:hint="default" w:ascii="Times New Roman" w:hAnsi="Times New Roman" w:cs="Times New Roman"/>
                <w:b/>
                <w:bCs/>
                <w:color w:val="auto"/>
                <w:vertAlign w:val="baseline"/>
                <w:lang w:val="en-US" w:eastAsia="zh-CN"/>
              </w:rPr>
              <w:t xml:space="preserve">  实际建设变动情况一览表</w:t>
            </w:r>
          </w:p>
          <w:tbl>
            <w:tblPr>
              <w:tblStyle w:val="17"/>
              <w:tblW w:w="49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5241"/>
              <w:gridCol w:w="2260"/>
              <w:gridCol w:w="1140"/>
              <w:gridCol w:w="840"/>
              <w:gridCol w:w="1095"/>
              <w:gridCol w:w="1230"/>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restart"/>
                  <w:vAlign w:val="center"/>
                </w:tcPr>
                <w:p>
                  <w:pPr>
                    <w:pStyle w:val="2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项目</w:t>
                  </w:r>
                </w:p>
              </w:tc>
              <w:tc>
                <w:tcPr>
                  <w:tcW w:w="1883" w:type="pct"/>
                  <w:vMerge w:val="restart"/>
                  <w:vAlign w:val="center"/>
                </w:tcPr>
                <w:p>
                  <w:pPr>
                    <w:pStyle w:val="2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《污染影响类建设项目重大变动清单（试行）》（生态环境部环办环评函[2020]688号）内容</w:t>
                  </w:r>
                </w:p>
              </w:tc>
              <w:tc>
                <w:tcPr>
                  <w:tcW w:w="812" w:type="pct"/>
                  <w:vMerge w:val="restart"/>
                  <w:vAlign w:val="center"/>
                </w:tcPr>
                <w:p>
                  <w:pPr>
                    <w:pStyle w:val="2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变动内容</w:t>
                  </w:r>
                </w:p>
              </w:tc>
              <w:tc>
                <w:tcPr>
                  <w:tcW w:w="1105" w:type="pct"/>
                  <w:gridSpan w:val="3"/>
                  <w:vAlign w:val="center"/>
                </w:tcPr>
                <w:p>
                  <w:pPr>
                    <w:pStyle w:val="2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变动属性</w:t>
                  </w:r>
                </w:p>
              </w:tc>
              <w:tc>
                <w:tcPr>
                  <w:tcW w:w="442" w:type="pct"/>
                  <w:vMerge w:val="restart"/>
                  <w:vAlign w:val="center"/>
                </w:tcPr>
                <w:p>
                  <w:pPr>
                    <w:pStyle w:val="2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对环境的不利影响</w:t>
                  </w:r>
                </w:p>
              </w:tc>
              <w:tc>
                <w:tcPr>
                  <w:tcW w:w="603" w:type="pct"/>
                  <w:vMerge w:val="restart"/>
                  <w:vAlign w:val="center"/>
                </w:tcPr>
                <w:p>
                  <w:pPr>
                    <w:pStyle w:val="2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是否属于重新报批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153" w:type="pct"/>
                  <w:vMerge w:val="continue"/>
                  <w:vAlign w:val="center"/>
                </w:tcPr>
                <w:p>
                  <w:pPr>
                    <w:pStyle w:val="20"/>
                    <w:bidi w:val="0"/>
                    <w:rPr>
                      <w:rFonts w:hint="default" w:ascii="Times New Roman" w:hAnsi="Times New Roman" w:cs="Times New Roman"/>
                      <w:color w:val="auto"/>
                      <w:lang w:val="en-US" w:eastAsia="zh-CN"/>
                    </w:rPr>
                  </w:pPr>
                </w:p>
              </w:tc>
              <w:tc>
                <w:tcPr>
                  <w:tcW w:w="1883" w:type="pct"/>
                  <w:vMerge w:val="continue"/>
                  <w:vAlign w:val="center"/>
                </w:tcPr>
                <w:p>
                  <w:pPr>
                    <w:pStyle w:val="20"/>
                    <w:bidi w:val="0"/>
                    <w:rPr>
                      <w:rFonts w:hint="default" w:ascii="Times New Roman" w:hAnsi="Times New Roman" w:cs="Times New Roman"/>
                      <w:color w:val="auto"/>
                      <w:lang w:val="en-US" w:eastAsia="zh-CN"/>
                    </w:rPr>
                  </w:pPr>
                </w:p>
              </w:tc>
              <w:tc>
                <w:tcPr>
                  <w:tcW w:w="812" w:type="pct"/>
                  <w:vMerge w:val="continue"/>
                  <w:vAlign w:val="center"/>
                </w:tcPr>
                <w:p>
                  <w:pPr>
                    <w:pStyle w:val="20"/>
                    <w:bidi w:val="0"/>
                    <w:rPr>
                      <w:rFonts w:hint="default" w:ascii="Times New Roman" w:hAnsi="Times New Roman" w:cs="Times New Roman"/>
                      <w:color w:val="auto"/>
                      <w:lang w:val="en-US" w:eastAsia="zh-CN"/>
                    </w:rPr>
                  </w:pPr>
                </w:p>
              </w:tc>
              <w:tc>
                <w:tcPr>
                  <w:tcW w:w="409" w:type="pct"/>
                  <w:vAlign w:val="center"/>
                </w:tcPr>
                <w:p>
                  <w:pPr>
                    <w:pStyle w:val="2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重大</w:t>
                  </w:r>
                </w:p>
              </w:tc>
              <w:tc>
                <w:tcPr>
                  <w:tcW w:w="301" w:type="pct"/>
                  <w:vAlign w:val="center"/>
                </w:tcPr>
                <w:p>
                  <w:pPr>
                    <w:pStyle w:val="2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一般</w:t>
                  </w:r>
                </w:p>
              </w:tc>
              <w:tc>
                <w:tcPr>
                  <w:tcW w:w="393" w:type="pct"/>
                  <w:vAlign w:val="center"/>
                </w:tcPr>
                <w:p>
                  <w:pPr>
                    <w:pStyle w:val="2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无变动</w:t>
                  </w:r>
                </w:p>
              </w:tc>
              <w:tc>
                <w:tcPr>
                  <w:tcW w:w="442" w:type="pct"/>
                  <w:vMerge w:val="continue"/>
                  <w:vAlign w:val="center"/>
                </w:tcPr>
                <w:p>
                  <w:pPr>
                    <w:pStyle w:val="20"/>
                    <w:bidi w:val="0"/>
                    <w:rPr>
                      <w:rFonts w:hint="default" w:ascii="Times New Roman" w:hAnsi="Times New Roman" w:cs="Times New Roman"/>
                      <w:color w:val="auto"/>
                      <w:lang w:val="en-US" w:eastAsia="zh-CN"/>
                    </w:rPr>
                  </w:pPr>
                </w:p>
              </w:tc>
              <w:tc>
                <w:tcPr>
                  <w:tcW w:w="603" w:type="pct"/>
                  <w:vMerge w:val="continue"/>
                  <w:vAlign w:val="center"/>
                </w:tcPr>
                <w:p>
                  <w:pPr>
                    <w:pStyle w:val="20"/>
                    <w:bidi w:val="0"/>
                    <w:rPr>
                      <w:rFonts w:hint="default" w:ascii="Times New Roman" w:hAnsi="Times New Roman" w:cs="Times New Roman"/>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性质</w:t>
                  </w:r>
                </w:p>
              </w:tc>
              <w:tc>
                <w:tcPr>
                  <w:tcW w:w="188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1.建设项目开发、使用功能发生变化的。</w:t>
                  </w:r>
                </w:p>
              </w:tc>
              <w:tc>
                <w:tcPr>
                  <w:tcW w:w="812" w:type="pct"/>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409" w:type="pct"/>
                  <w:vAlign w:val="center"/>
                </w:tcPr>
                <w:p>
                  <w:pPr>
                    <w:pStyle w:val="20"/>
                    <w:bidi w:val="0"/>
                    <w:rPr>
                      <w:rFonts w:hint="default" w:ascii="Times New Roman" w:hAnsi="Times New Roman" w:cs="Times New Roman"/>
                      <w:color w:val="auto"/>
                      <w:lang w:val="en-US" w:eastAsia="zh-CN"/>
                    </w:rPr>
                  </w:pPr>
                </w:p>
              </w:tc>
              <w:tc>
                <w:tcPr>
                  <w:tcW w:w="301" w:type="pct"/>
                  <w:vAlign w:val="center"/>
                </w:tcPr>
                <w:p>
                  <w:pPr>
                    <w:pStyle w:val="20"/>
                    <w:bidi w:val="0"/>
                    <w:rPr>
                      <w:rFonts w:hint="default" w:ascii="Times New Roman" w:hAnsi="Times New Roman" w:cs="Times New Roman"/>
                      <w:color w:val="auto"/>
                      <w:lang w:val="en-US" w:eastAsia="zh-CN"/>
                    </w:rPr>
                  </w:pPr>
                </w:p>
              </w:tc>
              <w:tc>
                <w:tcPr>
                  <w:tcW w:w="393"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w:t>
                  </w:r>
                </w:p>
              </w:tc>
              <w:tc>
                <w:tcPr>
                  <w:tcW w:w="44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60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restar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规模</w:t>
                  </w:r>
                </w:p>
              </w:tc>
              <w:tc>
                <w:tcPr>
                  <w:tcW w:w="188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2.生产、处置或储存能力增大30%及以上的。 </w:t>
                  </w:r>
                </w:p>
              </w:tc>
              <w:tc>
                <w:tcPr>
                  <w:tcW w:w="812" w:type="pct"/>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409" w:type="pct"/>
                  <w:vAlign w:val="center"/>
                </w:tcPr>
                <w:p>
                  <w:pPr>
                    <w:pStyle w:val="20"/>
                    <w:bidi w:val="0"/>
                    <w:rPr>
                      <w:rFonts w:hint="default" w:ascii="Times New Roman" w:hAnsi="Times New Roman" w:cs="Times New Roman"/>
                      <w:color w:val="auto"/>
                      <w:lang w:val="en-US" w:eastAsia="zh-CN"/>
                    </w:rPr>
                  </w:pPr>
                </w:p>
              </w:tc>
              <w:tc>
                <w:tcPr>
                  <w:tcW w:w="301" w:type="pct"/>
                  <w:vAlign w:val="center"/>
                </w:tcPr>
                <w:p>
                  <w:pPr>
                    <w:pStyle w:val="20"/>
                    <w:bidi w:val="0"/>
                    <w:rPr>
                      <w:rFonts w:hint="default" w:ascii="Times New Roman" w:hAnsi="Times New Roman" w:cs="Times New Roman"/>
                      <w:color w:val="auto"/>
                      <w:lang w:val="en-US" w:eastAsia="zh-CN"/>
                    </w:rPr>
                  </w:pPr>
                </w:p>
              </w:tc>
              <w:tc>
                <w:tcPr>
                  <w:tcW w:w="393"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w:t>
                  </w:r>
                </w:p>
              </w:tc>
              <w:tc>
                <w:tcPr>
                  <w:tcW w:w="44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60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continue"/>
                  <w:vAlign w:val="center"/>
                </w:tcPr>
                <w:p>
                  <w:pPr>
                    <w:pStyle w:val="20"/>
                    <w:bidi w:val="0"/>
                    <w:rPr>
                      <w:rFonts w:hint="default" w:ascii="Times New Roman" w:hAnsi="Times New Roman" w:cs="Times New Roman"/>
                      <w:color w:val="auto"/>
                      <w:lang w:val="en-US" w:eastAsia="zh-CN"/>
                    </w:rPr>
                  </w:pPr>
                </w:p>
              </w:tc>
              <w:tc>
                <w:tcPr>
                  <w:tcW w:w="188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3.生产、处置或储存能力增大，导致废水第一类污染物排放量增加的。</w:t>
                  </w:r>
                </w:p>
              </w:tc>
              <w:tc>
                <w:tcPr>
                  <w:tcW w:w="812" w:type="pct"/>
                  <w:vAlign w:val="center"/>
                </w:tcPr>
                <w:p>
                  <w:pPr>
                    <w:pStyle w:val="20"/>
                    <w:bidi w:val="0"/>
                    <w:ind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原环评硫酸在线回收设备年运行300天，每天运行24小时，年运行7200小时，实际建设硫酸在线回收设备年运行200天，每天运行8小时，年运行1600小时</w:t>
                  </w:r>
                </w:p>
              </w:tc>
              <w:tc>
                <w:tcPr>
                  <w:tcW w:w="409" w:type="pct"/>
                  <w:vAlign w:val="center"/>
                </w:tcPr>
                <w:p>
                  <w:pPr>
                    <w:pStyle w:val="20"/>
                    <w:bidi w:val="0"/>
                    <w:rPr>
                      <w:rFonts w:hint="default" w:ascii="Times New Roman" w:hAnsi="Times New Roman" w:cs="Times New Roman"/>
                      <w:color w:val="auto"/>
                      <w:lang w:val="en-US" w:eastAsia="zh-CN"/>
                    </w:rPr>
                  </w:pPr>
                </w:p>
              </w:tc>
              <w:tc>
                <w:tcPr>
                  <w:tcW w:w="301"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393"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p>
              </w:tc>
              <w:tc>
                <w:tcPr>
                  <w:tcW w:w="44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60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continue"/>
                  <w:vAlign w:val="center"/>
                </w:tcPr>
                <w:p>
                  <w:pPr>
                    <w:pStyle w:val="20"/>
                    <w:bidi w:val="0"/>
                    <w:rPr>
                      <w:rFonts w:hint="default" w:ascii="Times New Roman" w:hAnsi="Times New Roman" w:cs="Times New Roman"/>
                      <w:color w:val="auto"/>
                      <w:lang w:val="en-US" w:eastAsia="zh-CN"/>
                    </w:rPr>
                  </w:pPr>
                </w:p>
              </w:tc>
              <w:tc>
                <w:tcPr>
                  <w:tcW w:w="188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 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81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409" w:type="pct"/>
                  <w:vAlign w:val="center"/>
                </w:tcPr>
                <w:p>
                  <w:pPr>
                    <w:pStyle w:val="20"/>
                    <w:bidi w:val="0"/>
                    <w:rPr>
                      <w:rFonts w:hint="default" w:ascii="Times New Roman" w:hAnsi="Times New Roman" w:cs="Times New Roman"/>
                      <w:color w:val="auto"/>
                      <w:lang w:val="en-US" w:eastAsia="zh-CN"/>
                    </w:rPr>
                  </w:pPr>
                </w:p>
              </w:tc>
              <w:tc>
                <w:tcPr>
                  <w:tcW w:w="301" w:type="pct"/>
                  <w:vAlign w:val="center"/>
                </w:tcPr>
                <w:p>
                  <w:pPr>
                    <w:pStyle w:val="20"/>
                    <w:bidi w:val="0"/>
                    <w:rPr>
                      <w:rFonts w:hint="default" w:ascii="Times New Roman" w:hAnsi="Times New Roman" w:cs="Times New Roman"/>
                      <w:color w:val="auto"/>
                      <w:lang w:val="en-US" w:eastAsia="zh-CN"/>
                    </w:rPr>
                  </w:pPr>
                </w:p>
              </w:tc>
              <w:tc>
                <w:tcPr>
                  <w:tcW w:w="39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44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60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地点</w:t>
                  </w:r>
                </w:p>
              </w:tc>
              <w:tc>
                <w:tcPr>
                  <w:tcW w:w="188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 重新选址；在原厂址附近调整（包括总平面布置变化）导致环境防护距离范围变化且新增敏感点的。</w:t>
                  </w:r>
                </w:p>
              </w:tc>
              <w:tc>
                <w:tcPr>
                  <w:tcW w:w="81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409" w:type="pct"/>
                  <w:vAlign w:val="center"/>
                </w:tcPr>
                <w:p>
                  <w:pPr>
                    <w:pStyle w:val="20"/>
                    <w:bidi w:val="0"/>
                    <w:rPr>
                      <w:rFonts w:hint="default" w:ascii="Times New Roman" w:hAnsi="Times New Roman" w:cs="Times New Roman"/>
                      <w:color w:val="auto"/>
                      <w:lang w:val="en-US" w:eastAsia="zh-CN"/>
                    </w:rPr>
                  </w:pPr>
                </w:p>
              </w:tc>
              <w:tc>
                <w:tcPr>
                  <w:tcW w:w="301" w:type="pct"/>
                  <w:vAlign w:val="center"/>
                </w:tcPr>
                <w:p>
                  <w:pPr>
                    <w:pStyle w:val="20"/>
                    <w:bidi w:val="0"/>
                    <w:rPr>
                      <w:rFonts w:hint="default" w:ascii="Times New Roman" w:hAnsi="Times New Roman" w:cs="Times New Roman"/>
                      <w:color w:val="auto"/>
                      <w:lang w:val="en-US" w:eastAsia="zh-CN"/>
                    </w:rPr>
                  </w:pPr>
                </w:p>
              </w:tc>
              <w:tc>
                <w:tcPr>
                  <w:tcW w:w="39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44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60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restar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生产工艺</w:t>
                  </w:r>
                </w:p>
              </w:tc>
              <w:tc>
                <w:tcPr>
                  <w:tcW w:w="188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6. 新增产品品种或生产工艺（含主要生产装置、设备及配套设施）、主要原辅材料、燃料变化，导致以下情形之一： </w:t>
                  </w:r>
                </w:p>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(1）新增排放污染物种类的（毒性、挥发性降低的除外）； </w:t>
                  </w:r>
                </w:p>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(2）位于环境质量不达标区的建设项目相应污染物排放量增加的； </w:t>
                  </w:r>
                </w:p>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(3）废水第一类污染物排放量增加的； </w:t>
                  </w:r>
                </w:p>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(4）其他污染物排放量增加10%及以上的。 </w:t>
                  </w:r>
                </w:p>
              </w:tc>
              <w:tc>
                <w:tcPr>
                  <w:tcW w:w="812"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无</w:t>
                  </w:r>
                </w:p>
              </w:tc>
              <w:tc>
                <w:tcPr>
                  <w:tcW w:w="409"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p>
              </w:tc>
              <w:tc>
                <w:tcPr>
                  <w:tcW w:w="30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p>
              </w:tc>
              <w:tc>
                <w:tcPr>
                  <w:tcW w:w="393"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w:t>
                  </w:r>
                </w:p>
              </w:tc>
              <w:tc>
                <w:tcPr>
                  <w:tcW w:w="442"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无</w:t>
                  </w:r>
                </w:p>
              </w:tc>
              <w:tc>
                <w:tcPr>
                  <w:tcW w:w="603"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continue"/>
                  <w:vAlign w:val="center"/>
                </w:tcPr>
                <w:p>
                  <w:pPr>
                    <w:pStyle w:val="20"/>
                    <w:bidi w:val="0"/>
                    <w:rPr>
                      <w:rFonts w:hint="default" w:ascii="Times New Roman" w:hAnsi="Times New Roman" w:cs="Times New Roman"/>
                      <w:color w:val="auto"/>
                      <w:lang w:val="en-US" w:eastAsia="zh-CN"/>
                    </w:rPr>
                  </w:pPr>
                </w:p>
              </w:tc>
              <w:tc>
                <w:tcPr>
                  <w:tcW w:w="188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 物料运输、装卸、贮存方式变化，导致大气污染物无组织排放量增加10%及以上的。</w:t>
                  </w:r>
                </w:p>
              </w:tc>
              <w:tc>
                <w:tcPr>
                  <w:tcW w:w="81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409" w:type="pct"/>
                  <w:vAlign w:val="center"/>
                </w:tcPr>
                <w:p>
                  <w:pPr>
                    <w:pStyle w:val="20"/>
                    <w:bidi w:val="0"/>
                    <w:rPr>
                      <w:rFonts w:hint="default" w:ascii="Times New Roman" w:hAnsi="Times New Roman" w:cs="Times New Roman"/>
                      <w:color w:val="auto"/>
                      <w:lang w:val="en-US" w:eastAsia="zh-CN"/>
                    </w:rPr>
                  </w:pPr>
                </w:p>
              </w:tc>
              <w:tc>
                <w:tcPr>
                  <w:tcW w:w="301" w:type="pct"/>
                  <w:vAlign w:val="center"/>
                </w:tcPr>
                <w:p>
                  <w:pPr>
                    <w:pStyle w:val="20"/>
                    <w:bidi w:val="0"/>
                    <w:rPr>
                      <w:rFonts w:hint="default" w:ascii="Times New Roman" w:hAnsi="Times New Roman" w:cs="Times New Roman"/>
                      <w:color w:val="auto"/>
                      <w:lang w:val="en-US" w:eastAsia="zh-CN"/>
                    </w:rPr>
                  </w:pPr>
                </w:p>
              </w:tc>
              <w:tc>
                <w:tcPr>
                  <w:tcW w:w="39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44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60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restar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环境保护措施</w:t>
                  </w:r>
                </w:p>
              </w:tc>
              <w:tc>
                <w:tcPr>
                  <w:tcW w:w="188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8.废气、废水污染防治措施变化，导致第6条中所列情形之一（废气无组织排放改为有组织排放、污染防治措施强化或改进的除外）或大气污染物无组织排放量增加10%及以上的。</w:t>
                  </w:r>
                </w:p>
              </w:tc>
              <w:tc>
                <w:tcPr>
                  <w:tcW w:w="81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409" w:type="pct"/>
                  <w:vAlign w:val="center"/>
                </w:tcPr>
                <w:p>
                  <w:pPr>
                    <w:pStyle w:val="20"/>
                    <w:bidi w:val="0"/>
                    <w:rPr>
                      <w:rFonts w:hint="default" w:ascii="Times New Roman" w:hAnsi="Times New Roman" w:cs="Times New Roman"/>
                      <w:color w:val="auto"/>
                      <w:lang w:val="en-US" w:eastAsia="zh-CN"/>
                    </w:rPr>
                  </w:pPr>
                </w:p>
              </w:tc>
              <w:tc>
                <w:tcPr>
                  <w:tcW w:w="301" w:type="pct"/>
                  <w:vAlign w:val="center"/>
                </w:tcPr>
                <w:p>
                  <w:pPr>
                    <w:pStyle w:val="20"/>
                    <w:bidi w:val="0"/>
                    <w:rPr>
                      <w:rFonts w:hint="default" w:ascii="Times New Roman" w:hAnsi="Times New Roman" w:cs="Times New Roman"/>
                      <w:color w:val="auto"/>
                      <w:lang w:val="en-US" w:eastAsia="zh-CN"/>
                    </w:rPr>
                  </w:pPr>
                </w:p>
              </w:tc>
              <w:tc>
                <w:tcPr>
                  <w:tcW w:w="39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44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60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continue"/>
                  <w:vAlign w:val="center"/>
                </w:tcPr>
                <w:p>
                  <w:pPr>
                    <w:pStyle w:val="20"/>
                    <w:bidi w:val="0"/>
                    <w:rPr>
                      <w:rFonts w:hint="default" w:ascii="Times New Roman" w:hAnsi="Times New Roman" w:cs="Times New Roman"/>
                      <w:color w:val="auto"/>
                      <w:lang w:val="en-US" w:eastAsia="zh-CN"/>
                    </w:rPr>
                  </w:pPr>
                </w:p>
              </w:tc>
              <w:tc>
                <w:tcPr>
                  <w:tcW w:w="188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9.新增废水直接排放口；废水由间接排放改为直接排放；废水直接排放口位置变化，导致不利环境影响加重的。</w:t>
                  </w:r>
                </w:p>
              </w:tc>
              <w:tc>
                <w:tcPr>
                  <w:tcW w:w="812"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无</w:t>
                  </w:r>
                </w:p>
              </w:tc>
              <w:tc>
                <w:tcPr>
                  <w:tcW w:w="409" w:type="pct"/>
                  <w:vAlign w:val="center"/>
                </w:tcPr>
                <w:p>
                  <w:pPr>
                    <w:pStyle w:val="20"/>
                    <w:bidi w:val="0"/>
                    <w:rPr>
                      <w:rFonts w:hint="default" w:ascii="Times New Roman" w:hAnsi="Times New Roman" w:cs="Times New Roman"/>
                      <w:color w:val="auto"/>
                      <w:lang w:val="en-US" w:eastAsia="zh-CN"/>
                    </w:rPr>
                  </w:pPr>
                </w:p>
              </w:tc>
              <w:tc>
                <w:tcPr>
                  <w:tcW w:w="301" w:type="pct"/>
                  <w:vAlign w:val="center"/>
                </w:tcPr>
                <w:p>
                  <w:pPr>
                    <w:pStyle w:val="20"/>
                    <w:bidi w:val="0"/>
                    <w:rPr>
                      <w:rFonts w:hint="default" w:ascii="Times New Roman" w:hAnsi="Times New Roman" w:cs="Times New Roman"/>
                      <w:color w:val="auto"/>
                      <w:lang w:val="en-US" w:eastAsia="zh-CN"/>
                    </w:rPr>
                  </w:pPr>
                </w:p>
              </w:tc>
              <w:tc>
                <w:tcPr>
                  <w:tcW w:w="39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44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60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continue"/>
                  <w:vAlign w:val="center"/>
                </w:tcPr>
                <w:p>
                  <w:pPr>
                    <w:pStyle w:val="20"/>
                    <w:bidi w:val="0"/>
                    <w:rPr>
                      <w:rFonts w:hint="default" w:ascii="Times New Roman" w:hAnsi="Times New Roman" w:cs="Times New Roman"/>
                      <w:color w:val="auto"/>
                      <w:lang w:val="en-US" w:eastAsia="zh-CN"/>
                    </w:rPr>
                  </w:pPr>
                </w:p>
              </w:tc>
              <w:tc>
                <w:tcPr>
                  <w:tcW w:w="188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10.新增废气主要排放口（废气无组织排放改为有组织排放的除外）；主要排放口排气筒高度降低10%及以上的。</w:t>
                  </w:r>
                </w:p>
              </w:tc>
              <w:tc>
                <w:tcPr>
                  <w:tcW w:w="81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409" w:type="pct"/>
                  <w:vAlign w:val="center"/>
                </w:tcPr>
                <w:p>
                  <w:pPr>
                    <w:pStyle w:val="20"/>
                    <w:bidi w:val="0"/>
                    <w:rPr>
                      <w:rFonts w:hint="default" w:ascii="Times New Roman" w:hAnsi="Times New Roman" w:cs="Times New Roman"/>
                      <w:color w:val="auto"/>
                      <w:lang w:val="en-US" w:eastAsia="zh-CN"/>
                    </w:rPr>
                  </w:pPr>
                </w:p>
              </w:tc>
              <w:tc>
                <w:tcPr>
                  <w:tcW w:w="301" w:type="pct"/>
                  <w:vAlign w:val="center"/>
                </w:tcPr>
                <w:p>
                  <w:pPr>
                    <w:pStyle w:val="20"/>
                    <w:bidi w:val="0"/>
                    <w:rPr>
                      <w:rFonts w:hint="default" w:ascii="Times New Roman" w:hAnsi="Times New Roman" w:cs="Times New Roman"/>
                      <w:color w:val="auto"/>
                      <w:lang w:val="en-US" w:eastAsia="zh-CN"/>
                    </w:rPr>
                  </w:pPr>
                </w:p>
              </w:tc>
              <w:tc>
                <w:tcPr>
                  <w:tcW w:w="39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44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60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continue"/>
                  <w:vAlign w:val="center"/>
                </w:tcPr>
                <w:p>
                  <w:pPr>
                    <w:pStyle w:val="20"/>
                    <w:bidi w:val="0"/>
                    <w:rPr>
                      <w:rFonts w:hint="default" w:ascii="Times New Roman" w:hAnsi="Times New Roman" w:cs="Times New Roman"/>
                      <w:color w:val="auto"/>
                      <w:lang w:val="en-US" w:eastAsia="zh-CN"/>
                    </w:rPr>
                  </w:pPr>
                </w:p>
              </w:tc>
              <w:tc>
                <w:tcPr>
                  <w:tcW w:w="188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11.噪声、土壤或地下水污染防治措施变化，导致不利环境影响加重的。</w:t>
                  </w:r>
                </w:p>
              </w:tc>
              <w:tc>
                <w:tcPr>
                  <w:tcW w:w="81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409" w:type="pct"/>
                  <w:vAlign w:val="center"/>
                </w:tcPr>
                <w:p>
                  <w:pPr>
                    <w:pStyle w:val="20"/>
                    <w:bidi w:val="0"/>
                    <w:rPr>
                      <w:rFonts w:hint="default" w:ascii="Times New Roman" w:hAnsi="Times New Roman" w:cs="Times New Roman"/>
                      <w:color w:val="auto"/>
                      <w:lang w:val="en-US" w:eastAsia="zh-CN"/>
                    </w:rPr>
                  </w:pPr>
                </w:p>
              </w:tc>
              <w:tc>
                <w:tcPr>
                  <w:tcW w:w="301" w:type="pct"/>
                  <w:vAlign w:val="center"/>
                </w:tcPr>
                <w:p>
                  <w:pPr>
                    <w:pStyle w:val="20"/>
                    <w:bidi w:val="0"/>
                    <w:rPr>
                      <w:rFonts w:hint="default" w:ascii="Times New Roman" w:hAnsi="Times New Roman" w:cs="Times New Roman"/>
                      <w:color w:val="auto"/>
                      <w:lang w:val="en-US" w:eastAsia="zh-CN"/>
                    </w:rPr>
                  </w:pPr>
                </w:p>
              </w:tc>
              <w:tc>
                <w:tcPr>
                  <w:tcW w:w="39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44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60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continue"/>
                  <w:vAlign w:val="center"/>
                </w:tcPr>
                <w:p>
                  <w:pPr>
                    <w:pStyle w:val="20"/>
                    <w:bidi w:val="0"/>
                    <w:rPr>
                      <w:rFonts w:hint="default" w:ascii="Times New Roman" w:hAnsi="Times New Roman" w:cs="Times New Roman"/>
                      <w:color w:val="auto"/>
                      <w:lang w:val="en-US" w:eastAsia="zh-CN"/>
                    </w:rPr>
                  </w:pPr>
                </w:p>
              </w:tc>
              <w:tc>
                <w:tcPr>
                  <w:tcW w:w="188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12.固体废物利用处置方式由委托外单位利用处置改为自行利用处置的（自行利用处置设施单独开展环境影响评价的除外）；固体废物自行处置方式变化，导致不利环境影响加重的。 </w:t>
                  </w:r>
                </w:p>
              </w:tc>
              <w:tc>
                <w:tcPr>
                  <w:tcW w:w="812" w:type="pct"/>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409" w:type="pct"/>
                  <w:vAlign w:val="center"/>
                </w:tcPr>
                <w:p>
                  <w:pPr>
                    <w:pStyle w:val="20"/>
                    <w:bidi w:val="0"/>
                    <w:rPr>
                      <w:rFonts w:hint="default" w:ascii="Times New Roman" w:hAnsi="Times New Roman" w:cs="Times New Roman"/>
                      <w:color w:val="auto"/>
                      <w:lang w:val="en-US" w:eastAsia="zh-CN"/>
                    </w:rPr>
                  </w:pPr>
                </w:p>
              </w:tc>
              <w:tc>
                <w:tcPr>
                  <w:tcW w:w="301" w:type="pct"/>
                  <w:vAlign w:val="center"/>
                </w:tcPr>
                <w:p>
                  <w:pPr>
                    <w:pStyle w:val="20"/>
                    <w:bidi w:val="0"/>
                    <w:rPr>
                      <w:rFonts w:hint="default" w:ascii="Times New Roman" w:hAnsi="Times New Roman" w:cs="Times New Roman"/>
                      <w:color w:val="auto"/>
                      <w:lang w:val="en-US" w:eastAsia="zh-CN"/>
                    </w:rPr>
                  </w:pPr>
                </w:p>
              </w:tc>
              <w:tc>
                <w:tcPr>
                  <w:tcW w:w="39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44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60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continue"/>
                  <w:vAlign w:val="center"/>
                </w:tcPr>
                <w:p>
                  <w:pPr>
                    <w:pStyle w:val="20"/>
                    <w:bidi w:val="0"/>
                    <w:rPr>
                      <w:rFonts w:hint="default" w:ascii="Times New Roman" w:hAnsi="Times New Roman" w:cs="Times New Roman"/>
                      <w:color w:val="auto"/>
                      <w:lang w:val="en-US" w:eastAsia="zh-CN"/>
                    </w:rPr>
                  </w:pPr>
                </w:p>
              </w:tc>
              <w:tc>
                <w:tcPr>
                  <w:tcW w:w="188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13.事故废水暂存能力或拦截设施变化，导致环境风险防范能力弱化或降低的。</w:t>
                  </w:r>
                </w:p>
              </w:tc>
              <w:tc>
                <w:tcPr>
                  <w:tcW w:w="81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409" w:type="pct"/>
                  <w:vAlign w:val="center"/>
                </w:tcPr>
                <w:p>
                  <w:pPr>
                    <w:pStyle w:val="20"/>
                    <w:bidi w:val="0"/>
                    <w:rPr>
                      <w:rFonts w:hint="default" w:ascii="Times New Roman" w:hAnsi="Times New Roman" w:cs="Times New Roman"/>
                      <w:color w:val="auto"/>
                      <w:lang w:val="en-US" w:eastAsia="zh-CN"/>
                    </w:rPr>
                  </w:pPr>
                </w:p>
              </w:tc>
              <w:tc>
                <w:tcPr>
                  <w:tcW w:w="301" w:type="pct"/>
                  <w:vAlign w:val="center"/>
                </w:tcPr>
                <w:p>
                  <w:pPr>
                    <w:pStyle w:val="20"/>
                    <w:bidi w:val="0"/>
                    <w:rPr>
                      <w:rFonts w:hint="default" w:ascii="Times New Roman" w:hAnsi="Times New Roman" w:cs="Times New Roman"/>
                      <w:color w:val="auto"/>
                      <w:lang w:val="en-US" w:eastAsia="zh-CN"/>
                    </w:rPr>
                  </w:pPr>
                </w:p>
              </w:tc>
              <w:tc>
                <w:tcPr>
                  <w:tcW w:w="39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442"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w:t>
                  </w:r>
                </w:p>
              </w:tc>
              <w:tc>
                <w:tcPr>
                  <w:tcW w:w="603" w:type="pc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否</w:t>
                  </w:r>
                </w:p>
              </w:tc>
            </w:tr>
          </w:tbl>
          <w:p>
            <w:pPr>
              <w:bidi w:val="0"/>
              <w:rPr>
                <w:rFonts w:hint="default" w:ascii="Times New Roman" w:hAnsi="Times New Roman" w:cs="Times New Roman"/>
                <w:color w:val="auto"/>
                <w:vertAlign w:val="baseline"/>
              </w:rPr>
            </w:pPr>
          </w:p>
        </w:tc>
      </w:tr>
    </w:tbl>
    <w:p>
      <w:pPr>
        <w:pStyle w:val="19"/>
        <w:rPr>
          <w:rFonts w:hint="default" w:ascii="Times New Roman" w:hAnsi="Times New Roman" w:cs="Times New Roman"/>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ind w:left="0" w:leftChars="0" w:firstLine="0" w:firstLineChars="0"/>
        <w:outlineLvl w:val="0"/>
        <w:rPr>
          <w:rFonts w:hint="default" w:ascii="Times New Roman" w:hAnsi="Times New Roman" w:eastAsia="宋体" w:cs="Times New Roman"/>
          <w:b/>
          <w:bCs/>
          <w:color w:val="auto"/>
          <w:sz w:val="28"/>
          <w:szCs w:val="28"/>
          <w:lang w:val="zh-CN"/>
        </w:rPr>
      </w:pPr>
      <w:bookmarkStart w:id="9" w:name="_Toc3476"/>
      <w:bookmarkStart w:id="10" w:name="_Toc22527"/>
      <w:r>
        <w:rPr>
          <w:rFonts w:hint="default" w:ascii="Times New Roman" w:hAnsi="Times New Roman" w:eastAsia="宋体" w:cs="Times New Roman"/>
          <w:b/>
          <w:bCs/>
          <w:color w:val="auto"/>
          <w:sz w:val="28"/>
          <w:szCs w:val="28"/>
        </w:rPr>
        <w:t>表三、</w:t>
      </w:r>
      <w:r>
        <w:rPr>
          <w:rFonts w:hint="default" w:ascii="Times New Roman" w:hAnsi="Times New Roman" w:eastAsia="宋体" w:cs="Times New Roman"/>
          <w:b/>
          <w:bCs/>
          <w:color w:val="auto"/>
          <w:sz w:val="28"/>
          <w:szCs w:val="28"/>
          <w:lang w:val="zh-CN"/>
        </w:rPr>
        <w:t>主要生产工艺及污染物产出流程（附示意图）</w:t>
      </w:r>
      <w:bookmarkEnd w:id="9"/>
      <w:bookmarkEnd w:id="10"/>
    </w:p>
    <w:tbl>
      <w:tblPr>
        <w:tblStyle w:val="16"/>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6" w:hRule="atLeast"/>
        </w:trPr>
        <w:tc>
          <w:tcPr>
            <w:tcW w:w="8789" w:type="dxa"/>
            <w:vAlign w:val="top"/>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本次环保节能技术改造项目包括增加硫酸在线回收设备；砂扩散（天然气）改电感应加热（电加热），锆砂淬火取消改水淬火；</w:t>
            </w:r>
            <w:r>
              <w:rPr>
                <w:rFonts w:hint="default" w:ascii="Times New Roman" w:hAnsi="Times New Roman" w:eastAsia="宋体" w:cs="Times New Roman"/>
                <w:color w:val="auto"/>
                <w:sz w:val="24"/>
                <w:szCs w:val="24"/>
                <w:lang w:val="en-US" w:eastAsia="zh-CN"/>
              </w:rPr>
              <w:t>部分预处理取消酸洗，改砂带机</w:t>
            </w:r>
            <w:r>
              <w:rPr>
                <w:rFonts w:hint="eastAsia" w:ascii="Times New Roman" w:hAnsi="Times New Roman" w:eastAsia="宋体" w:cs="Times New Roman"/>
                <w:color w:val="auto"/>
                <w:sz w:val="24"/>
                <w:szCs w:val="24"/>
                <w:lang w:val="en-US" w:eastAsia="zh-CN"/>
              </w:rPr>
              <w:t>；更换高效污泥烘干设备，</w:t>
            </w:r>
            <w:r>
              <w:rPr>
                <w:rFonts w:hint="default" w:ascii="Times New Roman" w:hAnsi="Times New Roman" w:eastAsia="宋体" w:cs="Times New Roman"/>
                <w:color w:val="auto"/>
                <w:sz w:val="24"/>
                <w:szCs w:val="24"/>
                <w:lang w:val="en-US" w:eastAsia="zh-CN"/>
              </w:rPr>
              <w:t>生产工艺流程及产污环节同环评</w:t>
            </w:r>
            <w:r>
              <w:rPr>
                <w:rFonts w:hint="eastAsia" w:ascii="Times New Roman" w:hAnsi="Times New Roman" w:eastAsia="宋体" w:cs="Times New Roman"/>
                <w:color w:val="auto"/>
                <w:sz w:val="24"/>
                <w:szCs w:val="24"/>
                <w:lang w:val="en-US" w:eastAsia="zh-CN"/>
              </w:rPr>
              <w:t>。</w:t>
            </w:r>
          </w:p>
          <w:p>
            <w:pPr>
              <w:pStyle w:val="22"/>
              <w:numPr>
                <w:ilvl w:val="0"/>
                <w:numId w:val="6"/>
              </w:numPr>
              <w:spacing w:before="4"/>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增加硫酸在线回收设备，减少新酸用量和废酸排放，回收产生的水处理剂点对点供给污水处理厂使用，不对市场销售。</w:t>
            </w:r>
          </w:p>
          <w:p>
            <w:pPr>
              <w:pStyle w:val="22"/>
              <w:numPr>
                <w:ilvl w:val="0"/>
                <w:numId w:val="0"/>
              </w:numPr>
              <w:spacing w:before="4"/>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工艺流程图：</w:t>
            </w:r>
          </w:p>
          <w:p>
            <w:pPr>
              <w:pStyle w:val="22"/>
              <w:numPr>
                <w:ilvl w:val="0"/>
                <w:numId w:val="0"/>
              </w:numPr>
              <w:spacing w:before="4"/>
              <w:jc w:val="center"/>
              <w:rPr>
                <w:rFonts w:hint="default" w:ascii="Times New Roman" w:hAnsi="Times New Roman" w:cs="Times New Roman"/>
                <w:color w:val="auto"/>
                <w:lang w:val="en-US" w:eastAsia="zh-CN"/>
              </w:rPr>
            </w:pPr>
            <w:r>
              <w:rPr>
                <w:rFonts w:hint="default" w:ascii="Times New Roman" w:hAnsi="Times New Roman" w:cs="Times New Roman"/>
              </w:rPr>
              <w:drawing>
                <wp:inline distT="0" distB="0" distL="114300" distR="114300">
                  <wp:extent cx="5223510" cy="1699895"/>
                  <wp:effectExtent l="0" t="0" r="15240"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23510" cy="1699895"/>
                          </a:xfrm>
                          <a:prstGeom prst="rect">
                            <a:avLst/>
                          </a:prstGeom>
                          <a:noFill/>
                          <a:ln>
                            <a:noFill/>
                          </a:ln>
                        </pic:spPr>
                      </pic:pic>
                    </a:graphicData>
                  </a:graphic>
                </wp:inline>
              </w:drawing>
            </w:r>
          </w:p>
          <w:p>
            <w:pPr>
              <w:pStyle w:val="22"/>
              <w:numPr>
                <w:ilvl w:val="0"/>
                <w:numId w:val="0"/>
              </w:numPr>
              <w:spacing w:before="4"/>
              <w:jc w:val="center"/>
              <w:rPr>
                <w:rFonts w:hint="default" w:ascii="Times New Roman" w:hAnsi="Times New Roman" w:cs="Times New Roman"/>
                <w:color w:val="auto"/>
                <w:lang w:val="en-US" w:eastAsia="zh-CN"/>
              </w:rPr>
            </w:pPr>
            <w:r>
              <w:rPr>
                <w:rFonts w:hint="default" w:ascii="Times New Roman" w:hAnsi="Times New Roman" w:cs="Times New Roman"/>
                <w:b/>
                <w:bCs/>
                <w:color w:val="auto"/>
                <w:sz w:val="24"/>
                <w:szCs w:val="24"/>
                <w:lang w:val="en-US" w:eastAsia="zh-CN"/>
              </w:rPr>
              <w:t>图3-1 硫酸在线回收设备工艺流程图</w:t>
            </w:r>
          </w:p>
          <w:p>
            <w:pPr>
              <w:pStyle w:val="22"/>
              <w:numPr>
                <w:ilvl w:val="0"/>
                <w:numId w:val="0"/>
              </w:numPr>
              <w:spacing w:before="4"/>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工艺流程说明：</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生产线酸洗槽排出的废酸进入废酸罐，经泵送入冷冻结晶器中，加冷冻盐水冷至-15℃，并开始形成并上升到表面，盐开始在剩余溶液中结晶。间歇操作，继续降低硫酸亚铁的溶解度。冷冻结晶器采样搅拌釜式结晶器2个，单个结晶器容积为5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冷冻机组采用盐水（氯化钙25%）冷冻机1台（输入功率为90KW），配套相应的盐水循环、冷却水循环系统。为达到结晶析出临界温度，废酸液被冷却到-15℃，大部分硫酸亚铁呈七水硫酸亚铁结晶析出。结晶料浆流入离心机间歇操作，离心机采用处理能力为1.5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h的自动卸料离心机1台，分离硫酸亚铁晶体回收利用，硫酸亚铁晶体采用吨袋进行包装。泵送母液经预冷器换热后，直接进入生产线配酸槽，供部分生产线使用。废酸通过密闭管道进行输送，整个回收过程在密闭冷冻结晶器内，仅在离心机分离过程产生少量硫酸雾（G1），该部分废气经补集罩收集送入新增的1套酸雾净化塔处理后通过新增的1根15米高排气筒（Gs</w:t>
            </w:r>
            <w:r>
              <w:rPr>
                <w:rFonts w:hint="default" w:ascii="Times New Roman" w:hAnsi="Times New Roman" w:cs="Times New Roman"/>
                <w:color w:val="auto"/>
                <w:sz w:val="24"/>
                <w:szCs w:val="24"/>
                <w:vertAlign w:val="subscript"/>
                <w:lang w:val="en-US" w:eastAsia="zh-CN"/>
              </w:rPr>
              <w:t>20</w:t>
            </w:r>
            <w:r>
              <w:rPr>
                <w:rFonts w:hint="default" w:ascii="Times New Roman" w:hAnsi="Times New Roman" w:cs="Times New Roman"/>
                <w:color w:val="auto"/>
                <w:sz w:val="24"/>
                <w:szCs w:val="24"/>
                <w:lang w:val="en-US" w:eastAsia="zh-CN"/>
              </w:rPr>
              <w:t>）排放。</w:t>
            </w:r>
            <w:r>
              <w:rPr>
                <w:rFonts w:hint="default" w:ascii="Times New Roman" w:hAnsi="Times New Roman" w:eastAsia="宋体" w:cs="Times New Roman"/>
                <w:color w:val="auto"/>
                <w:sz w:val="24"/>
                <w:szCs w:val="24"/>
                <w:lang w:val="en-US" w:eastAsia="zh-CN"/>
              </w:rPr>
              <w:t>硫酸在线回收设备年运行</w:t>
            </w:r>
            <w:r>
              <w:rPr>
                <w:rFonts w:hint="default" w:ascii="Times New Roman" w:hAnsi="Times New Roman" w:cs="Times New Roman"/>
                <w:color w:val="auto"/>
                <w:sz w:val="24"/>
                <w:szCs w:val="24"/>
                <w:lang w:val="en-US" w:eastAsia="zh-CN"/>
              </w:rPr>
              <w:t>200</w:t>
            </w:r>
            <w:r>
              <w:rPr>
                <w:rFonts w:hint="default" w:ascii="Times New Roman" w:hAnsi="Times New Roman" w:eastAsia="宋体" w:cs="Times New Roman"/>
                <w:color w:val="auto"/>
                <w:sz w:val="24"/>
                <w:szCs w:val="24"/>
                <w:lang w:val="en-US" w:eastAsia="zh-CN"/>
              </w:rPr>
              <w:t>天，每天运行8小时，年运行960小时。</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骏马公司一期（101车间）、二期（201车间）使用稀释配置后30%（370g/L）左右的硫酸，用于盘条热处理后电解酸洗，该工序产生的废酸中主要含有：25%左右（300g/L）的硫酸、60g/L左右的亚铁离子和水，无其他添加剂。骏马公司选用低温冷冻结晶（-15℃~-20℃）的硫酸回收装置，该硫酸回收工艺为纯物理变化，不涉及任何化学反应和添加剂，仅产生硫酸亚铁（FeSO</w:t>
            </w:r>
            <w:r>
              <w:rPr>
                <w:rFonts w:hint="default" w:ascii="Times New Roman" w:hAnsi="Times New Roman" w:cs="Times New Roman"/>
                <w:color w:val="auto"/>
                <w:sz w:val="24"/>
                <w:szCs w:val="24"/>
                <w:vertAlign w:val="subscript"/>
                <w:lang w:val="en-US" w:eastAsia="zh-CN"/>
              </w:rPr>
              <w:t>4</w:t>
            </w:r>
            <w:r>
              <w:rPr>
                <w:rFonts w:hint="default" w:ascii="Times New Roman" w:hAnsi="Times New Roman" w:cs="Times New Roman"/>
                <w:color w:val="auto"/>
                <w:sz w:val="24"/>
                <w:szCs w:val="24"/>
                <w:lang w:val="en-US" w:eastAsia="zh-CN"/>
              </w:rPr>
              <w:t>‧7H</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O）副产物。硫酸回收装置仅回收生产线中使用新鲜浓硫酸配比的硫酸溶液产生的废硫酸溶液，一次回收的硫酸溶液经配酸槽配比后，供101车间和201车间电解酸洗使用，再次产生的废硫酸不再进入硫酸回收装置，直接委外处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硫酸回收装置产生的副产物七水合硫酸亚铁（固体废物）采用吨袋包装，作为净水剂（除磷剂）用于公司内部污水处理。由于公司内部污水处理用七水合硫酸亚铁数量有限，会产生大量库存，经备案申请，允许在符合《水处理剂 硫酸亚铁》（GB/T 10531-2016）相应标准的前提下，点对点与污水处理单位签订免费使用合同，不作为产品销售。企业已与张家港市佳田针纺有限公司、张家港市新航印花有限公司等公司签订了意向使用合同。</w:t>
            </w:r>
          </w:p>
          <w:p>
            <w:pPr>
              <w:pStyle w:val="22"/>
              <w:numPr>
                <w:ilvl w:val="0"/>
                <w:numId w:val="6"/>
              </w:numPr>
              <w:spacing w:before="4"/>
              <w:ind w:left="0" w:leftChars="0" w:firstLine="482" w:firstLineChars="20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砂扩散（天然气）改电感应加热（电加热），锆砂淬火取消改水淬火，提升产品品质，减少天然气消耗，淘汰一期铅淬火改水淬火。</w:t>
            </w:r>
          </w:p>
          <w:p>
            <w:pPr>
              <w:pStyle w:val="22"/>
              <w:numPr>
                <w:ilvl w:val="0"/>
                <w:numId w:val="0"/>
              </w:numPr>
              <w:spacing w:before="4"/>
              <w:ind w:left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工艺流程图：</w:t>
            </w:r>
          </w:p>
          <w:p>
            <w:pPr>
              <w:pStyle w:val="22"/>
              <w:numPr>
                <w:ilvl w:val="0"/>
                <w:numId w:val="0"/>
              </w:numPr>
              <w:spacing w:before="4"/>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930775" cy="1565910"/>
                  <wp:effectExtent l="0" t="0" r="3175"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4930775" cy="1565910"/>
                          </a:xfrm>
                          <a:prstGeom prst="rect">
                            <a:avLst/>
                          </a:prstGeom>
                          <a:noFill/>
                          <a:ln>
                            <a:noFill/>
                          </a:ln>
                        </pic:spPr>
                      </pic:pic>
                    </a:graphicData>
                  </a:graphic>
                </wp:inline>
              </w:drawing>
            </w:r>
          </w:p>
          <w:p>
            <w:pPr>
              <w:pStyle w:val="22"/>
              <w:numPr>
                <w:ilvl w:val="0"/>
                <w:numId w:val="0"/>
              </w:numPr>
              <w:spacing w:before="4"/>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图3-2 砂淬火改水淬火、砂扩散改电感应加热工艺流程图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工艺说明：</w:t>
            </w:r>
          </w:p>
          <w:p>
            <w:pPr>
              <w:pStyle w:val="22"/>
              <w:numPr>
                <w:ilvl w:val="0"/>
                <w:numId w:val="0"/>
              </w:numPr>
              <w:spacing w:before="4"/>
              <w:ind w:firstLine="480" w:firstLineChars="200"/>
              <w:jc w:val="both"/>
              <w:rPr>
                <w:rFonts w:hint="default" w:ascii="Times New Roman" w:hAnsi="Times New Roman" w:cs="Times New Roman"/>
                <w:lang w:val="en-US" w:eastAsia="zh-CN"/>
              </w:rPr>
            </w:pPr>
            <w:r>
              <w:rPr>
                <w:rFonts w:hint="default" w:ascii="Times New Roman" w:hAnsi="Times New Roman" w:cs="Times New Roman"/>
                <w:lang w:val="en-US" w:eastAsia="zh-CN"/>
              </w:rPr>
              <w:t>骏马钢帘公司产品生产过程中，钢丝经热处理后需进行淬火处理，是钢丝晶相组织形成均匀的奥氏体结构</w:t>
            </w:r>
            <w:r>
              <w:rPr>
                <w:rFonts w:hint="eastAsia" w:ascii="Times New Roman" w:hAnsi="Times New Roman" w:cs="Times New Roman"/>
                <w:lang w:val="en-US" w:eastAsia="zh-CN"/>
              </w:rPr>
              <w:t>方</w:t>
            </w:r>
            <w:r>
              <w:rPr>
                <w:rFonts w:hint="default" w:ascii="Times New Roman" w:hAnsi="Times New Roman" w:cs="Times New Roman"/>
                <w:lang w:val="en-US" w:eastAsia="zh-CN"/>
              </w:rPr>
              <w:t>可用于后加工。原骏马钢帘线公司一、二期建设过程中，因行业无先进技术替代，普遍采用铅淬火、砂淬火工艺，并使用天然气加热，其中铅为一类</w:t>
            </w:r>
            <w:r>
              <w:rPr>
                <w:rFonts w:hint="eastAsia" w:ascii="Times New Roman" w:hAnsi="Times New Roman" w:cs="Times New Roman"/>
                <w:lang w:val="en-US" w:eastAsia="zh-CN"/>
              </w:rPr>
              <w:t>重</w:t>
            </w:r>
            <w:r>
              <w:rPr>
                <w:rFonts w:hint="default" w:ascii="Times New Roman" w:hAnsi="Times New Roman" w:cs="Times New Roman"/>
                <w:lang w:val="en-US" w:eastAsia="zh-CN"/>
              </w:rPr>
              <w:t>金属污染因子，能耗高。自三期项目建设起，已采用行业最先进的水淬火工艺，无污染因子产生且能耗（不再使用天然气加热）大幅降低。本次技改后经加热的钢丝用水（水中加了适量淬火液，主要成分为聚乙二醇90%，水10%）淬火，</w:t>
            </w:r>
            <w:r>
              <w:rPr>
                <w:rFonts w:hint="eastAsia" w:ascii="Times New Roman" w:hAnsi="Times New Roman" w:cs="Times New Roman"/>
                <w:lang w:val="en-US" w:eastAsia="zh-CN"/>
              </w:rPr>
              <w:t>使</w:t>
            </w:r>
            <w:r>
              <w:rPr>
                <w:rFonts w:hint="default" w:ascii="Times New Roman" w:hAnsi="Times New Roman" w:cs="Times New Roman"/>
                <w:lang w:val="en-US" w:eastAsia="zh-CN"/>
              </w:rPr>
              <w:t>钢丝具有索氏体组织，由于聚乙二醇的沸点&gt;250</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故水淬过程中淬火液不易挥发，仅产生少量水蒸气，水淬过程无废水产生，蒸发消耗部分定期补充。经水淬火的钢丝表面温度较高且表面带有淬火液，用水洗对钢丝冷却和洗去钢丝表面的带出物，消耗的淬火液进入水洗废水中，装置出口有吹扫装置，吹去钢丝表面的带出液，带出液进入水洗废水后送污水处理站处理。本次技改项目锆砂淬火取消改水淬火后仅产生水蒸气和水洗废水。</w:t>
            </w:r>
          </w:p>
          <w:p>
            <w:pPr>
              <w:pStyle w:val="22"/>
              <w:numPr>
                <w:ilvl w:val="0"/>
                <w:numId w:val="0"/>
              </w:numPr>
              <w:spacing w:before="4"/>
              <w:ind w:firstLine="480" w:firstLineChars="200"/>
              <w:jc w:val="both"/>
              <w:rPr>
                <w:rFonts w:hint="default" w:ascii="Times New Roman" w:hAnsi="Times New Roman" w:cs="Times New Roman"/>
                <w:lang w:val="en-US" w:eastAsia="zh-CN"/>
              </w:rPr>
            </w:pPr>
            <w:r>
              <w:rPr>
                <w:rFonts w:hint="default" w:ascii="Times New Roman" w:hAnsi="Times New Roman" w:cs="Times New Roman"/>
                <w:lang w:val="en-US" w:eastAsia="zh-CN"/>
              </w:rPr>
              <w:t>骏马公司于2014年年底淘汰了一期项目的铅淬火工艺，改为水淬火工艺，于2016年在二期项目竣工验收时一同通过验收。本次淘汰二期项目所有砂淬火工艺，全部更新为环保节能无污染的水淬火工艺。</w:t>
            </w:r>
          </w:p>
          <w:p>
            <w:pPr>
              <w:pStyle w:val="22"/>
              <w:numPr>
                <w:ilvl w:val="0"/>
                <w:numId w:val="0"/>
              </w:numPr>
              <w:spacing w:before="4"/>
              <w:ind w:firstLine="480" w:firstLineChars="200"/>
              <w:jc w:val="both"/>
              <w:rPr>
                <w:rFonts w:hint="default" w:ascii="Times New Roman" w:hAnsi="Times New Roman" w:cs="Times New Roman"/>
                <w:lang w:val="en-US" w:eastAsia="zh-CN"/>
              </w:rPr>
            </w:pPr>
            <w:r>
              <w:rPr>
                <w:rFonts w:hint="default" w:ascii="Times New Roman" w:hAnsi="Times New Roman" w:cs="Times New Roman"/>
                <w:lang w:val="en-US" w:eastAsia="zh-CN"/>
              </w:rPr>
              <w:t>骏马公司产品生产过程中，钢丝经镀铜镀锌后，需经过扩散（回火）工艺，使处理后的钢丝表面形成牢固均匀的黄铜层，方可用于后加工，钢丝热处理温度</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1000</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钢丝热处理前已进行多道水洗，表面不会残留乳化液，故无有机废气产生。原一、二期建设过程中，因行业无先进技术替代，普遍采用砂扩散工艺，并使用天然气加热，能耗高且产品品质不稳定。自三期项目建设起，已采用行业最先进的电感应扩散（中频）工艺，本次淘汰一、二期项目所有砂扩散工艺，全部更新为电感应加热扩散工艺。</w:t>
            </w:r>
          </w:p>
          <w:p>
            <w:pPr>
              <w:pStyle w:val="22"/>
              <w:numPr>
                <w:ilvl w:val="0"/>
                <w:numId w:val="6"/>
              </w:numPr>
              <w:spacing w:before="4"/>
              <w:ind w:left="0" w:leftChars="0" w:firstLine="482" w:firstLineChars="20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部分预处理取消酸洗，改砂带机，节能减排</w:t>
            </w:r>
          </w:p>
          <w:p>
            <w:pPr>
              <w:pStyle w:val="22"/>
              <w:numPr>
                <w:ilvl w:val="0"/>
                <w:numId w:val="0"/>
              </w:numPr>
              <w:spacing w:before="4"/>
              <w:ind w:leftChars="200"/>
              <w:jc w:val="both"/>
              <w:rPr>
                <w:rFonts w:hint="default" w:ascii="Times New Roman" w:hAnsi="Times New Roman" w:cs="Times New Roman"/>
                <w:lang w:val="en-US" w:eastAsia="zh-CN"/>
              </w:rPr>
            </w:pPr>
            <w:r>
              <w:rPr>
                <w:rFonts w:hint="default" w:ascii="Times New Roman" w:hAnsi="Times New Roman" w:cs="Times New Roman"/>
                <w:lang w:val="en-US" w:eastAsia="zh-CN"/>
              </w:rPr>
              <w:t>工艺流程图：</w:t>
            </w:r>
          </w:p>
          <w:p>
            <w:pPr>
              <w:pStyle w:val="22"/>
              <w:numPr>
                <w:ilvl w:val="0"/>
                <w:numId w:val="0"/>
              </w:numPr>
              <w:spacing w:before="4"/>
              <w:ind w:leftChars="20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880485" cy="1365885"/>
                  <wp:effectExtent l="0" t="0" r="5715"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3880485" cy="1365885"/>
                          </a:xfrm>
                          <a:prstGeom prst="rect">
                            <a:avLst/>
                          </a:prstGeom>
                          <a:noFill/>
                          <a:ln>
                            <a:noFill/>
                          </a:ln>
                        </pic:spPr>
                      </pic:pic>
                    </a:graphicData>
                  </a:graphic>
                </wp:inline>
              </w:drawing>
            </w:r>
          </w:p>
          <w:p>
            <w:pPr>
              <w:pStyle w:val="22"/>
              <w:numPr>
                <w:ilvl w:val="0"/>
                <w:numId w:val="0"/>
              </w:numPr>
              <w:spacing w:before="4"/>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图3-3 部分预处理取消酸洗</w:t>
            </w:r>
            <w:r>
              <w:rPr>
                <w:rFonts w:hint="default" w:ascii="Times New Roman" w:hAnsi="Times New Roman" w:cs="Times New Roman"/>
                <w:b/>
                <w:bCs/>
                <w:color w:val="auto"/>
                <w:lang w:val="en-US" w:eastAsia="zh-CN"/>
              </w:rPr>
              <w:t>改砂带机</w:t>
            </w:r>
            <w:r>
              <w:rPr>
                <w:rFonts w:hint="default" w:ascii="Times New Roman" w:hAnsi="Times New Roman" w:cs="Times New Roman"/>
                <w:b/>
                <w:bCs/>
                <w:color w:val="auto"/>
                <w:sz w:val="24"/>
                <w:szCs w:val="24"/>
                <w:lang w:val="en-US" w:eastAsia="zh-CN"/>
              </w:rPr>
              <w:t>工艺流程图</w:t>
            </w:r>
          </w:p>
          <w:p>
            <w:pPr>
              <w:pStyle w:val="22"/>
              <w:numPr>
                <w:ilvl w:val="0"/>
                <w:numId w:val="0"/>
              </w:numPr>
              <w:spacing w:before="4"/>
              <w:ind w:leftChars="200"/>
              <w:jc w:val="both"/>
              <w:rPr>
                <w:rFonts w:hint="default" w:ascii="Times New Roman" w:hAnsi="Times New Roman" w:cs="Times New Roman"/>
                <w:lang w:val="en-US" w:eastAsia="zh-CN"/>
              </w:rPr>
            </w:pPr>
            <w:r>
              <w:rPr>
                <w:rFonts w:hint="default" w:ascii="Times New Roman" w:hAnsi="Times New Roman" w:cs="Times New Roman"/>
                <w:lang w:val="en-US" w:eastAsia="zh-CN"/>
              </w:rPr>
              <w:t>工艺流程说明：</w:t>
            </w:r>
          </w:p>
          <w:p>
            <w:pPr>
              <w:pStyle w:val="22"/>
              <w:numPr>
                <w:ilvl w:val="0"/>
                <w:numId w:val="0"/>
              </w:numPr>
              <w:spacing w:before="4"/>
              <w:ind w:firstLine="480" w:firstLineChars="200"/>
              <w:jc w:val="both"/>
              <w:rPr>
                <w:rFonts w:hint="default" w:ascii="Times New Roman" w:hAnsi="Times New Roman" w:cs="Times New Roman"/>
                <w:lang w:val="en-US" w:eastAsia="zh-CN"/>
              </w:rPr>
            </w:pPr>
            <w:r>
              <w:rPr>
                <w:rFonts w:hint="default" w:ascii="Times New Roman" w:hAnsi="Times New Roman" w:cs="Times New Roman"/>
                <w:lang w:val="en-US" w:eastAsia="zh-CN"/>
              </w:rPr>
              <w:t>原盘条预处理，需采用酸洗除锈工艺；本次技改淘汰一期101车间3个预处理酸洗槽（盐酸）、二期201车间5个预处理酸洗槽（硫酸）、三期401车间3个预处理酸洗槽（盐酸），调整为18台砂带机（并联，连续作业）。砂带机的主要结构：砂带、容纳砂带的砂带壳体、电机、容纳电机的电机壳体、手柄、主动轮、从动轮以及连接所述电机与主动轮的传动装置；工作原理：借助于张紧机构使之张紧，和驱动轮使之高速运动，并在一定压力作用下，使砂带与工件表面接触以实现磨削加工的整个过程。砂带机除锈过程产生的废铁屑比重较大，易于沉降，同时对砂带机进行加盖，故砂带机除锈过程中不易产生粉尘，仅产生废铁屑、废砂带。本次技改淘汰预处理酸洗槽后，原电镀作业线产生的废酸不再重复利用，直接委外处置。</w:t>
            </w:r>
          </w:p>
          <w:p>
            <w:pPr>
              <w:pStyle w:val="22"/>
              <w:numPr>
                <w:ilvl w:val="0"/>
                <w:numId w:val="6"/>
              </w:numPr>
              <w:spacing w:before="4"/>
              <w:ind w:left="0" w:leftChars="0" w:firstLine="482" w:firstLineChars="20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更换高效污泥烘干设备对固废进行预处理</w:t>
            </w:r>
          </w:p>
          <w:p>
            <w:pPr>
              <w:pStyle w:val="22"/>
              <w:numPr>
                <w:ilvl w:val="0"/>
                <w:numId w:val="0"/>
              </w:numPr>
              <w:spacing w:before="4"/>
              <w:ind w:leftChars="200"/>
              <w:jc w:val="both"/>
              <w:rPr>
                <w:rFonts w:hint="default" w:ascii="Times New Roman" w:hAnsi="Times New Roman" w:cs="Times New Roman"/>
                <w:lang w:val="en-US" w:eastAsia="zh-CN"/>
              </w:rPr>
            </w:pPr>
            <w:r>
              <w:rPr>
                <w:rFonts w:hint="default" w:ascii="Times New Roman" w:hAnsi="Times New Roman" w:cs="Times New Roman"/>
                <w:lang w:val="en-US" w:eastAsia="zh-CN"/>
              </w:rPr>
              <w:t>工艺流程图：</w:t>
            </w:r>
          </w:p>
          <w:p>
            <w:pPr>
              <w:pStyle w:val="22"/>
              <w:numPr>
                <w:ilvl w:val="0"/>
                <w:numId w:val="0"/>
              </w:numPr>
              <w:spacing w:before="4"/>
              <w:ind w:leftChars="20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668395" cy="1398905"/>
                  <wp:effectExtent l="0" t="0" r="1905" b="444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3668395" cy="1398905"/>
                          </a:xfrm>
                          <a:prstGeom prst="rect">
                            <a:avLst/>
                          </a:prstGeom>
                          <a:noFill/>
                          <a:ln>
                            <a:noFill/>
                          </a:ln>
                        </pic:spPr>
                      </pic:pic>
                    </a:graphicData>
                  </a:graphic>
                </wp:inline>
              </w:drawing>
            </w:r>
          </w:p>
          <w:p>
            <w:pPr>
              <w:pStyle w:val="22"/>
              <w:numPr>
                <w:ilvl w:val="0"/>
                <w:numId w:val="0"/>
              </w:numPr>
              <w:spacing w:before="4"/>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图3-4 污泥烘干设备更换为高效污泥烘干设备工艺流程图</w:t>
            </w:r>
          </w:p>
          <w:p>
            <w:pPr>
              <w:pStyle w:val="22"/>
              <w:numPr>
                <w:ilvl w:val="0"/>
                <w:numId w:val="0"/>
              </w:numPr>
              <w:spacing w:before="4"/>
              <w:ind w:leftChars="200"/>
              <w:jc w:val="both"/>
              <w:rPr>
                <w:rFonts w:hint="default" w:ascii="Times New Roman" w:hAnsi="Times New Roman" w:cs="Times New Roman"/>
                <w:lang w:val="en-US" w:eastAsia="zh-CN"/>
              </w:rPr>
            </w:pPr>
            <w:r>
              <w:rPr>
                <w:rFonts w:hint="default" w:ascii="Times New Roman" w:hAnsi="Times New Roman" w:cs="Times New Roman"/>
                <w:lang w:val="en-US" w:eastAsia="zh-CN"/>
              </w:rPr>
              <w:t>工艺流程说明：</w:t>
            </w:r>
          </w:p>
          <w:p>
            <w:pPr>
              <w:pStyle w:val="22"/>
              <w:numPr>
                <w:ilvl w:val="0"/>
                <w:numId w:val="0"/>
              </w:numPr>
              <w:spacing w:before="4"/>
              <w:ind w:firstLine="480" w:firstLineChars="200"/>
              <w:jc w:val="both"/>
              <w:rPr>
                <w:rFonts w:hint="default" w:ascii="Times New Roman" w:hAnsi="Times New Roman" w:cs="Times New Roman"/>
                <w:lang w:val="en-US" w:eastAsia="zh-CN"/>
              </w:rPr>
            </w:pPr>
            <w:r>
              <w:rPr>
                <w:rFonts w:hint="default" w:ascii="Times New Roman" w:hAnsi="Times New Roman" w:cs="Times New Roman"/>
                <w:lang w:val="en-US" w:eastAsia="zh-CN"/>
              </w:rPr>
              <w:t>原污泥烘干机损坏后无法修复报废，新添置一台常州欧朋干燥设备有限公司KJG-65高效空心桨叶干燥机（空心桨叶干燥机是一种以热传导为主的卧式搅拌型干燥机，干燥时所需热量是依靠热传导间接加热，故蒸汽不与污泥直接接触）；在污泥含水率偏高时，集中开启烘干机降低污泥含水率，蒸汽使用量1200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/a，年烘干污泥量540t/a，烘干温度约为90</w:t>
            </w:r>
            <w:r>
              <w:rPr>
                <w:rFonts w:hint="default" w:ascii="Times New Roman" w:hAnsi="Times New Roman" w:eastAsia="宋体" w:cs="Times New Roman"/>
                <w:lang w:val="en-US" w:eastAsia="zh-CN"/>
              </w:rPr>
              <w:t>℃</w:t>
            </w:r>
            <w:r>
              <w:rPr>
                <w:rFonts w:hint="default" w:ascii="Times New Roman" w:hAnsi="Times New Roman" w:cs="Times New Roman"/>
                <w:lang w:val="en-US" w:eastAsia="zh-CN"/>
              </w:rPr>
              <w:t>。污泥烘干过程产生的废气主要污染因子为NH</w:t>
            </w:r>
            <w:r>
              <w:rPr>
                <w:rFonts w:hint="default" w:ascii="Times New Roman" w:hAnsi="Times New Roman" w:cs="Times New Roman"/>
                <w:vertAlign w:val="subscript"/>
                <w:lang w:val="en-US" w:eastAsia="zh-CN"/>
              </w:rPr>
              <w:t>3</w:t>
            </w:r>
            <w:r>
              <w:rPr>
                <w:rFonts w:hint="default" w:ascii="Times New Roman" w:hAnsi="Times New Roman" w:cs="Times New Roman"/>
                <w:lang w:val="en-US" w:eastAsia="zh-CN"/>
              </w:rPr>
              <w:t>、H</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S，该部分废气经捕集罩收集送入新增的1套水喷淋装置处理后通过新增的1根15米高排气筒排放。</w:t>
            </w:r>
          </w:p>
          <w:p>
            <w:pPr>
              <w:pStyle w:val="22"/>
              <w:numPr>
                <w:ilvl w:val="0"/>
                <w:numId w:val="0"/>
              </w:numPr>
              <w:spacing w:line="364" w:lineRule="auto"/>
              <w:ind w:right="-29" w:rightChars="0" w:firstLine="480" w:firstLineChars="200"/>
              <w:rPr>
                <w:rFonts w:hint="default" w:ascii="Times New Roman" w:hAnsi="Times New Roman" w:eastAsia="宋体" w:cs="Times New Roman"/>
                <w:color w:val="auto"/>
                <w:lang w:val="en-US" w:eastAsia="zh-CN"/>
              </w:rPr>
            </w:pPr>
          </w:p>
        </w:tc>
      </w:tr>
    </w:tbl>
    <w:p>
      <w:pPr>
        <w:rPr>
          <w:rFonts w:hint="default" w:ascii="Times New Roman" w:hAnsi="Times New Roman" w:eastAsia="宋体" w:cs="Times New Roman"/>
          <w:b/>
          <w:bCs/>
          <w:color w:val="auto"/>
          <w:sz w:val="28"/>
          <w:szCs w:val="28"/>
          <w:lang w:val="zh-CN"/>
        </w:rPr>
      </w:pPr>
      <w:r>
        <w:rPr>
          <w:rFonts w:hint="default" w:ascii="Times New Roman" w:hAnsi="Times New Roman" w:eastAsia="宋体" w:cs="Times New Roman"/>
          <w:b/>
          <w:bCs/>
          <w:color w:val="auto"/>
          <w:sz w:val="28"/>
          <w:szCs w:val="28"/>
          <w:lang w:val="zh-CN"/>
        </w:rPr>
        <w:br w:type="page"/>
      </w:r>
    </w:p>
    <w:p>
      <w:pPr>
        <w:shd w:val="clear"/>
        <w:ind w:left="0" w:leftChars="0" w:firstLine="0" w:firstLineChars="0"/>
        <w:outlineLvl w:val="0"/>
        <w:rPr>
          <w:rFonts w:hint="default" w:ascii="Times New Roman" w:hAnsi="Times New Roman" w:eastAsia="宋体" w:cs="Times New Roman"/>
          <w:b/>
          <w:bCs/>
          <w:color w:val="auto"/>
          <w:sz w:val="28"/>
          <w:szCs w:val="28"/>
          <w:highlight w:val="none"/>
          <w:lang w:val="zh-CN"/>
        </w:rPr>
      </w:pPr>
      <w:bookmarkStart w:id="11" w:name="_Toc3609"/>
      <w:bookmarkStart w:id="12" w:name="_Toc2103"/>
      <w:r>
        <w:rPr>
          <w:rFonts w:hint="default" w:ascii="Times New Roman" w:hAnsi="Times New Roman" w:eastAsia="宋体" w:cs="Times New Roman"/>
          <w:b/>
          <w:bCs/>
          <w:color w:val="auto"/>
          <w:sz w:val="28"/>
          <w:szCs w:val="28"/>
          <w:highlight w:val="none"/>
          <w:lang w:val="zh-CN"/>
        </w:rPr>
        <w:t>表四、《报告表》主要结论、建议及审批部门审批决定</w:t>
      </w:r>
      <w:bookmarkEnd w:id="11"/>
      <w:bookmarkEnd w:id="12"/>
    </w:p>
    <w:tbl>
      <w:tblPr>
        <w:tblStyle w:val="16"/>
        <w:tblW w:w="8715"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6" w:hRule="atLeast"/>
        </w:trPr>
        <w:tc>
          <w:tcPr>
            <w:tcW w:w="8715" w:type="dxa"/>
            <w:vAlign w:val="top"/>
          </w:tcPr>
          <w:p>
            <w:pPr>
              <w:keepNext w:val="0"/>
              <w:keepLines w:val="0"/>
              <w:pageBreakBefore w:val="0"/>
              <w:widowControl w:val="0"/>
              <w:numPr>
                <w:ilvl w:val="0"/>
                <w:numId w:val="0"/>
              </w:numPr>
              <w:kinsoku/>
              <w:wordWrap/>
              <w:overflowPunct/>
              <w:topLinePunct w:val="0"/>
              <w:bidi w:val="0"/>
              <w:spacing w:line="360" w:lineRule="auto"/>
              <w:ind w:left="420" w:leftChars="0"/>
              <w:textAlignment w:val="auto"/>
              <w:rPr>
                <w:rFonts w:hint="default" w:ascii="Times New Roman" w:hAnsi="Times New Roman" w:cs="Times New Roman"/>
                <w:b/>
                <w:bCs/>
                <w:color w:val="auto"/>
                <w:lang w:val="zh-CN"/>
              </w:rPr>
            </w:pPr>
            <w:r>
              <w:rPr>
                <w:rFonts w:hint="default" w:ascii="Times New Roman" w:hAnsi="Times New Roman" w:cs="Times New Roman"/>
                <w:b/>
                <w:bCs/>
                <w:color w:val="auto"/>
                <w:lang w:val="en-US" w:eastAsia="zh-CN"/>
              </w:rPr>
              <w:t>1、</w:t>
            </w:r>
            <w:r>
              <w:rPr>
                <w:rFonts w:hint="default" w:ascii="Times New Roman" w:hAnsi="Times New Roman" w:cs="Times New Roman"/>
                <w:b/>
                <w:bCs/>
                <w:color w:val="auto"/>
                <w:lang w:val="zh-CN"/>
              </w:rPr>
              <w:t>《报告表》主要结论</w:t>
            </w:r>
          </w:p>
          <w:p>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通过对项目所在地区的环境现状评价以及项目的环境影响分析，认为本项目落实评价所提出的全部治理措施后，对周围环境的影响可控制在允许范围内，具有环境可行性</w:t>
            </w:r>
            <w:r>
              <w:rPr>
                <w:rFonts w:hint="default" w:ascii="Times New Roman" w:hAnsi="Times New Roman" w:cs="Times New Roman"/>
                <w:color w:val="auto"/>
                <w:lang w:val="en-US" w:eastAsia="zh-CN"/>
              </w:rPr>
              <w:t>。</w:t>
            </w:r>
          </w:p>
          <w:p>
            <w:pPr>
              <w:keepNext w:val="0"/>
              <w:keepLines w:val="0"/>
              <w:pageBreakBefore w:val="0"/>
              <w:widowControl w:val="0"/>
              <w:numPr>
                <w:ilvl w:val="0"/>
                <w:numId w:val="0"/>
              </w:numPr>
              <w:kinsoku/>
              <w:wordWrap/>
              <w:overflowPunct/>
              <w:topLinePunct w:val="0"/>
              <w:bidi w:val="0"/>
              <w:spacing w:line="360" w:lineRule="auto"/>
              <w:ind w:left="420" w:leftChars="0"/>
              <w:textAlignment w:val="auto"/>
              <w:rPr>
                <w:rFonts w:hint="default" w:ascii="Times New Roman" w:hAnsi="Times New Roman" w:eastAsia="宋体" w:cs="Times New Roman"/>
                <w:b/>
                <w:bCs/>
                <w:color w:val="auto"/>
                <w:lang w:val="zh-CN"/>
              </w:rPr>
            </w:pP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val="zh-CN"/>
              </w:rPr>
              <w:t>《报告表》建议</w:t>
            </w:r>
          </w:p>
          <w:p>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上述评价结论是根据建设方提供的生产规模、工艺流程、原辅材料用量及与此对应的排污情况基础上进行的，如果生产品种、规模、工艺流程、生产设备布局和污染防治设施发生重大变化，建设单位应按环保部门的要求另行申报。</w:t>
            </w:r>
          </w:p>
          <w:p>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 xml:space="preserve">根据张家港市骏马钢帘线有限公司已取得的土地证 </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 xml:space="preserve">张国用 </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2014</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 xml:space="preserve"> 第 015047 号</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，项目现状用地属于工业用地。对照《张家港市城市总体规划 (2011-2030) 》</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2018 年修改</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市域用地规划图，本项目所在厂区用地为规划居住用地，如后期本项目所在厂区用地性质调整，建设单位应积极配合当地政府开展相应工作。</w:t>
            </w:r>
          </w:p>
          <w:p>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cs="Times New Roman"/>
                <w:color w:val="auto"/>
                <w:lang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3</w:t>
            </w:r>
            <w:r>
              <w:rPr>
                <w:rFonts w:hint="eastAsia" w:ascii="Times New Roman" w:hAnsi="Times New Roman" w:cs="Times New Roman"/>
                <w:color w:val="auto"/>
                <w:lang w:eastAsia="zh-CN"/>
              </w:rPr>
              <w:t>）</w:t>
            </w:r>
            <w:r>
              <w:rPr>
                <w:rFonts w:hint="default" w:ascii="Times New Roman" w:hAnsi="Times New Roman" w:cs="Times New Roman"/>
                <w:color w:val="auto"/>
                <w:lang w:eastAsia="zh-CN"/>
              </w:rPr>
              <w:t>建设项目在项目实施过程中，务必认真落实各项治理措施。公司应十分重视引进和建立先进的环境保护管理模式，强化职工自身的环保意识和安全生产技能。</w:t>
            </w:r>
          </w:p>
          <w:p>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cs="Times New Roman"/>
                <w:color w:val="auto"/>
                <w:lang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4</w:t>
            </w:r>
            <w:r>
              <w:rPr>
                <w:rFonts w:hint="eastAsia" w:ascii="Times New Roman" w:hAnsi="Times New Roman" w:cs="Times New Roman"/>
                <w:color w:val="auto"/>
                <w:lang w:eastAsia="zh-CN"/>
              </w:rPr>
              <w:t>）</w:t>
            </w:r>
            <w:r>
              <w:rPr>
                <w:rFonts w:hint="default" w:ascii="Times New Roman" w:hAnsi="Times New Roman" w:cs="Times New Roman"/>
                <w:color w:val="auto"/>
                <w:lang w:eastAsia="zh-CN"/>
              </w:rPr>
              <w:t>加强对固体废物的管理，严格按照苏州市的相关要求执行。应设置相应的固废堆放场，并须有防扬散、防流失、防漏防渗措施，落实固废无害化处理措施。</w:t>
            </w:r>
          </w:p>
          <w:p>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cs="Times New Roman"/>
                <w:color w:val="auto"/>
                <w:lang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5</w:t>
            </w:r>
            <w:r>
              <w:rPr>
                <w:rFonts w:hint="eastAsia" w:ascii="Times New Roman" w:hAnsi="Times New Roman" w:cs="Times New Roman"/>
                <w:color w:val="auto"/>
                <w:lang w:eastAsia="zh-CN"/>
              </w:rPr>
              <w:t>）</w:t>
            </w:r>
            <w:r>
              <w:rPr>
                <w:rFonts w:hint="default" w:ascii="Times New Roman" w:hAnsi="Times New Roman" w:cs="Times New Roman"/>
                <w:color w:val="auto"/>
                <w:lang w:eastAsia="zh-CN"/>
              </w:rPr>
              <w:t>建设单位应对环境治理设施开展安全风险辨识管控，要健全内部污染防治设施稳定运行和管理责任制度，严格依据标准规范建设环境治理设施，确保环境治理设施安全、稳定、有效 运行。</w:t>
            </w:r>
          </w:p>
          <w:p>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cs="Times New Roman"/>
                <w:color w:val="auto"/>
                <w:lang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6</w:t>
            </w:r>
            <w:r>
              <w:rPr>
                <w:rFonts w:hint="eastAsia" w:ascii="Times New Roman" w:hAnsi="Times New Roman" w:cs="Times New Roman"/>
                <w:color w:val="auto"/>
                <w:lang w:eastAsia="zh-CN"/>
              </w:rPr>
              <w:t>）</w:t>
            </w:r>
            <w:r>
              <w:rPr>
                <w:rFonts w:hint="default" w:ascii="Times New Roman" w:hAnsi="Times New Roman" w:cs="Times New Roman"/>
                <w:color w:val="auto"/>
                <w:lang w:eastAsia="zh-CN"/>
              </w:rPr>
              <w:t>合理布局，较高噪声设备应尽量远离厂界，做好必要的减震隔声措施，以确保厂界噪声达标。</w:t>
            </w:r>
          </w:p>
          <w:p>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cs="Times New Roman"/>
                <w:color w:val="auto"/>
                <w:lang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7</w:t>
            </w:r>
            <w:r>
              <w:rPr>
                <w:rFonts w:hint="eastAsia" w:ascii="Times New Roman" w:hAnsi="Times New Roman" w:cs="Times New Roman"/>
                <w:color w:val="auto"/>
                <w:lang w:eastAsia="zh-CN"/>
              </w:rPr>
              <w:t>）</w:t>
            </w:r>
            <w:r>
              <w:rPr>
                <w:rFonts w:hint="default" w:ascii="Times New Roman" w:hAnsi="Times New Roman" w:cs="Times New Roman"/>
                <w:color w:val="auto"/>
                <w:lang w:eastAsia="zh-CN"/>
              </w:rPr>
              <w:t>制定并落实各种相关的生产管理制度，加强对职工的培训教育。</w:t>
            </w:r>
          </w:p>
          <w:p>
            <w:pPr>
              <w:keepNext w:val="0"/>
              <w:keepLines w:val="0"/>
              <w:pageBreakBefore w:val="0"/>
              <w:widowControl w:val="0"/>
              <w:kinsoku/>
              <w:wordWrap/>
              <w:overflowPunct/>
              <w:topLinePunct w:val="0"/>
              <w:bidi w:val="0"/>
              <w:snapToGrid w:val="0"/>
              <w:spacing w:line="360" w:lineRule="auto"/>
              <w:ind w:firstLine="480" w:firstLineChars="200"/>
              <w:rPr>
                <w:rFonts w:hint="default"/>
                <w:color w:val="auto"/>
                <w:lang w:val="en-US"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8</w:t>
            </w:r>
            <w:r>
              <w:rPr>
                <w:rFonts w:hint="eastAsia" w:ascii="Times New Roman" w:hAnsi="Times New Roman" w:cs="Times New Roman"/>
                <w:color w:val="auto"/>
                <w:lang w:eastAsia="zh-CN"/>
              </w:rPr>
              <w:t>）</w:t>
            </w:r>
            <w:r>
              <w:rPr>
                <w:rFonts w:hint="default" w:ascii="Times New Roman" w:hAnsi="Times New Roman" w:cs="Times New Roman"/>
                <w:color w:val="auto"/>
                <w:lang w:eastAsia="zh-CN"/>
              </w:rPr>
              <w:t>加强风险防范措施，将事故发生的概率降到最低。</w:t>
            </w:r>
          </w:p>
          <w:p>
            <w:pPr>
              <w:keepNext w:val="0"/>
              <w:keepLines w:val="0"/>
              <w:pageBreakBefore w:val="0"/>
              <w:widowControl w:val="0"/>
              <w:numPr>
                <w:ilvl w:val="0"/>
                <w:numId w:val="0"/>
              </w:numPr>
              <w:kinsoku/>
              <w:wordWrap/>
              <w:overflowPunct/>
              <w:topLinePunct w:val="0"/>
              <w:bidi w:val="0"/>
              <w:spacing w:line="360" w:lineRule="auto"/>
              <w:ind w:left="420" w:leftChars="0"/>
              <w:textAlignment w:val="auto"/>
              <w:rPr>
                <w:rFonts w:hint="default" w:ascii="Times New Roman" w:hAnsi="Times New Roman" w:eastAsia="宋体" w:cs="Times New Roman"/>
                <w:b/>
                <w:bCs/>
                <w:color w:val="auto"/>
                <w:lang w:val="en-US" w:eastAsia="zh-CN"/>
              </w:rPr>
            </w:pPr>
          </w:p>
          <w:p>
            <w:pPr>
              <w:keepNext w:val="0"/>
              <w:keepLines w:val="0"/>
              <w:pageBreakBefore w:val="0"/>
              <w:widowControl w:val="0"/>
              <w:numPr>
                <w:ilvl w:val="0"/>
                <w:numId w:val="0"/>
              </w:numPr>
              <w:kinsoku/>
              <w:wordWrap/>
              <w:overflowPunct/>
              <w:topLinePunct w:val="0"/>
              <w:bidi w:val="0"/>
              <w:spacing w:line="360" w:lineRule="auto"/>
              <w:ind w:left="420" w:leftChars="0"/>
              <w:textAlignment w:val="auto"/>
              <w:rPr>
                <w:rFonts w:hint="default" w:ascii="Times New Roman" w:hAnsi="Times New Roman" w:eastAsia="宋体" w:cs="Times New Roman"/>
                <w:b/>
                <w:bCs/>
                <w:color w:val="auto"/>
                <w:lang w:val="en-US" w:eastAsia="zh-CN"/>
              </w:rPr>
            </w:pPr>
          </w:p>
          <w:p>
            <w:pPr>
              <w:keepNext w:val="0"/>
              <w:keepLines w:val="0"/>
              <w:pageBreakBefore w:val="0"/>
              <w:widowControl w:val="0"/>
              <w:numPr>
                <w:ilvl w:val="0"/>
                <w:numId w:val="0"/>
              </w:numPr>
              <w:kinsoku/>
              <w:wordWrap/>
              <w:overflowPunct/>
              <w:topLinePunct w:val="0"/>
              <w:bidi w:val="0"/>
              <w:spacing w:line="360" w:lineRule="auto"/>
              <w:ind w:left="420" w:leftChars="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lang w:val="zh-CN" w:eastAsia="zh-CN"/>
              </w:rPr>
              <w:t>审批部门审批决定</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苏州市生态环境局</w:t>
            </w:r>
            <w:r>
              <w:rPr>
                <w:rFonts w:hint="default" w:ascii="Times New Roman" w:hAnsi="Times New Roman" w:cs="Times New Roman"/>
                <w:color w:val="auto"/>
                <w:lang w:val="en-US" w:eastAsia="zh-CN"/>
              </w:rPr>
              <w:t>审批意见</w:t>
            </w:r>
            <w:r>
              <w:rPr>
                <w:rFonts w:hint="default" w:ascii="Times New Roman" w:hAnsi="Times New Roman" w:cs="Times New Roman"/>
                <w:color w:val="auto"/>
                <w:szCs w:val="21"/>
                <w:highlight w:val="none"/>
                <w:lang w:eastAsia="zh-CN"/>
              </w:rPr>
              <w:t>及落实情况见表</w:t>
            </w:r>
            <w:r>
              <w:rPr>
                <w:rFonts w:hint="default" w:ascii="Times New Roman" w:hAnsi="Times New Roman" w:cs="Times New Roman"/>
                <w:color w:val="auto"/>
                <w:szCs w:val="21"/>
                <w:highlight w:val="none"/>
                <w:lang w:val="en-US" w:eastAsia="zh-CN"/>
              </w:rPr>
              <w:t>4-1</w:t>
            </w:r>
            <w:r>
              <w:rPr>
                <w:rFonts w:hint="default" w:ascii="Times New Roman" w:hAnsi="Times New Roman" w:cs="Times New Roman"/>
                <w:color w:val="auto"/>
                <w:lang w:val="en-US" w:eastAsia="zh-CN"/>
              </w:rPr>
              <w:t>。</w:t>
            </w:r>
          </w:p>
          <w:p>
            <w:pPr>
              <w:keepNext w:val="0"/>
              <w:keepLines w:val="0"/>
              <w:pageBreakBefore w:val="0"/>
              <w:widowControl w:val="0"/>
              <w:kinsoku/>
              <w:wordWrap/>
              <w:topLinePunct w:val="0"/>
              <w:bidi w:val="0"/>
              <w:snapToGrid w:val="0"/>
              <w:spacing w:line="360" w:lineRule="auto"/>
              <w:ind w:left="0" w:leftChars="0" w:firstLine="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表4-1 环评批复落实情况一览表</w:t>
            </w:r>
          </w:p>
          <w:tbl>
            <w:tblPr>
              <w:tblStyle w:val="17"/>
              <w:tblW w:w="84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5"/>
              <w:gridCol w:w="4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405" w:type="dxa"/>
                  <w:vAlign w:val="center"/>
                </w:tcPr>
                <w:p>
                  <w:pPr>
                    <w:pStyle w:val="20"/>
                    <w:bidi w:val="0"/>
                    <w:ind w:firstLine="0" w:firstLineChars="0"/>
                    <w:rPr>
                      <w:rFonts w:hint="default" w:ascii="Times New Roman" w:hAnsi="Times New Roman" w:cs="Times New Roman"/>
                      <w:color w:val="auto"/>
                      <w:vertAlign w:val="baseline"/>
                      <w:lang w:val="en-US" w:eastAsia="zh-CN"/>
                    </w:rPr>
                  </w:pPr>
                  <w:r>
                    <w:rPr>
                      <w:rFonts w:hint="default" w:ascii="Times New Roman" w:hAnsi="Times New Roman" w:cs="Times New Roman"/>
                      <w:b/>
                      <w:bCs/>
                      <w:color w:val="auto"/>
                      <w:lang w:eastAsia="zh-CN"/>
                    </w:rPr>
                    <w:t>环评批复要求</w:t>
                  </w:r>
                </w:p>
              </w:tc>
              <w:tc>
                <w:tcPr>
                  <w:tcW w:w="4050" w:type="dxa"/>
                  <w:vAlign w:val="center"/>
                </w:tcPr>
                <w:p>
                  <w:pPr>
                    <w:pStyle w:val="20"/>
                    <w:bidi w:val="0"/>
                    <w:ind w:firstLine="0" w:firstLineChars="0"/>
                    <w:rPr>
                      <w:rFonts w:hint="default" w:ascii="Times New Roman" w:hAnsi="Times New Roman" w:cs="Times New Roman"/>
                      <w:color w:val="auto"/>
                      <w:vertAlign w:val="baseline"/>
                      <w:lang w:val="en-US" w:eastAsia="zh-CN"/>
                    </w:rPr>
                  </w:pPr>
                  <w:r>
                    <w:rPr>
                      <w:rFonts w:hint="default" w:ascii="Times New Roman" w:hAnsi="Times New Roman" w:cs="Times New Roman"/>
                      <w:b/>
                      <w:bCs/>
                      <w:color w:val="auto"/>
                      <w:lang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20"/>
                    <w:bidi w:val="0"/>
                    <w:ind w:firstLine="420" w:firstLineChars="200"/>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你公司报送的《张家港市骏马钢帘线有限公司环保节能技术改造项目环境影响报告表》收悉，经研究，批复如下：</w:t>
                  </w:r>
                </w:p>
                <w:p>
                  <w:pPr>
                    <w:pStyle w:val="20"/>
                    <w:bidi w:val="0"/>
                    <w:ind w:firstLine="420" w:firstLineChars="200"/>
                    <w:jc w:val="left"/>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val="en-US" w:eastAsia="zh-CN"/>
                    </w:rPr>
                    <w:t>一、项目基本情况。本项目利用企业自有厂房，增加硫酸在线回收设备，减少新酸用量和废酸排放；砂扩散（天然气）改电感应加热（电加热），锆砂淬火取消改水淬火；淘汰一期铅淬火改水淬火；部分预处理取消酸洗，改砂带机。</w:t>
                  </w:r>
                </w:p>
              </w:tc>
              <w:tc>
                <w:tcPr>
                  <w:tcW w:w="4050" w:type="dxa"/>
                  <w:vAlign w:val="center"/>
                </w:tcPr>
                <w:p>
                  <w:pPr>
                    <w:pStyle w:val="20"/>
                    <w:bidi w:val="0"/>
                    <w:ind w:firstLine="420" w:firstLineChars="200"/>
                    <w:jc w:val="lef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项目位于</w:t>
                  </w:r>
                  <w:r>
                    <w:rPr>
                      <w:rFonts w:hint="default" w:ascii="Times New Roman" w:hAnsi="Times New Roman" w:cs="Times New Roman"/>
                      <w:color w:val="auto"/>
                      <w:lang w:val="en-US" w:eastAsia="zh-CN"/>
                    </w:rPr>
                    <w:t>张家港市杨舍镇</w:t>
                  </w:r>
                  <w:r>
                    <w:rPr>
                      <w:rFonts w:hint="eastAsia" w:ascii="Times New Roman" w:hAnsi="Times New Roman" w:cs="Times New Roman"/>
                      <w:color w:val="auto"/>
                      <w:lang w:val="en-US" w:eastAsia="zh-CN"/>
                    </w:rPr>
                    <w:t>乘航河东路80号</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企业</w:t>
                  </w:r>
                  <w:r>
                    <w:rPr>
                      <w:rFonts w:hint="default" w:ascii="Times New Roman" w:hAnsi="Times New Roman" w:cs="Times New Roman"/>
                      <w:color w:val="auto"/>
                      <w:lang w:val="en-US" w:eastAsia="zh-CN"/>
                    </w:rPr>
                    <w:t>利用自有厂房，增加硫酸在线回收设备，减少新酸用量和废酸排放；砂扩散（天然气）改电感应加热（电加热），锆砂淬火取消改水淬火；淘汰一期铅淬火改水淬火；部分预处理取消酸洗，改砂带机。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20"/>
                    <w:bidi w:val="0"/>
                    <w:ind w:firstLine="420" w:firstLineChars="200"/>
                    <w:jc w:val="left"/>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eastAsia="zh-CN"/>
                    </w:rPr>
                    <w:t>二、</w:t>
                  </w:r>
                  <w:r>
                    <w:rPr>
                      <w:rFonts w:hint="default" w:ascii="Times New Roman" w:hAnsi="Times New Roman" w:cs="Times New Roman"/>
                      <w:color w:val="auto"/>
                      <w:sz w:val="21"/>
                      <w:szCs w:val="21"/>
                      <w:lang w:val="en-US" w:eastAsia="zh-CN"/>
                    </w:rPr>
                    <w:t>根据该项目的环评结论，该项目的实施将对生态环境造成一定影响，在切实落实各项污染防治、环境风险防范，确保各类污染物稳定达标排放的前提下，从环保角度分析，该项目建设对环境的不利影响可得到缓解和控制。我局原则同意《报告表》的环境影响评价总体结论和拟采取的生态环境保护措施。</w:t>
                  </w:r>
                </w:p>
              </w:tc>
              <w:tc>
                <w:tcPr>
                  <w:tcW w:w="4050" w:type="dxa"/>
                  <w:vAlign w:val="center"/>
                </w:tcPr>
                <w:p>
                  <w:pPr>
                    <w:pStyle w:val="20"/>
                    <w:bidi w:val="0"/>
                    <w:ind w:firstLine="420"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已落实各项污染防治</w:t>
                  </w:r>
                  <w:r>
                    <w:rPr>
                      <w:rFonts w:hint="eastAsia" w:ascii="Times New Roman" w:hAnsi="Times New Roman" w:cs="Times New Roman"/>
                      <w:color w:val="auto"/>
                      <w:sz w:val="21"/>
                      <w:szCs w:val="21"/>
                      <w:lang w:val="en-US" w:eastAsia="zh-CN"/>
                    </w:rPr>
                    <w:t>、环境风险防范，各类污染物稳定达标排放，详见表七、表八、表九。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20"/>
                    <w:bidi w:val="0"/>
                    <w:ind w:firstLine="420" w:firstLineChars="200"/>
                    <w:jc w:val="left"/>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sz w:val="21"/>
                      <w:szCs w:val="21"/>
                      <w:lang w:eastAsia="zh-CN"/>
                    </w:rPr>
                    <w:t>三、该项目建设必须严格执行环境保护设施与主体工程同时设计、同时施工、同时投产的“三同时”制度。在项目工程设计、建设和环境管理中，须落实报告表中提出的各项环保要求，确保各类污染物达标排放。</w:t>
                  </w:r>
                </w:p>
              </w:tc>
              <w:tc>
                <w:tcPr>
                  <w:tcW w:w="4050" w:type="dxa"/>
                  <w:vAlign w:val="center"/>
                </w:tcPr>
                <w:p>
                  <w:pPr>
                    <w:pStyle w:val="20"/>
                    <w:bidi w:val="0"/>
                    <w:ind w:firstLine="420" w:firstLineChars="20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w:t>
                  </w:r>
                  <w:r>
                    <w:rPr>
                      <w:rFonts w:hint="eastAsia" w:ascii="Times New Roman" w:hAnsi="Times New Roman" w:cs="Times New Roman"/>
                      <w:color w:val="auto"/>
                      <w:sz w:val="21"/>
                      <w:szCs w:val="21"/>
                      <w:lang w:val="en-US" w:eastAsia="zh-CN"/>
                    </w:rPr>
                    <w:t>、废气</w:t>
                  </w:r>
                  <w:r>
                    <w:rPr>
                      <w:rFonts w:hint="eastAsia" w:ascii="Times New Roman" w:hAnsi="Times New Roman" w:eastAsia="宋体" w:cs="Times New Roman"/>
                      <w:color w:val="auto"/>
                      <w:sz w:val="21"/>
                      <w:szCs w:val="21"/>
                      <w:lang w:val="en-US" w:eastAsia="zh-CN"/>
                    </w:rPr>
                    <w:t>处理均已满足环评及批复要求</w:t>
                  </w: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20"/>
                    <w:bidi w:val="0"/>
                    <w:ind w:firstLine="420" w:firstLineChars="200"/>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1.新增的酸雾净化塔废水经厂内现有污水站处理后，全部回用于生产系统，不外排；不新增生活废水</w:t>
                  </w:r>
                  <w:r>
                    <w:rPr>
                      <w:rFonts w:hint="default" w:ascii="Times New Roman" w:hAnsi="Times New Roman" w:cs="Times New Roman"/>
                      <w:color w:val="auto"/>
                      <w:sz w:val="21"/>
                      <w:szCs w:val="21"/>
                      <w:lang w:val="en-US" w:eastAsia="zh-CN"/>
                    </w:rPr>
                    <w:t>。</w:t>
                  </w:r>
                </w:p>
              </w:tc>
              <w:tc>
                <w:tcPr>
                  <w:tcW w:w="4050" w:type="dxa"/>
                  <w:vAlign w:val="center"/>
                </w:tcPr>
                <w:p>
                  <w:pPr>
                    <w:pStyle w:val="20"/>
                    <w:bidi w:val="0"/>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lang w:eastAsia="zh-CN"/>
                    </w:rPr>
                    <w:t>满足要求</w:t>
                  </w:r>
                  <w:r>
                    <w:rPr>
                      <w:rFonts w:hint="eastAsia" w:ascii="Times New Roman" w:hAnsi="Times New Roman"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20"/>
                    <w:bidi w:val="0"/>
                    <w:ind w:firstLine="420" w:firstLineChars="200"/>
                    <w:jc w:val="left"/>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.废酸回收废气经酸雾净化塔处理后通过15米高排气筒排放；污泥烘干过程产生的废气经水喷淋塔处理后通过15米高排气筒排放，废气排放按报告表所列标准执行。</w:t>
                  </w:r>
                </w:p>
              </w:tc>
              <w:tc>
                <w:tcPr>
                  <w:tcW w:w="4050" w:type="dxa"/>
                  <w:vAlign w:val="center"/>
                </w:tcPr>
                <w:p>
                  <w:pPr>
                    <w:pStyle w:val="20"/>
                    <w:bidi w:val="0"/>
                    <w:ind w:firstLine="420" w:firstLineChars="200"/>
                    <w:jc w:val="left"/>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验收监测期间，废气监测值满足环评批复要求，详见表八。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20"/>
                    <w:bidi w:val="0"/>
                    <w:ind w:firstLine="420" w:firstLineChars="200"/>
                    <w:jc w:val="left"/>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3.采取先进的低噪声设备，隔声、吸声、消声，降低交通噪声等措施，厂界噪声排放执行《工业企业厂界环境噪声排放标准》（GB12348-2008）3类标准</w:t>
                  </w:r>
                  <w:r>
                    <w:rPr>
                      <w:rFonts w:hint="default" w:ascii="Times New Roman" w:hAnsi="Times New Roman" w:cs="Times New Roman"/>
                      <w:color w:val="auto"/>
                      <w:lang w:eastAsia="zh-CN"/>
                    </w:rPr>
                    <w:t>。</w:t>
                  </w:r>
                </w:p>
              </w:tc>
              <w:tc>
                <w:tcPr>
                  <w:tcW w:w="4050" w:type="dxa"/>
                  <w:vAlign w:val="center"/>
                </w:tcPr>
                <w:p>
                  <w:pPr>
                    <w:pStyle w:val="20"/>
                    <w:bidi w:val="0"/>
                    <w:ind w:firstLine="420" w:firstLineChars="200"/>
                    <w:jc w:val="left"/>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eastAsia="zh-CN"/>
                    </w:rPr>
                    <w:t>验收监测期间，项目环境噪声监测值满足环评批复要求。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20"/>
                    <w:bidi w:val="0"/>
                    <w:ind w:firstLine="420" w:firstLineChars="200"/>
                    <w:jc w:val="left"/>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4.硫酸亚铁在经危废鉴定不属于危险废物前须按危险废物要求管理。制定和落实固体废物的厂内收集和贮存、综合利用、安全处置的实施方案，实现“零排放”。危险废物必须委托具备危险废物处理、经营许可证的单位进行处理；在转移处理危险废物过程中，须按规定办理专项审批手续。厂区内按国家《危险废物贮存污染控制标准》（GB 18597-20</w:t>
                  </w:r>
                  <w:r>
                    <w:rPr>
                      <w:rFonts w:hint="eastAsia" w:ascii="Times New Roman" w:hAnsi="Times New Roman" w:cs="Times New Roman"/>
                      <w:color w:val="auto"/>
                      <w:lang w:val="en-US" w:eastAsia="zh-CN"/>
                    </w:rPr>
                    <w:t>23</w:t>
                  </w:r>
                  <w:r>
                    <w:rPr>
                      <w:rFonts w:hint="default" w:ascii="Times New Roman" w:hAnsi="Times New Roman" w:cs="Times New Roman"/>
                      <w:color w:val="auto"/>
                      <w:lang w:val="en-US" w:eastAsia="zh-CN"/>
                    </w:rPr>
                    <w:t>）的要求做好废液（渣）等危险废物的收集和贮存</w:t>
                  </w:r>
                  <w:r>
                    <w:rPr>
                      <w:rFonts w:hint="default" w:ascii="Times New Roman" w:hAnsi="Times New Roman" w:cs="Times New Roman"/>
                      <w:color w:val="auto"/>
                      <w:lang w:eastAsia="zh-CN"/>
                    </w:rPr>
                    <w:t>。</w:t>
                  </w:r>
                </w:p>
              </w:tc>
              <w:tc>
                <w:tcPr>
                  <w:tcW w:w="4050" w:type="dxa"/>
                  <w:vAlign w:val="center"/>
                </w:tcPr>
                <w:p>
                  <w:pPr>
                    <w:pStyle w:val="20"/>
                    <w:bidi w:val="0"/>
                    <w:ind w:firstLine="420" w:firstLineChars="200"/>
                    <w:jc w:val="left"/>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硫酸亚铁</w:t>
                  </w:r>
                  <w:r>
                    <w:rPr>
                      <w:rFonts w:hint="eastAsia" w:ascii="Times New Roman" w:hAnsi="Times New Roman" w:cs="Times New Roman"/>
                      <w:color w:val="auto"/>
                      <w:lang w:val="en-US" w:eastAsia="zh-CN"/>
                    </w:rPr>
                    <w:t>经鉴别属于一般固体废物，</w:t>
                  </w:r>
                  <w:r>
                    <w:rPr>
                      <w:rFonts w:hint="eastAsia"/>
                      <w:color w:val="auto"/>
                      <w:lang w:val="en-US" w:eastAsia="zh-CN"/>
                    </w:rPr>
                    <w:t>其他</w:t>
                  </w:r>
                  <w:r>
                    <w:rPr>
                      <w:rFonts w:hint="eastAsia"/>
                      <w:color w:val="auto"/>
                      <w:lang w:eastAsia="zh-CN"/>
                    </w:rPr>
                    <w:t>各类固废均按环评要求进行了规范处置，委托的危废处置单位均具备相应资质。</w:t>
                  </w:r>
                  <w:r>
                    <w:rPr>
                      <w:rFonts w:hint="default" w:ascii="Times New Roman" w:hAnsi="Times New Roman" w:cs="Times New Roman"/>
                      <w:color w:val="auto"/>
                      <w:lang w:val="en-US" w:eastAsia="zh-CN"/>
                    </w:rPr>
                    <w:t>厂区内</w:t>
                  </w:r>
                  <w:r>
                    <w:rPr>
                      <w:rFonts w:hint="eastAsia" w:ascii="Times New Roman" w:hAnsi="Times New Roman" w:cs="Times New Roman"/>
                      <w:color w:val="auto"/>
                      <w:lang w:val="en-US" w:eastAsia="zh-CN"/>
                    </w:rPr>
                    <w:t>已</w:t>
                  </w:r>
                  <w:r>
                    <w:rPr>
                      <w:rFonts w:hint="default" w:ascii="Times New Roman" w:hAnsi="Times New Roman" w:cs="Times New Roman"/>
                      <w:color w:val="auto"/>
                      <w:lang w:val="en-US" w:eastAsia="zh-CN"/>
                    </w:rPr>
                    <w:t>按国家《危险废物贮存污染控制标准》（GB 18597-20</w:t>
                  </w:r>
                  <w:r>
                    <w:rPr>
                      <w:rFonts w:hint="eastAsia" w:ascii="Times New Roman" w:hAnsi="Times New Roman" w:cs="Times New Roman"/>
                      <w:color w:val="auto"/>
                      <w:lang w:val="en-US" w:eastAsia="zh-CN"/>
                    </w:rPr>
                    <w:t>23</w:t>
                  </w:r>
                  <w:r>
                    <w:rPr>
                      <w:rFonts w:hint="default" w:ascii="Times New Roman" w:hAnsi="Times New Roman" w:cs="Times New Roman"/>
                      <w:color w:val="auto"/>
                      <w:lang w:val="en-US" w:eastAsia="zh-CN"/>
                    </w:rPr>
                    <w:t>）的要求做好废液（渣）等危险废物的收集和贮存</w:t>
                  </w:r>
                  <w:r>
                    <w:rPr>
                      <w:rFonts w:hint="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20"/>
                    <w:bidi w:val="0"/>
                    <w:ind w:firstLine="0" w:firstLineChars="0"/>
                    <w:jc w:val="left"/>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 xml:space="preserve">    5.建设单位应落实环评文件提出的以厂界为起始点向外设置100m卫生防护距离的要求</w:t>
                  </w:r>
                  <w:r>
                    <w:rPr>
                      <w:rFonts w:hint="default" w:ascii="Times New Roman" w:hAnsi="Times New Roman" w:cs="Times New Roman"/>
                      <w:color w:val="auto"/>
                      <w:lang w:eastAsia="zh-CN"/>
                    </w:rPr>
                    <w:t>。</w:t>
                  </w:r>
                </w:p>
              </w:tc>
              <w:tc>
                <w:tcPr>
                  <w:tcW w:w="4050" w:type="dxa"/>
                  <w:vAlign w:val="center"/>
                </w:tcPr>
                <w:p>
                  <w:pPr>
                    <w:pStyle w:val="20"/>
                    <w:bidi w:val="0"/>
                    <w:ind w:firstLine="420" w:firstLineChars="200"/>
                    <w:jc w:val="left"/>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eastAsia="zh-CN"/>
                    </w:rPr>
                    <w:t>已按照环评及批复要求落实，卫生防护距离内无居民住宅、医院、学校等环境敏感目标。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20"/>
                    <w:bidi w:val="0"/>
                    <w:ind w:firstLine="420" w:firstLineChars="20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6.严格落实《报告表》提出的事故风险防范措施和应急预案，防止生产过程、储运过程及污染治理设施事故发生。</w:t>
                  </w:r>
                </w:p>
              </w:tc>
              <w:tc>
                <w:tcPr>
                  <w:tcW w:w="4050" w:type="dxa"/>
                  <w:vAlign w:val="center"/>
                </w:tcPr>
                <w:p>
                  <w:pPr>
                    <w:pStyle w:val="20"/>
                    <w:bidi w:val="0"/>
                    <w:ind w:firstLine="420" w:firstLineChars="20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20"/>
                    <w:bidi w:val="0"/>
                    <w:ind w:firstLine="420" w:firstLineChars="20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该项目在设计、施工建设和生产中总平面布局以及主要工艺设备、储运设施、公辅工程、污染防治设施安装、使用中涉及安全生产的应遵守设计使用规范和相关主管部门要求。建设单位应对环境治理设施开展安全风险辨识管控，要健全内部污染防治设施稳定运行和管理责任制度，严格依据标准规范建设环境治理设施，确保环境治理设施安全、稳定、有效运行。</w:t>
                  </w:r>
                </w:p>
              </w:tc>
              <w:tc>
                <w:tcPr>
                  <w:tcW w:w="4050" w:type="dxa"/>
                  <w:vAlign w:val="center"/>
                </w:tcPr>
                <w:p>
                  <w:pPr>
                    <w:pStyle w:val="20"/>
                    <w:bidi w:val="0"/>
                    <w:ind w:firstLine="420" w:firstLineChars="20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20"/>
                    <w:bidi w:val="0"/>
                    <w:ind w:firstLine="420" w:firstLineChars="20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8.按《江苏省排污口设置及规范化整治管理办法》（苏环控﹝1997﹞122号）的要求完善各类排污口和标志设置。</w:t>
                  </w:r>
                </w:p>
              </w:tc>
              <w:tc>
                <w:tcPr>
                  <w:tcW w:w="4050" w:type="dxa"/>
                  <w:vAlign w:val="center"/>
                </w:tcPr>
                <w:p>
                  <w:pPr>
                    <w:pStyle w:val="20"/>
                    <w:bidi w:val="0"/>
                    <w:ind w:firstLine="420" w:firstLineChars="20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20"/>
                    <w:bidi w:val="0"/>
                    <w:ind w:firstLine="420" w:firstLineChars="20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9.按《报告表》提出的要求对施工期和运营期执行环境监测制度，编制自行监测方案并开展监测工作，监测结果及相关资料备查。</w:t>
                  </w:r>
                </w:p>
              </w:tc>
              <w:tc>
                <w:tcPr>
                  <w:tcW w:w="4050" w:type="dxa"/>
                  <w:vAlign w:val="center"/>
                </w:tcPr>
                <w:p>
                  <w:pPr>
                    <w:pStyle w:val="20"/>
                    <w:bidi w:val="0"/>
                    <w:ind w:firstLine="420" w:firstLineChars="20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20"/>
                    <w:numPr>
                      <w:ilvl w:val="0"/>
                      <w:numId w:val="0"/>
                    </w:numPr>
                    <w:bidi w:val="0"/>
                    <w:ind w:firstLine="420" w:firstLineChars="200"/>
                    <w:jc w:val="left"/>
                    <w:rPr>
                      <w:rFonts w:hint="default" w:ascii="Times New Roman" w:hAnsi="Times New Roman" w:cs="Times New Roman"/>
                      <w:color w:val="auto"/>
                      <w:lang w:eastAsia="zh-CN"/>
                    </w:rPr>
                  </w:pPr>
                  <w:r>
                    <w:rPr>
                      <w:rFonts w:hint="eastAsia" w:ascii="Times New Roman" w:hAnsi="Times New Roman" w:cs="Times New Roman"/>
                      <w:color w:val="auto"/>
                      <w:lang w:val="en-US" w:eastAsia="zh-CN"/>
                    </w:rPr>
                    <w:t>四</w:t>
                  </w:r>
                  <w:r>
                    <w:rPr>
                      <w:rFonts w:hint="default" w:ascii="Times New Roman" w:hAnsi="Times New Roman" w:cs="Times New Roman"/>
                      <w:color w:val="auto"/>
                      <w:lang w:eastAsia="zh-CN"/>
                    </w:rPr>
                    <w:t>、本项目实施后，污染物年排放量核定</w:t>
                  </w:r>
                  <w:r>
                    <w:rPr>
                      <w:rFonts w:hint="default" w:ascii="Times New Roman" w:hAnsi="Times New Roman" w:cs="Times New Roman"/>
                      <w:color w:val="auto"/>
                      <w:lang w:val="en-US" w:eastAsia="zh-CN"/>
                    </w:rPr>
                    <w:t>为</w:t>
                  </w:r>
                  <w:r>
                    <w:rPr>
                      <w:rFonts w:hint="default" w:ascii="Times New Roman" w:hAnsi="Times New Roman" w:cs="Times New Roman"/>
                      <w:color w:val="auto"/>
                      <w:lang w:eastAsia="zh-CN"/>
                    </w:rPr>
                    <w:t>：</w:t>
                  </w:r>
                </w:p>
                <w:p>
                  <w:pPr>
                    <w:pStyle w:val="20"/>
                    <w:bidi w:val="0"/>
                    <w:ind w:firstLine="420" w:firstLineChars="200"/>
                    <w:jc w:val="left"/>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大气污染物：硫酸雾（有组织）≤0.0675t、氨（有组织）≤0.0224t、硫化氢（有组织）≤0.0022t、硫酸雾（无组织）≤0.075t、氨（无组织）≤0.012t、硫化氢（无组织）≤0.001t</w:t>
                  </w:r>
                  <w:r>
                    <w:rPr>
                      <w:rFonts w:hint="default" w:ascii="Times New Roman" w:hAnsi="Times New Roman" w:cs="Times New Roman"/>
                      <w:color w:val="auto"/>
                      <w:lang w:eastAsia="zh-CN"/>
                    </w:rPr>
                    <w:t>。</w:t>
                  </w:r>
                </w:p>
              </w:tc>
              <w:tc>
                <w:tcPr>
                  <w:tcW w:w="4050" w:type="dxa"/>
                  <w:vAlign w:val="center"/>
                </w:tcPr>
                <w:p>
                  <w:pPr>
                    <w:pStyle w:val="20"/>
                    <w:bidi w:val="0"/>
                    <w:ind w:firstLine="420" w:firstLineChars="200"/>
                    <w:jc w:val="left"/>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eastAsia="zh-CN"/>
                    </w:rPr>
                    <w:t>废气年排放量满足批复的总量指标要求</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详见表十一。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20"/>
                    <w:bidi w:val="0"/>
                    <w:ind w:firstLine="420" w:firstLineChars="200"/>
                    <w:jc w:val="left"/>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五、</w:t>
                  </w:r>
                  <w:r>
                    <w:rPr>
                      <w:rFonts w:hint="default" w:ascii="Times New Roman" w:hAnsi="Times New Roman" w:cs="Times New Roman"/>
                      <w:color w:val="auto"/>
                      <w:lang w:val="en-US" w:eastAsia="zh-CN"/>
                    </w:rPr>
                    <w:t>依照《排污许可管理条例》规定，及时申请排污许可证</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未取得排污许可证的，不得排放污染物</w:t>
                  </w:r>
                  <w:r>
                    <w:rPr>
                      <w:rFonts w:hint="default" w:ascii="Times New Roman" w:hAnsi="Times New Roman" w:cs="Times New Roman"/>
                      <w:color w:val="auto"/>
                      <w:lang w:eastAsia="zh-CN"/>
                    </w:rPr>
                    <w:t>。</w:t>
                  </w:r>
                </w:p>
              </w:tc>
              <w:tc>
                <w:tcPr>
                  <w:tcW w:w="4050"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eastAsia="zh-C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20"/>
                    <w:bidi w:val="0"/>
                    <w:ind w:firstLine="420" w:firstLineChars="20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六、</w:t>
                  </w:r>
                  <w:r>
                    <w:rPr>
                      <w:rFonts w:hint="default" w:ascii="Times New Roman" w:hAnsi="Times New Roman" w:cs="Times New Roman"/>
                      <w:color w:val="auto"/>
                      <w:lang w:eastAsia="zh-CN"/>
                    </w:rPr>
                    <w:t>如该项目所涉及污染物排放标准发生变化，应执行最新的排放标准。</w:t>
                  </w:r>
                </w:p>
              </w:tc>
              <w:tc>
                <w:tcPr>
                  <w:tcW w:w="4050" w:type="dxa"/>
                  <w:vAlign w:val="center"/>
                </w:tcPr>
                <w:p>
                  <w:pPr>
                    <w:pStyle w:val="20"/>
                    <w:bidi w:val="0"/>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20"/>
                    <w:bidi w:val="0"/>
                    <w:ind w:firstLine="420" w:firstLineChars="20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七、</w:t>
                  </w:r>
                  <w:r>
                    <w:rPr>
                      <w:rFonts w:hint="default" w:ascii="Times New Roman" w:hAnsi="Times New Roman" w:cs="Times New Roman"/>
                      <w:color w:val="auto"/>
                      <w:lang w:eastAsia="zh-CN"/>
                    </w:rPr>
                    <w:t>该项目在建设过程中若项目的性质、规模、地点、 采用的生产工艺或者防治污染、防止生态破坏的措施、设施发生重大变动的，应当重新报批项目的环境影响评价文件。自批准之日起，如超过5年方决定工程开工建设的，环境影响评价文件须报重新审核。</w:t>
                  </w:r>
                </w:p>
              </w:tc>
              <w:tc>
                <w:tcPr>
                  <w:tcW w:w="4050" w:type="dxa"/>
                  <w:vAlign w:val="center"/>
                </w:tcPr>
                <w:p>
                  <w:pPr>
                    <w:pStyle w:val="20"/>
                    <w:bidi w:val="0"/>
                    <w:ind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无重大变动情况。</w:t>
                  </w:r>
                </w:p>
              </w:tc>
            </w:tr>
          </w:tbl>
          <w:p>
            <w:pPr>
              <w:keepNext w:val="0"/>
              <w:keepLines w:val="0"/>
              <w:pageBreakBefore w:val="0"/>
              <w:widowControl w:val="0"/>
              <w:kinsoku/>
              <w:wordWrap/>
              <w:overflowPunct/>
              <w:topLinePunct w:val="0"/>
              <w:bidi w:val="0"/>
              <w:spacing w:line="360" w:lineRule="auto"/>
              <w:rPr>
                <w:rFonts w:hint="default" w:ascii="Times New Roman" w:hAnsi="Times New Roman" w:eastAsia="宋体" w:cs="Times New Roman"/>
                <w:color w:val="auto"/>
              </w:rPr>
            </w:pPr>
          </w:p>
        </w:tc>
      </w:tr>
    </w:tbl>
    <w:p>
      <w:pPr>
        <w:spacing w:line="480" w:lineRule="exact"/>
        <w:rPr>
          <w:rFonts w:hint="default" w:ascii="Times New Roman" w:hAnsi="Times New Roman" w:eastAsia="宋体" w:cs="Times New Roman"/>
          <w:color w:val="auto"/>
          <w:sz w:val="32"/>
          <w:szCs w:val="32"/>
          <w:lang w:val="zh-CN"/>
        </w:rPr>
      </w:pPr>
      <w:r>
        <w:rPr>
          <w:rFonts w:hint="default" w:ascii="Times New Roman" w:hAnsi="Times New Roman" w:eastAsia="宋体" w:cs="Times New Roman"/>
          <w:color w:val="auto"/>
          <w:sz w:val="32"/>
          <w:szCs w:val="32"/>
          <w:lang w:val="zh-CN"/>
        </w:rPr>
        <w:br w:type="page"/>
      </w:r>
    </w:p>
    <w:p>
      <w:pPr>
        <w:ind w:left="0" w:leftChars="0" w:firstLine="0" w:firstLineChars="0"/>
        <w:outlineLvl w:val="0"/>
        <w:rPr>
          <w:rFonts w:hint="default" w:ascii="Times New Roman" w:hAnsi="Times New Roman" w:eastAsia="宋体" w:cs="Times New Roman"/>
          <w:b/>
          <w:bCs/>
          <w:color w:val="auto"/>
          <w:sz w:val="28"/>
          <w:szCs w:val="28"/>
          <w:lang w:val="zh-CN"/>
        </w:rPr>
      </w:pPr>
      <w:bookmarkStart w:id="13" w:name="_Toc16878"/>
      <w:bookmarkStart w:id="14" w:name="_Toc27624"/>
      <w:r>
        <w:rPr>
          <w:rFonts w:hint="default" w:ascii="Times New Roman" w:hAnsi="Times New Roman" w:eastAsia="宋体" w:cs="Times New Roman"/>
          <w:b/>
          <w:bCs/>
          <w:color w:val="auto"/>
          <w:sz w:val="28"/>
          <w:szCs w:val="28"/>
          <w:lang w:val="zh-CN"/>
        </w:rPr>
        <w:t>表五、主要污染源、污染物产生及处置</w:t>
      </w:r>
      <w:bookmarkEnd w:id="13"/>
      <w:bookmarkEnd w:id="14"/>
    </w:p>
    <w:tbl>
      <w:tblPr>
        <w:tblStyle w:val="16"/>
        <w:tblW w:w="8715"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6" w:hRule="atLeast"/>
        </w:trPr>
        <w:tc>
          <w:tcPr>
            <w:tcW w:w="8715" w:type="dxa"/>
            <w:vAlign w:val="top"/>
          </w:tcPr>
          <w:p>
            <w:pPr>
              <w:keepNext w:val="0"/>
              <w:keepLines w:val="0"/>
              <w:pageBreakBefore w:val="0"/>
              <w:widowControl w:val="0"/>
              <w:numPr>
                <w:ilvl w:val="0"/>
                <w:numId w:val="0"/>
              </w:numPr>
              <w:kinsoku/>
              <w:wordWrap/>
              <w:overflowPunct/>
              <w:topLinePunct w:val="0"/>
              <w:bidi w:val="0"/>
              <w:spacing w:line="360" w:lineRule="auto"/>
              <w:ind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sz w:val="24"/>
                <w:lang w:val="en-US" w:eastAsia="zh-CN"/>
              </w:rPr>
              <w:t>1、施工期</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本项目依托企业现有厂房，无土建施工，仅设备安装、布局等室内施工。施工期装卸材料和设备安装过程中易产生机械噪声，混合噪声级约为 75dB(A) 。此阶段为室内施工，噪声源主要集中在室内，对周围环境声环境影响较小。</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施工期废水：主要是施工现场工人的生活污水，生活污水主要含 SS 、COD 。该阶段废水排放量较小，纳入区域污水处理厂，对地表水环境影响较小。</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施工期废气：施工过程中，采取</w:t>
            </w:r>
            <w:r>
              <w:rPr>
                <w:rFonts w:hint="eastAsia" w:ascii="Times New Roman" w:hAnsi="Times New Roman" w:cs="Times New Roman"/>
                <w:color w:val="auto"/>
                <w:lang w:val="en-US" w:eastAsia="zh-CN"/>
              </w:rPr>
              <w:t>防扬尘</w:t>
            </w:r>
            <w:r>
              <w:rPr>
                <w:rFonts w:hint="default" w:ascii="Times New Roman" w:hAnsi="Times New Roman" w:eastAsia="宋体" w:cs="Times New Roman"/>
                <w:color w:val="auto"/>
                <w:lang w:val="en-US" w:eastAsia="zh-CN"/>
              </w:rPr>
              <w:t>措施对大气环境影响较小。</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施工期固体废弃物：主要为废弃的装修材料等建筑垃圾以及各类装修材料的包装箱、袋和生活垃圾等。包装物销售给废品收购站，建筑垃圾将由环卫统一拉走处理。</w:t>
            </w:r>
            <w:r>
              <w:rPr>
                <w:rFonts w:hint="eastAsia" w:ascii="Times New Roman" w:hAnsi="Times New Roman" w:cs="Times New Roman"/>
                <w:color w:val="auto"/>
                <w:lang w:val="en-US" w:eastAsia="zh-CN"/>
              </w:rPr>
              <w:t>未</w:t>
            </w:r>
            <w:r>
              <w:rPr>
                <w:rFonts w:hint="default" w:ascii="Times New Roman" w:hAnsi="Times New Roman" w:eastAsia="宋体" w:cs="Times New Roman"/>
                <w:color w:val="auto"/>
                <w:lang w:val="en-US" w:eastAsia="zh-CN"/>
              </w:rPr>
              <w:t>对周围环境产生较大影响。</w:t>
            </w:r>
          </w:p>
          <w:p>
            <w:pPr>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综上，项目施工期注意采取各项污染防治措施，对周围环境声环境影响较小。</w:t>
            </w:r>
          </w:p>
          <w:p>
            <w:pPr>
              <w:numPr>
                <w:ilvl w:val="0"/>
                <w:numId w:val="0"/>
              </w:numPr>
              <w:ind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2、运营期</w:t>
            </w:r>
          </w:p>
          <w:p>
            <w:pPr>
              <w:keepNext w:val="0"/>
              <w:keepLines w:val="0"/>
              <w:pageBreakBefore w:val="0"/>
              <w:widowControl w:val="0"/>
              <w:numPr>
                <w:ilvl w:val="0"/>
                <w:numId w:val="0"/>
              </w:numPr>
              <w:kinsoku/>
              <w:wordWrap/>
              <w:overflowPunct/>
              <w:topLinePunct w:val="0"/>
              <w:bidi w:val="0"/>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（1）废水</w:t>
            </w:r>
          </w:p>
          <w:p>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项目不新增员工，故不新增生活污水量。</w:t>
            </w:r>
          </w:p>
          <w:p>
            <w:pPr>
              <w:spacing w:line="360" w:lineRule="auto"/>
              <w:ind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项目生产废水包括：酸雾净化塔喷淋水和锆砂淬火改水淬火产生的水洗废水。</w:t>
            </w:r>
          </w:p>
          <w:p>
            <w:pPr>
              <w:spacing w:line="360" w:lineRule="auto"/>
              <w:ind w:firstLine="480" w:firstLineChars="200"/>
              <w:rPr>
                <w:rFonts w:hint="eastAsia" w:ascii="Times New Roman" w:hAnsi="Times New Roman" w:cs="Times New Roman"/>
                <w:color w:val="auto"/>
                <w:lang w:val="en-US" w:eastAsia="zh-CN"/>
              </w:rPr>
            </w:pPr>
            <w:r>
              <w:rPr>
                <w:rFonts w:hint="default" w:ascii="Times New Roman" w:hAnsi="Times New Roman" w:eastAsia="宋体" w:cs="Times New Roman"/>
                <w:color w:val="auto"/>
                <w:lang w:val="en-US" w:eastAsia="zh-CN"/>
              </w:rPr>
              <w:t>①</w:t>
            </w:r>
            <w:r>
              <w:rPr>
                <w:rFonts w:hint="eastAsia" w:ascii="Times New Roman" w:hAnsi="Times New Roman" w:eastAsia="宋体" w:cs="Times New Roman"/>
                <w:color w:val="auto"/>
                <w:lang w:val="en-US" w:eastAsia="zh-CN"/>
              </w:rPr>
              <w:t>硫酸在线回收：</w:t>
            </w:r>
            <w:r>
              <w:rPr>
                <w:rFonts w:hint="eastAsia" w:ascii="Times New Roman" w:hAnsi="Times New Roman" w:cs="Times New Roman"/>
                <w:color w:val="auto"/>
                <w:lang w:val="en-US" w:eastAsia="zh-CN"/>
              </w:rPr>
              <w:t>酸雾净化塔喷淋水循环使用，高浓度废水每2个月更换一次，更换废水排入厂区现有废水处理站处理。</w:t>
            </w:r>
          </w:p>
          <w:p>
            <w:pPr>
              <w:spacing w:line="360" w:lineRule="auto"/>
              <w:ind w:firstLine="480" w:firstLineChars="20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w:t>
            </w:r>
            <w:r>
              <w:rPr>
                <w:rFonts w:hint="eastAsia" w:ascii="Times New Roman" w:hAnsi="Times New Roman" w:eastAsia="宋体" w:cs="Times New Roman"/>
                <w:color w:val="auto"/>
                <w:lang w:val="en-US" w:eastAsia="zh-CN"/>
              </w:rPr>
              <w:t>锆砂淬火改水淬火：二期201、301车间热处理单元使用锆砂对加热的钢丝进行淬火，用水对钢丝冷却和洗去钢丝表面的带出物，连续排放水洗废水，废水进入厂区污水处理站。</w:t>
            </w:r>
          </w:p>
          <w:p>
            <w:pPr>
              <w:keepNext w:val="0"/>
              <w:keepLines w:val="0"/>
              <w:pageBreakBefore w:val="0"/>
              <w:widowControl w:val="0"/>
              <w:kinsoku/>
              <w:wordWrap/>
              <w:topLinePunct w:val="0"/>
              <w:bidi w:val="0"/>
              <w:snapToGrid w:val="0"/>
              <w:spacing w:line="360" w:lineRule="auto"/>
              <w:ind w:left="0" w:leftChars="0" w:firstLine="0" w:firstLineChars="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表5-1 项目废水产生及排放状况</w:t>
            </w:r>
          </w:p>
          <w:tbl>
            <w:tblPr>
              <w:tblStyle w:val="17"/>
              <w:tblW w:w="8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327"/>
              <w:gridCol w:w="2670"/>
              <w:gridCol w:w="159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413" w:type="dxa"/>
                  <w:vAlign w:val="center"/>
                </w:tcPr>
                <w:p>
                  <w:pPr>
                    <w:pStyle w:val="20"/>
                    <w:bidi w:val="0"/>
                    <w:ind w:firstLine="0" w:firstLineChars="0"/>
                    <w:jc w:val="center"/>
                    <w:rPr>
                      <w:rFonts w:hint="default" w:ascii="Times New Roman" w:hAnsi="Times New Roman" w:eastAsia="宋体" w:cs="Times New Roman"/>
                      <w:b/>
                      <w:bCs/>
                      <w:color w:val="auto"/>
                      <w:sz w:val="24"/>
                      <w:szCs w:val="24"/>
                      <w:vertAlign w:val="baseline"/>
                    </w:rPr>
                  </w:pPr>
                  <w:r>
                    <w:rPr>
                      <w:rFonts w:hint="default" w:ascii="Times New Roman" w:hAnsi="Times New Roman" w:cs="Times New Roman"/>
                      <w:b/>
                      <w:bCs/>
                      <w:i w:val="0"/>
                      <w:iCs w:val="0"/>
                      <w:color w:val="auto"/>
                    </w:rPr>
                    <w:t>污染</w:t>
                  </w:r>
                  <w:r>
                    <w:rPr>
                      <w:rFonts w:hint="default" w:ascii="Times New Roman" w:hAnsi="Times New Roman" w:cs="Times New Roman"/>
                      <w:b/>
                      <w:bCs/>
                      <w:i w:val="0"/>
                      <w:iCs w:val="0"/>
                      <w:color w:val="auto"/>
                      <w:lang w:eastAsia="zh-CN"/>
                    </w:rPr>
                    <w:t>物</w:t>
                  </w:r>
                  <w:r>
                    <w:rPr>
                      <w:rFonts w:hint="default" w:ascii="Times New Roman" w:hAnsi="Times New Roman" w:cs="Times New Roman"/>
                      <w:b/>
                      <w:bCs/>
                      <w:i w:val="0"/>
                      <w:iCs w:val="0"/>
                      <w:color w:val="auto"/>
                    </w:rPr>
                    <w:t>来源</w:t>
                  </w:r>
                </w:p>
              </w:tc>
              <w:tc>
                <w:tcPr>
                  <w:tcW w:w="1327" w:type="dxa"/>
                  <w:vAlign w:val="center"/>
                </w:tcPr>
                <w:p>
                  <w:pPr>
                    <w:pStyle w:val="20"/>
                    <w:bidi w:val="0"/>
                    <w:ind w:firstLine="0" w:firstLineChars="0"/>
                    <w:jc w:val="center"/>
                    <w:rPr>
                      <w:rFonts w:hint="default" w:ascii="Times New Roman" w:hAnsi="Times New Roman" w:eastAsia="宋体" w:cs="Times New Roman"/>
                      <w:b/>
                      <w:bCs/>
                      <w:color w:val="auto"/>
                      <w:sz w:val="24"/>
                      <w:szCs w:val="24"/>
                      <w:vertAlign w:val="baseline"/>
                    </w:rPr>
                  </w:pPr>
                  <w:r>
                    <w:rPr>
                      <w:rFonts w:hint="default" w:ascii="Times New Roman" w:hAnsi="Times New Roman" w:cs="Times New Roman"/>
                      <w:b/>
                      <w:bCs/>
                      <w:i w:val="0"/>
                      <w:iCs w:val="0"/>
                      <w:color w:val="auto"/>
                      <w:lang w:eastAsia="zh-CN"/>
                    </w:rPr>
                    <w:t>废水量（</w:t>
                  </w:r>
                  <w:r>
                    <w:rPr>
                      <w:rFonts w:hint="default" w:ascii="Times New Roman" w:hAnsi="Times New Roman" w:cs="Times New Roman"/>
                      <w:b/>
                      <w:bCs/>
                      <w:i w:val="0"/>
                      <w:iCs w:val="0"/>
                      <w:color w:val="auto"/>
                      <w:lang w:val="en-US" w:eastAsia="zh-CN"/>
                    </w:rPr>
                    <w:t>t/a</w:t>
                  </w:r>
                  <w:r>
                    <w:rPr>
                      <w:rFonts w:hint="default" w:ascii="Times New Roman" w:hAnsi="Times New Roman" w:cs="Times New Roman"/>
                      <w:b/>
                      <w:bCs/>
                      <w:i w:val="0"/>
                      <w:iCs w:val="0"/>
                      <w:color w:val="auto"/>
                      <w:lang w:eastAsia="zh-CN"/>
                    </w:rPr>
                    <w:t>）</w:t>
                  </w:r>
                </w:p>
              </w:tc>
              <w:tc>
                <w:tcPr>
                  <w:tcW w:w="2670" w:type="dxa"/>
                  <w:vAlign w:val="center"/>
                </w:tcPr>
                <w:p>
                  <w:pPr>
                    <w:pStyle w:val="20"/>
                    <w:bidi w:val="0"/>
                    <w:ind w:firstLine="0" w:firstLineChars="0"/>
                    <w:jc w:val="center"/>
                    <w:rPr>
                      <w:rFonts w:hint="default" w:ascii="Times New Roman" w:hAnsi="Times New Roman" w:eastAsia="宋体" w:cs="Times New Roman"/>
                      <w:b/>
                      <w:bCs/>
                      <w:color w:val="auto"/>
                      <w:sz w:val="24"/>
                      <w:szCs w:val="24"/>
                      <w:vertAlign w:val="baseline"/>
                    </w:rPr>
                  </w:pPr>
                  <w:r>
                    <w:rPr>
                      <w:rFonts w:hint="default" w:ascii="Times New Roman" w:hAnsi="Times New Roman" w:cs="Times New Roman"/>
                      <w:b/>
                      <w:bCs/>
                      <w:i w:val="0"/>
                      <w:iCs w:val="0"/>
                      <w:color w:val="auto"/>
                    </w:rPr>
                    <w:t>环评设计防治措施</w:t>
                  </w:r>
                </w:p>
              </w:tc>
              <w:tc>
                <w:tcPr>
                  <w:tcW w:w="1590" w:type="dxa"/>
                  <w:vAlign w:val="center"/>
                </w:tcPr>
                <w:p>
                  <w:pPr>
                    <w:pStyle w:val="20"/>
                    <w:bidi w:val="0"/>
                    <w:ind w:firstLine="0" w:firstLineChars="0"/>
                    <w:jc w:val="center"/>
                    <w:rPr>
                      <w:rFonts w:hint="default" w:ascii="Times New Roman" w:hAnsi="Times New Roman" w:eastAsia="宋体" w:cs="Times New Roman"/>
                      <w:b/>
                      <w:bCs/>
                      <w:color w:val="auto"/>
                      <w:sz w:val="24"/>
                      <w:szCs w:val="24"/>
                      <w:vertAlign w:val="baseline"/>
                    </w:rPr>
                  </w:pPr>
                  <w:r>
                    <w:rPr>
                      <w:rFonts w:hint="default" w:ascii="Times New Roman" w:hAnsi="Times New Roman" w:cs="Times New Roman"/>
                      <w:b/>
                      <w:bCs/>
                      <w:i w:val="0"/>
                      <w:iCs w:val="0"/>
                      <w:color w:val="auto"/>
                      <w:lang w:eastAsia="zh-CN"/>
                    </w:rPr>
                    <w:t>实际</w:t>
                  </w:r>
                  <w:r>
                    <w:rPr>
                      <w:rFonts w:hint="default" w:ascii="Times New Roman" w:hAnsi="Times New Roman" w:cs="Times New Roman"/>
                      <w:b/>
                      <w:bCs/>
                      <w:i w:val="0"/>
                      <w:iCs w:val="0"/>
                      <w:color w:val="auto"/>
                      <w:lang w:val="en-US" w:eastAsia="zh-CN"/>
                    </w:rPr>
                    <w:t>量</w:t>
                  </w:r>
                  <w:r>
                    <w:rPr>
                      <w:rFonts w:hint="default" w:ascii="Times New Roman" w:hAnsi="Times New Roman" w:cs="Times New Roman"/>
                      <w:b/>
                      <w:bCs/>
                      <w:i w:val="0"/>
                      <w:iCs w:val="0"/>
                      <w:color w:val="auto"/>
                      <w:lang w:eastAsia="zh-CN"/>
                    </w:rPr>
                    <w:t>（</w:t>
                  </w:r>
                  <w:r>
                    <w:rPr>
                      <w:rFonts w:hint="default" w:ascii="Times New Roman" w:hAnsi="Times New Roman" w:cs="Times New Roman"/>
                      <w:b/>
                      <w:bCs/>
                      <w:i w:val="0"/>
                      <w:iCs w:val="0"/>
                      <w:color w:val="auto"/>
                      <w:lang w:val="en-US" w:eastAsia="zh-CN"/>
                    </w:rPr>
                    <w:t>t/a</w:t>
                  </w:r>
                  <w:r>
                    <w:rPr>
                      <w:rFonts w:hint="default" w:ascii="Times New Roman" w:hAnsi="Times New Roman" w:cs="Times New Roman"/>
                      <w:b/>
                      <w:bCs/>
                      <w:i w:val="0"/>
                      <w:iCs w:val="0"/>
                      <w:color w:val="auto"/>
                      <w:lang w:eastAsia="zh-CN"/>
                    </w:rPr>
                    <w:t>）</w:t>
                  </w:r>
                </w:p>
              </w:tc>
              <w:tc>
                <w:tcPr>
                  <w:tcW w:w="1530" w:type="dxa"/>
                  <w:vAlign w:val="center"/>
                </w:tcPr>
                <w:p>
                  <w:pPr>
                    <w:pStyle w:val="20"/>
                    <w:bidi w:val="0"/>
                    <w:ind w:firstLine="0" w:firstLineChars="0"/>
                    <w:jc w:val="center"/>
                    <w:rPr>
                      <w:rFonts w:hint="default" w:ascii="Times New Roman" w:hAnsi="Times New Roman" w:eastAsia="宋体" w:cs="Times New Roman"/>
                      <w:b/>
                      <w:bCs/>
                      <w:color w:val="auto"/>
                      <w:sz w:val="24"/>
                      <w:szCs w:val="24"/>
                      <w:vertAlign w:val="baseline"/>
                    </w:rPr>
                  </w:pPr>
                  <w:r>
                    <w:rPr>
                      <w:rFonts w:hint="default" w:ascii="Times New Roman" w:hAnsi="Times New Roman" w:cs="Times New Roman"/>
                      <w:b/>
                      <w:bCs/>
                      <w:i w:val="0"/>
                      <w:iCs w:val="0"/>
                      <w:color w:val="auto"/>
                      <w:lang w:val="en-US" w:eastAsia="zh-CN"/>
                    </w:rPr>
                    <w:t>变化量（t/a）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13" w:type="dxa"/>
                  <w:vAlign w:val="center"/>
                </w:tcPr>
                <w:p>
                  <w:pPr>
                    <w:pStyle w:val="19"/>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酸雾净化塔喷淋水</w:t>
                  </w:r>
                </w:p>
              </w:tc>
              <w:tc>
                <w:tcPr>
                  <w:tcW w:w="1327" w:type="dxa"/>
                  <w:vAlign w:val="center"/>
                </w:tcPr>
                <w:p>
                  <w:pPr>
                    <w:pStyle w:val="19"/>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150</w:t>
                  </w:r>
                </w:p>
              </w:tc>
              <w:tc>
                <w:tcPr>
                  <w:tcW w:w="2670" w:type="dxa"/>
                  <w:vAlign w:val="center"/>
                </w:tcPr>
                <w:p>
                  <w:pPr>
                    <w:pStyle w:val="19"/>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厂区现有污水处理站处理达标后全部回用于生产，不外排。</w:t>
                  </w:r>
                </w:p>
              </w:tc>
              <w:tc>
                <w:tcPr>
                  <w:tcW w:w="1590" w:type="dxa"/>
                  <w:vAlign w:val="center"/>
                </w:tcPr>
                <w:p>
                  <w:pPr>
                    <w:pStyle w:val="19"/>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150</w:t>
                  </w:r>
                </w:p>
              </w:tc>
              <w:tc>
                <w:tcPr>
                  <w:tcW w:w="1530" w:type="dxa"/>
                  <w:vAlign w:val="center"/>
                </w:tcPr>
                <w:p>
                  <w:pPr>
                    <w:pStyle w:val="19"/>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413" w:type="dxa"/>
                  <w:vAlign w:val="center"/>
                </w:tcPr>
                <w:p>
                  <w:pPr>
                    <w:pStyle w:val="19"/>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水洗废水</w:t>
                  </w:r>
                </w:p>
              </w:tc>
              <w:tc>
                <w:tcPr>
                  <w:tcW w:w="1327" w:type="dxa"/>
                  <w:vAlign w:val="center"/>
                </w:tcPr>
                <w:p>
                  <w:pPr>
                    <w:pStyle w:val="19"/>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3600</w:t>
                  </w:r>
                </w:p>
              </w:tc>
              <w:tc>
                <w:tcPr>
                  <w:tcW w:w="2670" w:type="dxa"/>
                  <w:vAlign w:val="center"/>
                </w:tcPr>
                <w:p>
                  <w:pPr>
                    <w:pStyle w:val="19"/>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厂区污水处理站处理达标后75%回用于生产，25%通过周家堂河汇入二干河。</w:t>
                  </w:r>
                </w:p>
              </w:tc>
              <w:tc>
                <w:tcPr>
                  <w:tcW w:w="1590" w:type="dxa"/>
                  <w:vAlign w:val="center"/>
                </w:tcPr>
                <w:p>
                  <w:pPr>
                    <w:pStyle w:val="19"/>
                    <w:jc w:val="center"/>
                    <w:rPr>
                      <w:rFonts w:hint="default" w:ascii="Times New Roman" w:hAnsi="Times New Roman" w:eastAsia="宋体" w:cs="Times New Roman"/>
                      <w:b w:val="0"/>
                      <w:bCs w:val="0"/>
                      <w:color w:val="auto"/>
                      <w:sz w:val="21"/>
                      <w:szCs w:val="21"/>
                      <w:lang w:val="en-US" w:eastAsia="zh-CN" w:bidi="ar-SA"/>
                    </w:rPr>
                  </w:pPr>
                  <w:r>
                    <w:rPr>
                      <w:rFonts w:hint="eastAsia" w:ascii="Times New Roman" w:hAnsi="Times New Roman" w:eastAsia="宋体" w:cs="Times New Roman"/>
                      <w:b w:val="0"/>
                      <w:bCs w:val="0"/>
                      <w:color w:val="auto"/>
                      <w:sz w:val="21"/>
                      <w:szCs w:val="21"/>
                      <w:lang w:val="en-US" w:eastAsia="zh-CN"/>
                    </w:rPr>
                    <w:t>3600</w:t>
                  </w:r>
                </w:p>
              </w:tc>
              <w:tc>
                <w:tcPr>
                  <w:tcW w:w="1530" w:type="dxa"/>
                  <w:vAlign w:val="center"/>
                </w:tcPr>
                <w:p>
                  <w:pPr>
                    <w:pStyle w:val="19"/>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0</w:t>
                  </w:r>
                </w:p>
              </w:tc>
            </w:tr>
          </w:tbl>
          <w:p>
            <w:pPr>
              <w:pStyle w:val="19"/>
              <w:rPr>
                <w:rFonts w:hint="default" w:ascii="Times New Roman" w:hAnsi="Times New Roman" w:eastAsia="宋体" w:cs="Times New Roman"/>
                <w:b/>
                <w:bCs/>
                <w:color w:val="auto"/>
                <w:sz w:val="24"/>
                <w:szCs w:val="24"/>
              </w:rPr>
            </w:pPr>
          </w:p>
          <w:tbl>
            <w:tblPr>
              <w:tblStyle w:val="17"/>
              <w:tblW w:w="849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49"/>
              <w:gridCol w:w="4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9" w:type="dxa"/>
                  <w:tcBorders>
                    <w:tl2br w:val="nil"/>
                    <w:tr2bl w:val="nil"/>
                  </w:tcBorders>
                  <w:vAlign w:val="center"/>
                </w:tcPr>
                <w:p>
                  <w:pPr>
                    <w:pStyle w:val="20"/>
                    <w:bidi w:val="0"/>
                    <w:jc w:val="center"/>
                    <w:rPr>
                      <w:rFonts w:hint="default" w:ascii="Times New Roman" w:hAnsi="Times New Roman" w:eastAsia="宋体" w:cs="Times New Roman"/>
                      <w:color w:val="auto"/>
                      <w:lang w:eastAsia="zh-CN"/>
                    </w:rPr>
                  </w:pPr>
                  <w:r>
                    <w:drawing>
                      <wp:inline distT="0" distB="0" distL="114300" distR="114300">
                        <wp:extent cx="2557780" cy="1824990"/>
                        <wp:effectExtent l="0" t="0" r="13970" b="381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6"/>
                                <a:stretch>
                                  <a:fillRect/>
                                </a:stretch>
                              </pic:blipFill>
                              <pic:spPr>
                                <a:xfrm>
                                  <a:off x="0" y="0"/>
                                  <a:ext cx="2557780" cy="1824990"/>
                                </a:xfrm>
                                <a:prstGeom prst="rect">
                                  <a:avLst/>
                                </a:prstGeom>
                                <a:noFill/>
                                <a:ln>
                                  <a:noFill/>
                                </a:ln>
                              </pic:spPr>
                            </pic:pic>
                          </a:graphicData>
                        </a:graphic>
                      </wp:inline>
                    </w:drawing>
                  </w:r>
                </w:p>
              </w:tc>
              <w:tc>
                <w:tcPr>
                  <w:tcW w:w="4250" w:type="dxa"/>
                  <w:tcBorders>
                    <w:tl2br w:val="nil"/>
                    <w:tr2bl w:val="nil"/>
                  </w:tcBorders>
                  <w:vAlign w:val="center"/>
                </w:tcPr>
                <w:p>
                  <w:pPr>
                    <w:pStyle w:val="20"/>
                    <w:bidi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2516505" cy="1887220"/>
                        <wp:effectExtent l="0" t="0" r="9525" b="1905"/>
                        <wp:docPr id="11" name="图片 11" descr="IMG_20230213_14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0213_143811"/>
                                <pic:cNvPicPr>
                                  <a:picLocks noChangeAspect="1"/>
                                </pic:cNvPicPr>
                              </pic:nvPicPr>
                              <pic:blipFill>
                                <a:blip r:embed="rId17"/>
                                <a:stretch>
                                  <a:fillRect/>
                                </a:stretch>
                              </pic:blipFill>
                              <pic:spPr>
                                <a:xfrm>
                                  <a:off x="0" y="0"/>
                                  <a:ext cx="2516505" cy="18872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9" w:type="dxa"/>
                  <w:tcBorders>
                    <w:tl2br w:val="nil"/>
                    <w:tr2bl w:val="nil"/>
                  </w:tcBorders>
                  <w:vAlign w:val="top"/>
                </w:tcPr>
                <w:p>
                  <w:pPr>
                    <w:pStyle w:val="19"/>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color w:val="auto"/>
                      <w:sz w:val="21"/>
                      <w:szCs w:val="21"/>
                      <w:lang w:val="en-US" w:eastAsia="zh-CN"/>
                    </w:rPr>
                    <w:t>污水处理站</w:t>
                  </w:r>
                </w:p>
              </w:tc>
              <w:tc>
                <w:tcPr>
                  <w:tcW w:w="4250" w:type="dxa"/>
                  <w:tcBorders>
                    <w:tl2br w:val="nil"/>
                    <w:tr2bl w:val="nil"/>
                  </w:tcBorders>
                  <w:vAlign w:val="top"/>
                </w:tcPr>
                <w:p>
                  <w:pPr>
                    <w:pStyle w:val="19"/>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废水排口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8499" w:type="dxa"/>
                  <w:gridSpan w:val="2"/>
                  <w:tcBorders>
                    <w:tl2br w:val="nil"/>
                    <w:tr2bl w:val="nil"/>
                  </w:tcBorders>
                  <w:vAlign w:val="center"/>
                </w:tcPr>
                <w:p>
                  <w:pPr>
                    <w:keepNext w:val="0"/>
                    <w:keepLines w:val="0"/>
                    <w:pageBreakBefore w:val="0"/>
                    <w:widowControl w:val="0"/>
                    <w:kinsoku/>
                    <w:wordWrap/>
                    <w:topLinePunct w:val="0"/>
                    <w:bidi w:val="0"/>
                    <w:snapToGrid w:val="0"/>
                    <w:spacing w:line="360" w:lineRule="auto"/>
                    <w:ind w:left="0" w:leftChars="0" w:firstLine="0" w:firstLineChars="0"/>
                    <w:jc w:val="center"/>
                    <w:rPr>
                      <w:rFonts w:hint="default" w:ascii="Times New Roman" w:hAnsi="Times New Roman" w:eastAsia="宋体" w:cs="Times New Roman"/>
                      <w:color w:val="auto"/>
                      <w:lang w:eastAsia="zh-CN"/>
                    </w:rPr>
                  </w:pPr>
                  <w:r>
                    <w:rPr>
                      <w:rFonts w:hint="default" w:ascii="Times New Roman" w:hAnsi="Times New Roman" w:eastAsia="宋体" w:cs="Times New Roman"/>
                      <w:b/>
                      <w:bCs/>
                      <w:color w:val="auto"/>
                      <w:sz w:val="24"/>
                      <w:highlight w:val="none"/>
                      <w:vertAlign w:val="baseline"/>
                      <w:lang w:val="en-US" w:eastAsia="zh-CN"/>
                    </w:rPr>
                    <w:t>图5-1 废水相关设施</w:t>
                  </w:r>
                </w:p>
              </w:tc>
            </w:tr>
          </w:tbl>
          <w:p>
            <w:pPr>
              <w:keepNext w:val="0"/>
              <w:keepLines w:val="0"/>
              <w:pageBreakBefore w:val="0"/>
              <w:widowControl w:val="0"/>
              <w:kinsoku/>
              <w:wordWrap/>
              <w:overflowPunct/>
              <w:topLinePunct w:val="0"/>
              <w:bidi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（2）废气</w:t>
            </w:r>
          </w:p>
          <w:p>
            <w:pPr>
              <w:adjustRightInd w:val="0"/>
              <w:snapToGrid w:val="0"/>
              <w:spacing w:line="360" w:lineRule="auto"/>
              <w:ind w:firstLine="48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项目有组织废气包括硫酸在线回收产生的硫酸雾，天然气燃烧产生</w:t>
            </w:r>
            <w:r>
              <w:rPr>
                <w:rFonts w:hint="eastAsia" w:ascii="Times New Roman" w:hAnsi="Times New Roman" w:eastAsia="宋体" w:cs="Times New Roman"/>
                <w:color w:val="auto"/>
                <w:lang w:val="en-US" w:eastAsia="zh-CN"/>
              </w:rPr>
              <w:t>的二氧化硫、氮氧化物和烟尘，污泥烘</w:t>
            </w:r>
            <w:r>
              <w:rPr>
                <w:rFonts w:hint="eastAsia" w:ascii="Times New Roman" w:hAnsi="Times New Roman" w:cs="Times New Roman"/>
                <w:color w:val="auto"/>
                <w:lang w:val="en-US" w:eastAsia="zh-CN"/>
              </w:rPr>
              <w:t>干设备产生的氨和硫化氢。未收集的硫酸雾废气和污泥烘干废气无组织排放。</w:t>
            </w:r>
          </w:p>
          <w:p>
            <w:pPr>
              <w:adjustRightInd w:val="0"/>
              <w:snapToGrid w:val="0"/>
              <w:spacing w:line="360" w:lineRule="auto"/>
              <w:ind w:firstLine="480" w:firstLineChars="200"/>
              <w:rPr>
                <w:rFonts w:hint="eastAsia" w:ascii="Times New Roman" w:hAnsi="Times New Roman" w:cs="Times New Roman"/>
                <w:color w:val="auto"/>
                <w:lang w:val="en-US" w:eastAsia="zh-CN"/>
              </w:rPr>
            </w:pPr>
            <w:r>
              <w:rPr>
                <w:rFonts w:hint="default" w:ascii="Times New Roman" w:hAnsi="Times New Roman" w:eastAsia="宋体" w:cs="Times New Roman"/>
                <w:color w:val="auto"/>
                <w:lang w:val="en-US" w:eastAsia="zh-CN"/>
              </w:rPr>
              <w:t>①</w:t>
            </w:r>
            <w:r>
              <w:rPr>
                <w:rFonts w:hint="eastAsia" w:ascii="Times New Roman" w:hAnsi="Times New Roman" w:eastAsia="宋体" w:cs="Times New Roman"/>
                <w:color w:val="auto"/>
                <w:lang w:val="en-US" w:eastAsia="zh-CN"/>
              </w:rPr>
              <w:t>硫酸在线回收：废酸通过密闭管道输送，在离心机分离过程产生少量硫酸雾，经捕集罩收集送入酸雾净化塔，处理后经1根15米高排气筒排放</w:t>
            </w:r>
            <w:r>
              <w:rPr>
                <w:rFonts w:hint="eastAsia" w:ascii="Times New Roman" w:hAnsi="Times New Roman" w:cs="Times New Roman"/>
                <w:color w:val="auto"/>
                <w:lang w:val="en-US" w:eastAsia="zh-CN"/>
              </w:rPr>
              <w:t>。</w:t>
            </w:r>
          </w:p>
          <w:p>
            <w:pPr>
              <w:adjustRightInd w:val="0"/>
              <w:snapToGrid w:val="0"/>
              <w:spacing w:line="360" w:lineRule="auto"/>
              <w:ind w:firstLine="480" w:firstLineChars="20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w:t>
            </w:r>
            <w:r>
              <w:rPr>
                <w:rFonts w:hint="eastAsia" w:ascii="Times New Roman" w:hAnsi="Times New Roman" w:eastAsia="宋体" w:cs="Times New Roman"/>
                <w:color w:val="auto"/>
                <w:lang w:val="en-US" w:eastAsia="zh-CN"/>
              </w:rPr>
              <w:t>砂扩散（天然气）改电感应加热（电加热）：一期101车间砂扩散（天然气）改电感应加热（电加热），不再使用天然气，减少氮氧化物、二氧化硫、烟尘的排放量。二期201车间砂扩散（天然气）改电感应加热（电加热），不再使用天然气，减少氮氧化物、二氧化硫、烟尘的排放量。二期301车间砂扩散（天然气）改电感应加热（电加热），不再使用天然气，减少氮氧化物、二氧化硫、烟尘的排放量。</w:t>
            </w:r>
          </w:p>
          <w:p>
            <w:pPr>
              <w:adjustRightInd w:val="0"/>
              <w:snapToGrid w:val="0"/>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w:t>
            </w:r>
            <w:r>
              <w:rPr>
                <w:rFonts w:hint="eastAsia" w:ascii="Times New Roman" w:hAnsi="Times New Roman" w:eastAsia="宋体" w:cs="Times New Roman"/>
                <w:color w:val="auto"/>
                <w:lang w:val="en-US" w:eastAsia="zh-CN"/>
              </w:rPr>
              <w:t>污泥烘干设备更新为高效污泥烘干设备：</w:t>
            </w:r>
            <w:r>
              <w:rPr>
                <w:rFonts w:hint="eastAsia" w:ascii="Times New Roman" w:hAnsi="Times New Roman" w:cs="Times New Roman"/>
                <w:color w:val="auto"/>
                <w:lang w:val="en-US" w:eastAsia="zh-CN"/>
              </w:rPr>
              <w:t>污泥烘干过程中产生废气经水喷淋塔处理后通过新增的1根15米高排气筒排放。</w:t>
            </w:r>
          </w:p>
          <w:p>
            <w:pPr>
              <w:keepNext w:val="0"/>
              <w:keepLines w:val="0"/>
              <w:pageBreakBefore w:val="0"/>
              <w:widowControl w:val="0"/>
              <w:kinsoku/>
              <w:wordWrap/>
              <w:overflowPunct/>
              <w:topLinePunct w:val="0"/>
              <w:bidi w:val="0"/>
              <w:adjustRightInd w:val="0"/>
              <w:snapToGrid w:val="0"/>
              <w:spacing w:line="360" w:lineRule="auto"/>
              <w:ind w:firstLine="482" w:firstLineChars="20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表5-</w:t>
            </w:r>
            <w:r>
              <w:rPr>
                <w:rFonts w:hint="default" w:ascii="Times New Roman" w:hAnsi="Times New Roman" w:eastAsia="宋体" w:cs="Times New Roman"/>
                <w:b/>
                <w:bCs/>
                <w:color w:val="auto"/>
                <w:sz w:val="24"/>
                <w:lang w:val="en-US" w:eastAsia="zh-CN"/>
              </w:rPr>
              <w:t>2本项目</w:t>
            </w:r>
            <w:r>
              <w:rPr>
                <w:rFonts w:hint="default" w:ascii="Times New Roman" w:hAnsi="Times New Roman" w:eastAsia="宋体" w:cs="Times New Roman"/>
                <w:b/>
                <w:bCs/>
                <w:color w:val="auto"/>
                <w:sz w:val="24"/>
              </w:rPr>
              <w:t>废气排放情况表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470"/>
              <w:gridCol w:w="2130"/>
              <w:gridCol w:w="1486"/>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345" w:type="dxa"/>
                  <w:vAlign w:val="center"/>
                </w:tcPr>
                <w:p>
                  <w:pPr>
                    <w:pStyle w:val="20"/>
                    <w:bidi w:val="0"/>
                    <w:ind w:firstLine="0" w:firstLineChars="0"/>
                    <w:rPr>
                      <w:rFonts w:hint="default" w:ascii="Times New Roman" w:hAnsi="Times New Roman" w:eastAsia="宋体" w:cs="Times New Roman"/>
                      <w:b/>
                      <w:bCs/>
                      <w:color w:val="auto"/>
                    </w:rPr>
                  </w:pPr>
                  <w:r>
                    <w:rPr>
                      <w:rFonts w:hint="default" w:ascii="Times New Roman" w:hAnsi="Times New Roman" w:cs="Times New Roman"/>
                      <w:b/>
                      <w:bCs/>
                      <w:color w:val="auto"/>
                    </w:rPr>
                    <w:t>污染来源</w:t>
                  </w:r>
                </w:p>
              </w:tc>
              <w:tc>
                <w:tcPr>
                  <w:tcW w:w="1470" w:type="dxa"/>
                  <w:vAlign w:val="center"/>
                </w:tcPr>
                <w:p>
                  <w:pPr>
                    <w:pStyle w:val="20"/>
                    <w:bidi w:val="0"/>
                    <w:ind w:firstLine="0" w:firstLineChars="0"/>
                    <w:rPr>
                      <w:rFonts w:hint="default" w:ascii="Times New Roman" w:hAnsi="Times New Roman" w:eastAsia="宋体" w:cs="Times New Roman"/>
                      <w:b/>
                      <w:bCs/>
                      <w:color w:val="auto"/>
                    </w:rPr>
                  </w:pPr>
                  <w:r>
                    <w:rPr>
                      <w:rFonts w:hint="default" w:ascii="Times New Roman" w:hAnsi="Times New Roman" w:cs="Times New Roman"/>
                      <w:b/>
                      <w:bCs/>
                      <w:color w:val="auto"/>
                    </w:rPr>
                    <w:t>污染物</w:t>
                  </w:r>
                </w:p>
              </w:tc>
              <w:tc>
                <w:tcPr>
                  <w:tcW w:w="2130" w:type="dxa"/>
                  <w:vAlign w:val="center"/>
                </w:tcPr>
                <w:p>
                  <w:pPr>
                    <w:pStyle w:val="20"/>
                    <w:bidi w:val="0"/>
                    <w:ind w:firstLine="0" w:firstLineChars="0"/>
                    <w:rPr>
                      <w:rFonts w:hint="default" w:ascii="Times New Roman" w:hAnsi="Times New Roman" w:eastAsia="宋体" w:cs="Times New Roman"/>
                      <w:b/>
                      <w:bCs/>
                      <w:color w:val="auto"/>
                    </w:rPr>
                  </w:pPr>
                  <w:r>
                    <w:rPr>
                      <w:rFonts w:hint="default" w:ascii="Times New Roman" w:hAnsi="Times New Roman" w:cs="Times New Roman"/>
                      <w:b/>
                      <w:bCs/>
                      <w:color w:val="auto"/>
                    </w:rPr>
                    <w:t>环评设计防治措施</w:t>
                  </w:r>
                </w:p>
              </w:tc>
              <w:tc>
                <w:tcPr>
                  <w:tcW w:w="1486" w:type="dxa"/>
                  <w:vAlign w:val="center"/>
                </w:tcPr>
                <w:p>
                  <w:pPr>
                    <w:pStyle w:val="20"/>
                    <w:bidi w:val="0"/>
                    <w:ind w:firstLine="0" w:firstLineChars="0"/>
                    <w:rPr>
                      <w:rFonts w:hint="default" w:ascii="Times New Roman" w:hAnsi="Times New Roman" w:cs="Times New Roman"/>
                      <w:b/>
                      <w:bCs/>
                      <w:color w:val="auto"/>
                    </w:rPr>
                  </w:pPr>
                  <w:r>
                    <w:rPr>
                      <w:rFonts w:hint="default" w:ascii="Times New Roman" w:hAnsi="Times New Roman" w:cs="Times New Roman"/>
                      <w:b/>
                      <w:bCs/>
                      <w:color w:val="auto"/>
                      <w:lang w:eastAsia="zh-CN"/>
                    </w:rPr>
                    <w:t>排放去向</w:t>
                  </w:r>
                </w:p>
              </w:tc>
              <w:tc>
                <w:tcPr>
                  <w:tcW w:w="2058" w:type="dxa"/>
                  <w:vAlign w:val="center"/>
                </w:tcPr>
                <w:p>
                  <w:pPr>
                    <w:pStyle w:val="20"/>
                    <w:bidi w:val="0"/>
                    <w:ind w:firstLine="0" w:firstLineChars="0"/>
                    <w:rPr>
                      <w:rFonts w:hint="default" w:ascii="Times New Roman" w:hAnsi="Times New Roman" w:eastAsia="宋体" w:cs="Times New Roman"/>
                      <w:b/>
                      <w:bCs/>
                      <w:color w:val="auto"/>
                      <w:lang w:eastAsia="zh-CN"/>
                    </w:rPr>
                  </w:pPr>
                  <w:r>
                    <w:rPr>
                      <w:rFonts w:hint="default" w:ascii="Times New Roman" w:hAnsi="Times New Roman" w:cs="Times New Roman"/>
                      <w:b/>
                      <w:bCs/>
                      <w:color w:val="auto"/>
                      <w:lang w:eastAsia="zh-CN"/>
                    </w:rPr>
                    <w:t>实际建设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5" w:type="dxa"/>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硫酸在线回收</w:t>
                  </w:r>
                </w:p>
              </w:tc>
              <w:tc>
                <w:tcPr>
                  <w:tcW w:w="1470"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硫酸雾</w:t>
                  </w:r>
                </w:p>
              </w:tc>
              <w:tc>
                <w:tcPr>
                  <w:tcW w:w="2130"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酸雾吸收塔</w:t>
                  </w:r>
                </w:p>
              </w:tc>
              <w:tc>
                <w:tcPr>
                  <w:tcW w:w="1486"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lang w:val="en-US" w:eastAsia="zh-CN"/>
                    </w:rPr>
                    <w:t>1根15米高排气筒排放</w:t>
                  </w:r>
                </w:p>
              </w:tc>
              <w:tc>
                <w:tcPr>
                  <w:tcW w:w="2058"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5" w:type="dxa"/>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天然气燃烧废气</w:t>
                  </w:r>
                </w:p>
              </w:tc>
              <w:tc>
                <w:tcPr>
                  <w:tcW w:w="1470"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二氧化硫、氮氧化物、烟尘</w:t>
                  </w:r>
                </w:p>
              </w:tc>
              <w:tc>
                <w:tcPr>
                  <w:tcW w:w="2130"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直排</w:t>
                  </w:r>
                </w:p>
              </w:tc>
              <w:tc>
                <w:tcPr>
                  <w:tcW w:w="1486"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7根</w:t>
                  </w:r>
                  <w:r>
                    <w:rPr>
                      <w:rFonts w:hint="default" w:ascii="Times New Roman" w:hAnsi="Times New Roman" w:eastAsia="宋体" w:cs="Times New Roman"/>
                      <w:color w:val="auto"/>
                      <w:kern w:val="0"/>
                      <w:sz w:val="21"/>
                      <w:szCs w:val="20"/>
                      <w:lang w:val="en-US" w:eastAsia="zh-CN" w:bidi="ar-SA"/>
                    </w:rPr>
                    <w:t>排气筒排放</w:t>
                  </w:r>
                </w:p>
              </w:tc>
              <w:tc>
                <w:tcPr>
                  <w:tcW w:w="2058"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5" w:type="dxa"/>
                  <w:vAlign w:val="center"/>
                </w:tcPr>
                <w:p>
                  <w:pPr>
                    <w:pStyle w:val="20"/>
                    <w:bidi w:val="0"/>
                    <w:ind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污泥烘干</w:t>
                  </w:r>
                </w:p>
              </w:tc>
              <w:tc>
                <w:tcPr>
                  <w:tcW w:w="1470" w:type="dxa"/>
                  <w:vAlign w:val="center"/>
                </w:tcPr>
                <w:p>
                  <w:pPr>
                    <w:pStyle w:val="20"/>
                    <w:bidi w:val="0"/>
                    <w:ind w:firstLine="0" w:firstLineChars="0"/>
                    <w:rPr>
                      <w:rFonts w:hint="default" w:ascii="Times New Roman" w:hAnsi="Times New Roman"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氨、硫化氢</w:t>
                  </w:r>
                </w:p>
              </w:tc>
              <w:tc>
                <w:tcPr>
                  <w:tcW w:w="2130" w:type="dxa"/>
                  <w:vAlign w:val="center"/>
                </w:tcPr>
                <w:p>
                  <w:pPr>
                    <w:pStyle w:val="20"/>
                    <w:bidi w:val="0"/>
                    <w:ind w:firstLine="0" w:firstLineChars="0"/>
                    <w:rPr>
                      <w:rFonts w:hint="eastAsia" w:ascii="Times New Roman" w:hAnsi="Times New Roman" w:cs="Times New Roman"/>
                      <w:color w:val="auto"/>
                      <w:kern w:val="0"/>
                      <w:sz w:val="21"/>
                      <w:szCs w:val="20"/>
                      <w:lang w:val="en-US" w:eastAsia="zh-CN" w:bidi="ar-SA"/>
                    </w:rPr>
                  </w:pPr>
                  <w:r>
                    <w:rPr>
                      <w:rFonts w:hint="eastAsia" w:ascii="Times New Roman" w:hAnsi="Times New Roman" w:cs="Times New Roman"/>
                      <w:color w:val="auto"/>
                      <w:lang w:val="en-US" w:eastAsia="zh-CN"/>
                    </w:rPr>
                    <w:t>水喷淋塔</w:t>
                  </w:r>
                </w:p>
              </w:tc>
              <w:tc>
                <w:tcPr>
                  <w:tcW w:w="1486"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lang w:val="en-US" w:eastAsia="zh-CN"/>
                    </w:rPr>
                    <w:t>1根15米高排气筒排放</w:t>
                  </w:r>
                </w:p>
              </w:tc>
              <w:tc>
                <w:tcPr>
                  <w:tcW w:w="2058"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5"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硫酸在线回收、污泥烘干</w:t>
                  </w:r>
                </w:p>
              </w:tc>
              <w:tc>
                <w:tcPr>
                  <w:tcW w:w="1470"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硫酸雾</w:t>
                  </w:r>
                  <w:r>
                    <w:rPr>
                      <w:rFonts w:hint="eastAsia" w:ascii="Times New Roman" w:hAnsi="Times New Roman" w:cs="Times New Roman"/>
                      <w:color w:val="auto"/>
                      <w:kern w:val="0"/>
                      <w:sz w:val="21"/>
                      <w:szCs w:val="20"/>
                      <w:lang w:val="en-US" w:eastAsia="zh-CN" w:bidi="ar-SA"/>
                    </w:rPr>
                    <w:t>、氨、硫化氢</w:t>
                  </w:r>
                </w:p>
              </w:tc>
              <w:tc>
                <w:tcPr>
                  <w:tcW w:w="2130"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w:t>
                  </w:r>
                </w:p>
              </w:tc>
              <w:tc>
                <w:tcPr>
                  <w:tcW w:w="1486"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eastAsia="宋体" w:cs="Times New Roman"/>
                      <w:color w:val="auto"/>
                      <w:kern w:val="0"/>
                      <w:sz w:val="21"/>
                      <w:szCs w:val="20"/>
                      <w:lang w:val="en-US" w:eastAsia="zh-CN" w:bidi="ar-SA"/>
                    </w:rPr>
                    <w:t>无组织排放</w:t>
                  </w:r>
                </w:p>
              </w:tc>
              <w:tc>
                <w:tcPr>
                  <w:tcW w:w="2058"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同环评</w:t>
                  </w:r>
                </w:p>
              </w:tc>
            </w:tr>
          </w:tbl>
          <w:tbl>
            <w:tblPr>
              <w:tblStyle w:val="17"/>
              <w:tblpPr w:leftFromText="180" w:rightFromText="180" w:vertAnchor="text" w:horzAnchor="page" w:tblpX="244" w:tblpY="130"/>
              <w:tblOverlap w:val="never"/>
              <w:tblW w:w="492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85"/>
              <w:gridCol w:w="4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Borders>
                    <w:tl2br w:val="nil"/>
                    <w:tr2bl w:val="nil"/>
                  </w:tcBorders>
                  <w:vAlign w:val="top"/>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inline distT="0" distB="0" distL="114300" distR="114300">
                        <wp:extent cx="2520315" cy="3306445"/>
                        <wp:effectExtent l="0" t="0" r="5715" b="7620"/>
                        <wp:docPr id="17" name="图片 17" descr="b81af68e3c32fde85e27ff162a826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81af68e3c32fde85e27ff162a826a4"/>
                                <pic:cNvPicPr>
                                  <a:picLocks noChangeAspect="1"/>
                                </pic:cNvPicPr>
                              </pic:nvPicPr>
                              <pic:blipFill>
                                <a:blip r:embed="rId18"/>
                                <a:stretch>
                                  <a:fillRect/>
                                </a:stretch>
                              </pic:blipFill>
                              <pic:spPr>
                                <a:xfrm>
                                  <a:off x="0" y="0"/>
                                  <a:ext cx="2520315" cy="3306445"/>
                                </a:xfrm>
                                <a:prstGeom prst="rect">
                                  <a:avLst/>
                                </a:prstGeom>
                              </pic:spPr>
                            </pic:pic>
                          </a:graphicData>
                        </a:graphic>
                      </wp:inline>
                    </w:drawing>
                  </w:r>
                </w:p>
              </w:tc>
              <w:tc>
                <w:tcPr>
                  <w:tcW w:w="2500" w:type="pct"/>
                  <w:tcBorders>
                    <w:tl2br w:val="nil"/>
                    <w:tr2bl w:val="nil"/>
                  </w:tcBorders>
                  <w:vAlign w:val="top"/>
                </w:tcPr>
                <w:p>
                  <w:pPr>
                    <w:pStyle w:val="20"/>
                    <w:bidi w:val="0"/>
                    <w:ind w:firstLine="0" w:firstLineChars="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drawing>
                      <wp:inline distT="0" distB="0" distL="114300" distR="114300">
                        <wp:extent cx="2520950" cy="3362960"/>
                        <wp:effectExtent l="0" t="0" r="5080" b="5080"/>
                        <wp:docPr id="21" name="图片 21" descr="97b0d2825a5ad1144a8ec9c26c5f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7b0d2825a5ad1144a8ec9c26c5fd8d"/>
                                <pic:cNvPicPr>
                                  <a:picLocks noChangeAspect="1"/>
                                </pic:cNvPicPr>
                              </pic:nvPicPr>
                              <pic:blipFill>
                                <a:blip r:embed="rId19"/>
                                <a:stretch>
                                  <a:fillRect/>
                                </a:stretch>
                              </pic:blipFill>
                              <pic:spPr>
                                <a:xfrm>
                                  <a:off x="0" y="0"/>
                                  <a:ext cx="2520950" cy="33629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Borders>
                    <w:tl2br w:val="nil"/>
                    <w:tr2bl w:val="nil"/>
                  </w:tcBorders>
                  <w:vAlign w:val="top"/>
                </w:tcPr>
                <w:p>
                  <w:pPr>
                    <w:pStyle w:val="20"/>
                    <w:bidi w:val="0"/>
                    <w:ind w:firstLine="0" w:firstLineChars="0"/>
                    <w:rPr>
                      <w:rFonts w:hint="default" w:ascii="Times New Roman" w:hAnsi="Times New Roman" w:eastAsia="宋体" w:cs="Times New Roman"/>
                      <w:color w:val="auto"/>
                      <w:lang w:val="en-US" w:eastAsia="zh-CN"/>
                    </w:rPr>
                  </w:pPr>
                  <w:r>
                    <w:rPr>
                      <w:rFonts w:hint="eastAsia"/>
                      <w:color w:val="auto"/>
                      <w:vertAlign w:val="baseline"/>
                      <w:lang w:eastAsia="zh-CN"/>
                    </w:rPr>
                    <w:t>酸洗废气</w:t>
                  </w:r>
                  <w:r>
                    <w:rPr>
                      <w:rFonts w:hint="eastAsia"/>
                      <w:color w:val="auto"/>
                      <w:vertAlign w:val="baseline"/>
                      <w:lang w:val="en-US" w:eastAsia="zh-CN"/>
                    </w:rPr>
                    <w:t>排气筒出口</w:t>
                  </w:r>
                </w:p>
              </w:tc>
              <w:tc>
                <w:tcPr>
                  <w:tcW w:w="2500" w:type="pct"/>
                  <w:tcBorders>
                    <w:tl2br w:val="nil"/>
                    <w:tr2bl w:val="nil"/>
                  </w:tcBorders>
                  <w:vAlign w:val="top"/>
                </w:tcPr>
                <w:p>
                  <w:pPr>
                    <w:pStyle w:val="20"/>
                    <w:bidi w:val="0"/>
                    <w:ind w:firstLine="0" w:firstLineChars="0"/>
                    <w:rPr>
                      <w:rFonts w:hint="default" w:ascii="Times New Roman" w:hAnsi="Times New Roman" w:eastAsia="宋体" w:cs="Times New Roman"/>
                      <w:color w:val="auto"/>
                      <w:highlight w:val="none"/>
                      <w:lang w:val="en-US" w:eastAsia="zh-CN"/>
                    </w:rPr>
                  </w:pPr>
                  <w:r>
                    <w:rPr>
                      <w:rFonts w:hint="eastAsia"/>
                      <w:color w:val="auto"/>
                      <w:vertAlign w:val="baseline"/>
                      <w:lang w:val="en-US" w:eastAsia="zh-CN"/>
                    </w:rPr>
                    <w:t>污泥烘干废气排气筒出口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5000" w:type="pct"/>
                  <w:gridSpan w:val="2"/>
                  <w:tcBorders>
                    <w:tl2br w:val="nil"/>
                    <w:tr2bl w:val="nil"/>
                  </w:tcBorders>
                </w:tcPr>
                <w:p>
                  <w:pPr>
                    <w:keepNext w:val="0"/>
                    <w:keepLines w:val="0"/>
                    <w:pageBreakBefore w:val="0"/>
                    <w:widowControl w:val="0"/>
                    <w:kinsoku/>
                    <w:wordWrap/>
                    <w:overflowPunct/>
                    <w:topLinePunct w:val="0"/>
                    <w:bidi w:val="0"/>
                    <w:spacing w:line="360" w:lineRule="auto"/>
                    <w:jc w:val="center"/>
                    <w:rPr>
                      <w:rFonts w:hint="default" w:ascii="Times New Roman" w:hAnsi="Times New Roman" w:eastAsia="宋体" w:cs="Times New Roman"/>
                      <w:b/>
                      <w:bCs/>
                      <w:color w:val="auto"/>
                      <w:sz w:val="24"/>
                      <w:highlight w:val="none"/>
                      <w:vertAlign w:val="baseline"/>
                      <w:lang w:val="en-US"/>
                    </w:rPr>
                  </w:pPr>
                  <w:r>
                    <w:rPr>
                      <w:rFonts w:hint="default" w:ascii="Times New Roman" w:hAnsi="Times New Roman" w:eastAsia="宋体" w:cs="Times New Roman"/>
                      <w:b/>
                      <w:bCs/>
                      <w:color w:val="auto"/>
                      <w:sz w:val="24"/>
                      <w:highlight w:val="none"/>
                      <w:vertAlign w:val="baseline"/>
                      <w:lang w:val="en-US" w:eastAsia="zh-CN"/>
                    </w:rPr>
                    <w:t>图5-2 废气处理装置</w:t>
                  </w:r>
                </w:p>
              </w:tc>
            </w:tr>
          </w:tbl>
          <w:p>
            <w:pPr>
              <w:keepNext w:val="0"/>
              <w:keepLines w:val="0"/>
              <w:pageBreakBefore w:val="0"/>
              <w:widowControl w:val="0"/>
              <w:kinsoku/>
              <w:wordWrap/>
              <w:overflowPunct/>
              <w:topLinePunct w:val="0"/>
              <w:bidi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（3）噪声</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主要噪声为生产设备运行时产生的噪声。</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针对本项目产生的噪声，采取的降噪措施主要有：</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w:t>
            </w:r>
            <w:r>
              <w:rPr>
                <w:rFonts w:hint="eastAsia" w:ascii="Times New Roman" w:hAnsi="Times New Roman" w:cs="Times New Roman"/>
                <w:color w:val="auto"/>
                <w:sz w:val="24"/>
                <w:lang w:val="en-US" w:eastAsia="zh-CN"/>
              </w:rPr>
              <w:t>控制设备噪声：设备选用先进的低噪声、低振动型号的设备，降低噪声源强</w:t>
            </w:r>
            <w:r>
              <w:rPr>
                <w:rFonts w:hint="default" w:ascii="Times New Roman" w:hAnsi="Times New Roman" w:eastAsia="宋体" w:cs="Times New Roman"/>
                <w:color w:val="auto"/>
                <w:sz w:val="24"/>
              </w:rPr>
              <w:t>；</w:t>
            </w:r>
          </w:p>
          <w:p>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②</w:t>
            </w:r>
            <w:r>
              <w:rPr>
                <w:rFonts w:hint="eastAsia" w:ascii="Times New Roman" w:hAnsi="Times New Roman" w:cs="Times New Roman"/>
                <w:color w:val="auto"/>
                <w:sz w:val="24"/>
                <w:lang w:val="en-US" w:eastAsia="zh-CN"/>
              </w:rPr>
              <w:t>设备减振、隔声、消声器：高噪声设备安装减震底座</w:t>
            </w:r>
            <w:r>
              <w:rPr>
                <w:rFonts w:hint="default" w:ascii="Times New Roman" w:hAnsi="Times New Roman" w:eastAsia="宋体" w:cs="Times New Roman"/>
                <w:color w:val="auto"/>
              </w:rPr>
              <w:t>；</w:t>
            </w:r>
          </w:p>
          <w:p>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③</w:t>
            </w:r>
            <w:r>
              <w:rPr>
                <w:rFonts w:hint="eastAsia" w:ascii="Times New Roman" w:hAnsi="Times New Roman" w:cs="Times New Roman"/>
                <w:color w:val="auto"/>
                <w:sz w:val="24"/>
                <w:lang w:val="en-US" w:eastAsia="zh-CN"/>
              </w:rPr>
              <w:t>加强建筑物隔声措施：高噪声设备均安置在室内，合理布局设备的位置，有效利用建筑隔声，并采取隔声、吸声材料制作门窗、墙体等，防止噪声的扩散和传播，正常生产时门窗密闭，采取隔声措施</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val="en-US" w:eastAsia="zh-CN"/>
              </w:rPr>
              <w:t>采用“闹静分开”和合理布局的设施原则，将高噪声源远离北侧噪声敏感区域。在生产厂房、厂区周围建设有围墙，减少对车间外或厂区外声环境的影响。</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w:t>
            </w:r>
            <w:r>
              <w:rPr>
                <w:rFonts w:hint="eastAsia" w:ascii="Times New Roman" w:hAnsi="Times New Roman" w:cs="Times New Roman"/>
                <w:color w:val="auto"/>
                <w:sz w:val="24"/>
                <w:lang w:val="en-US" w:eastAsia="zh-CN"/>
              </w:rPr>
              <w:t>强化生产管理：确保各类防治措施有效运行，防止突发噪声</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bidi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（4）固体废弃物</w:t>
            </w:r>
          </w:p>
          <w:p>
            <w:pPr>
              <w:adjustRightInd w:val="0"/>
              <w:snapToGrid w:val="0"/>
              <w:spacing w:line="480" w:lineRule="exact"/>
              <w:rPr>
                <w:rFonts w:hint="eastAsia" w:ascii="Times New Roman" w:hAnsi="Times New Roman" w:eastAsia="宋体" w:cs="Times New Roman"/>
                <w:b/>
                <w:bCs/>
                <w:color w:val="auto"/>
                <w:sz w:val="24"/>
                <w:lang w:eastAsia="zh-CN"/>
              </w:rPr>
            </w:pPr>
            <w:r>
              <w:rPr>
                <w:rFonts w:hint="default" w:ascii="Times New Roman" w:hAnsi="Times New Roman" w:eastAsia="宋体" w:cs="Times New Roman"/>
                <w:color w:val="auto"/>
                <w:lang w:val="en-US" w:eastAsia="zh-CN"/>
              </w:rPr>
              <w:t>固体废物主要为</w:t>
            </w:r>
            <w:r>
              <w:rPr>
                <w:rFonts w:hint="eastAsia" w:ascii="Times New Roman" w:hAnsi="Times New Roman" w:cs="Times New Roman"/>
                <w:color w:val="auto"/>
                <w:lang w:val="en-US" w:eastAsia="zh-CN"/>
              </w:rPr>
              <w:t>硫酸亚铁、废铁（屑）、废砂带和喷淋废液</w:t>
            </w:r>
            <w:r>
              <w:rPr>
                <w:rFonts w:hint="eastAsia" w:ascii="Times New Roman" w:hAnsi="Times New Roman" w:cs="Times New Roman"/>
                <w:b/>
                <w:bCs/>
                <w:color w:val="auto"/>
                <w:sz w:val="24"/>
                <w:lang w:eastAsia="zh-CN"/>
              </w:rPr>
              <w:t>。</w:t>
            </w:r>
          </w:p>
          <w:p>
            <w:pPr>
              <w:keepNext w:val="0"/>
              <w:keepLines w:val="0"/>
              <w:pageBreakBefore w:val="0"/>
              <w:widowControl w:val="0"/>
              <w:tabs>
                <w:tab w:val="left" w:pos="612"/>
              </w:tabs>
              <w:kinsoku/>
              <w:wordWrap/>
              <w:overflowPunct/>
              <w:topLinePunct w:val="0"/>
              <w:bidi w:val="0"/>
              <w:spacing w:line="360" w:lineRule="auto"/>
              <w:ind w:firstLine="480" w:firstLineChars="200"/>
              <w:rPr>
                <w:rFonts w:hint="default" w:ascii="Times New Roman" w:hAnsi="Times New Roman" w:eastAsia="宋体" w:cs="Times New Roman"/>
                <w:color w:val="auto"/>
                <w:sz w:val="24"/>
                <w:lang w:val="en-US"/>
              </w:rPr>
            </w:pPr>
            <w:r>
              <w:rPr>
                <w:rFonts w:hint="eastAsia" w:ascii="Times New Roman" w:hAnsi="Times New Roman" w:cs="Times New Roman"/>
                <w:color w:val="auto"/>
                <w:lang w:val="en-US" w:eastAsia="zh-CN"/>
              </w:rPr>
              <w:t>硫酸亚铁经鉴别确认属性为一般固废，作为水处理剂点对点供给污水处理厂使用。废铁（屑）、废砂带</w:t>
            </w:r>
            <w:r>
              <w:rPr>
                <w:rFonts w:hint="eastAsia" w:ascii="Times New Roman" w:hAnsi="Times New Roman" w:eastAsia="宋体" w:cs="Times New Roman"/>
                <w:color w:val="auto"/>
                <w:lang w:val="en-US" w:eastAsia="zh-CN"/>
              </w:rPr>
              <w:t>为一般固废，委托</w:t>
            </w:r>
            <w:r>
              <w:rPr>
                <w:rFonts w:hint="eastAsia" w:ascii="Times New Roman" w:hAnsi="Times New Roman" w:cs="Times New Roman"/>
                <w:color w:val="auto"/>
                <w:lang w:val="en-US" w:eastAsia="zh-CN"/>
              </w:rPr>
              <w:t>常州隆恒固废处置有限公司</w:t>
            </w:r>
            <w:r>
              <w:rPr>
                <w:rFonts w:hint="eastAsia" w:ascii="Times New Roman" w:hAnsi="Times New Roman" w:eastAsia="宋体" w:cs="Times New Roman"/>
                <w:color w:val="auto"/>
                <w:lang w:val="en-US" w:eastAsia="zh-CN"/>
              </w:rPr>
              <w:t>处置；</w:t>
            </w:r>
            <w:r>
              <w:rPr>
                <w:rFonts w:hint="eastAsia" w:ascii="Times New Roman" w:hAnsi="Times New Roman" w:cs="Times New Roman"/>
                <w:color w:val="auto"/>
                <w:lang w:val="en-US" w:eastAsia="zh-CN"/>
              </w:rPr>
              <w:t>喷淋废液属于危险废物，委托常州市和润环保科技有限公司处置。</w:t>
            </w:r>
          </w:p>
          <w:p>
            <w:pPr>
              <w:keepNext w:val="0"/>
              <w:keepLines w:val="0"/>
              <w:pageBreakBefore w:val="0"/>
              <w:widowControl w:val="0"/>
              <w:tabs>
                <w:tab w:val="left" w:pos="612"/>
              </w:tabs>
              <w:kinsoku/>
              <w:wordWrap/>
              <w:overflowPunct/>
              <w:topLinePunct w:val="0"/>
              <w:bidi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本项目固废产生及处理状况见表5-</w:t>
            </w:r>
            <w:r>
              <w:rPr>
                <w:rFonts w:hint="eastAsia" w:ascii="Times New Roman" w:hAnsi="Times New Roman" w:cs="Times New Roman"/>
                <w:color w:val="auto"/>
                <w:sz w:val="24"/>
                <w:lang w:val="en-US" w:eastAsia="zh-CN"/>
              </w:rPr>
              <w:t>3</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bidi w:val="0"/>
              <w:adjustRightInd w:val="0"/>
              <w:snapToGrid w:val="0"/>
              <w:spacing w:line="360" w:lineRule="auto"/>
              <w:ind w:firstLine="482" w:firstLineChars="20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sz w:val="24"/>
              </w:rPr>
              <w:t>表5-</w:t>
            </w:r>
            <w:r>
              <w:rPr>
                <w:rFonts w:hint="eastAsia" w:ascii="Times New Roman" w:hAnsi="Times New Roman" w:cs="Times New Roman"/>
                <w:b/>
                <w:bCs/>
                <w:color w:val="auto"/>
                <w:sz w:val="24"/>
                <w:lang w:val="en-US" w:eastAsia="zh-CN"/>
              </w:rPr>
              <w:t>3</w:t>
            </w:r>
            <w:r>
              <w:rPr>
                <w:rFonts w:hint="default" w:ascii="Times New Roman" w:hAnsi="Times New Roman" w:eastAsia="宋体" w:cs="Times New Roman"/>
                <w:b/>
                <w:bCs/>
                <w:color w:val="auto"/>
                <w:sz w:val="24"/>
              </w:rPr>
              <w:t xml:space="preserve">  固废产生及综合利用、处理处置情况</w:t>
            </w:r>
          </w:p>
          <w:tbl>
            <w:tblPr>
              <w:tblStyle w:val="16"/>
              <w:tblW w:w="8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996"/>
              <w:gridCol w:w="573"/>
              <w:gridCol w:w="750"/>
              <w:gridCol w:w="1264"/>
              <w:gridCol w:w="1122"/>
              <w:gridCol w:w="1186"/>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57" w:type="dxa"/>
                  <w:vMerge w:val="restart"/>
                  <w:vAlign w:val="center"/>
                </w:tcPr>
                <w:p>
                  <w:pPr>
                    <w:pStyle w:val="20"/>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rPr>
                    <w:t>名称</w:t>
                  </w:r>
                </w:p>
              </w:tc>
              <w:tc>
                <w:tcPr>
                  <w:tcW w:w="996" w:type="dxa"/>
                  <w:vMerge w:val="restart"/>
                  <w:vAlign w:val="center"/>
                </w:tcPr>
                <w:p>
                  <w:pPr>
                    <w:pStyle w:val="20"/>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产生工序</w:t>
                  </w:r>
                </w:p>
              </w:tc>
              <w:tc>
                <w:tcPr>
                  <w:tcW w:w="3709" w:type="dxa"/>
                  <w:gridSpan w:val="4"/>
                  <w:vAlign w:val="center"/>
                </w:tcPr>
                <w:p>
                  <w:pPr>
                    <w:pStyle w:val="20"/>
                    <w:bidi w:val="0"/>
                    <w:jc w:val="center"/>
                    <w:rPr>
                      <w:rFonts w:hint="default" w:ascii="Times New Roman" w:hAnsi="Times New Roman" w:cs="Times New Roman"/>
                      <w:b/>
                      <w:bCs/>
                      <w:color w:val="auto"/>
                    </w:rPr>
                  </w:pPr>
                  <w:r>
                    <w:rPr>
                      <w:rFonts w:hint="default" w:ascii="Times New Roman" w:hAnsi="Times New Roman" w:cs="Times New Roman"/>
                      <w:b/>
                      <w:bCs/>
                      <w:color w:val="auto"/>
                    </w:rPr>
                    <w:t>环评设计</w:t>
                  </w:r>
                </w:p>
              </w:tc>
              <w:tc>
                <w:tcPr>
                  <w:tcW w:w="1186" w:type="dxa"/>
                  <w:vMerge w:val="restart"/>
                  <w:vAlign w:val="center"/>
                </w:tcPr>
                <w:p>
                  <w:pPr>
                    <w:pStyle w:val="20"/>
                    <w:bidi w:val="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实际产生量（</w:t>
                  </w:r>
                  <w:r>
                    <w:rPr>
                      <w:rFonts w:hint="default" w:ascii="Times New Roman" w:hAnsi="Times New Roman" w:cs="Times New Roman"/>
                      <w:b/>
                      <w:bCs/>
                      <w:color w:val="auto"/>
                      <w:lang w:val="en-US" w:eastAsia="zh-CN"/>
                    </w:rPr>
                    <w:t>t/a</w:t>
                  </w:r>
                  <w:r>
                    <w:rPr>
                      <w:rFonts w:hint="default" w:ascii="Times New Roman" w:hAnsi="Times New Roman" w:cs="Times New Roman"/>
                      <w:b/>
                      <w:bCs/>
                      <w:color w:val="auto"/>
                      <w:lang w:eastAsia="zh-CN"/>
                    </w:rPr>
                    <w:t>）</w:t>
                  </w:r>
                </w:p>
              </w:tc>
              <w:tc>
                <w:tcPr>
                  <w:tcW w:w="1075" w:type="dxa"/>
                  <w:vMerge w:val="restart"/>
                  <w:vAlign w:val="center"/>
                </w:tcPr>
                <w:p>
                  <w:pPr>
                    <w:pStyle w:val="20"/>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1157" w:type="dxa"/>
                  <w:vMerge w:val="continue"/>
                  <w:vAlign w:val="center"/>
                </w:tcPr>
                <w:p>
                  <w:pPr>
                    <w:pStyle w:val="20"/>
                    <w:bidi w:val="0"/>
                    <w:jc w:val="center"/>
                    <w:rPr>
                      <w:rFonts w:hint="default" w:ascii="Times New Roman" w:hAnsi="Times New Roman" w:cs="Times New Roman"/>
                      <w:color w:val="auto"/>
                      <w:lang w:val="en-US" w:eastAsia="zh-CN"/>
                    </w:rPr>
                  </w:pPr>
                </w:p>
              </w:tc>
              <w:tc>
                <w:tcPr>
                  <w:tcW w:w="996" w:type="dxa"/>
                  <w:vMerge w:val="continue"/>
                  <w:vAlign w:val="center"/>
                </w:tcPr>
                <w:p>
                  <w:pPr>
                    <w:pStyle w:val="20"/>
                    <w:bidi w:val="0"/>
                    <w:jc w:val="center"/>
                    <w:rPr>
                      <w:rFonts w:hint="default" w:ascii="Times New Roman" w:hAnsi="Times New Roman" w:cs="Times New Roman"/>
                      <w:color w:val="auto"/>
                      <w:lang w:val="en-US" w:eastAsia="zh-CN"/>
                    </w:rPr>
                  </w:pPr>
                </w:p>
              </w:tc>
              <w:tc>
                <w:tcPr>
                  <w:tcW w:w="573" w:type="dxa"/>
                  <w:vAlign w:val="center"/>
                </w:tcPr>
                <w:p>
                  <w:pPr>
                    <w:pStyle w:val="20"/>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rPr>
                    <w:t>形态</w:t>
                  </w:r>
                </w:p>
              </w:tc>
              <w:tc>
                <w:tcPr>
                  <w:tcW w:w="750" w:type="dxa"/>
                  <w:vAlign w:val="center"/>
                </w:tcPr>
                <w:p>
                  <w:pPr>
                    <w:pStyle w:val="20"/>
                    <w:bidi w:val="0"/>
                    <w:jc w:val="center"/>
                    <w:rPr>
                      <w:rFonts w:hint="default" w:ascii="Times New Roman" w:hAnsi="Times New Roman" w:cs="Times New Roman"/>
                      <w:b/>
                      <w:bCs/>
                      <w:color w:val="auto"/>
                      <w:lang w:eastAsia="zh-CN"/>
                    </w:rPr>
                  </w:pPr>
                  <w:r>
                    <w:rPr>
                      <w:rFonts w:hint="default" w:ascii="Times New Roman" w:hAnsi="Times New Roman" w:cs="Times New Roman"/>
                      <w:b/>
                      <w:bCs/>
                      <w:color w:val="auto"/>
                    </w:rPr>
                    <w:t>属性</w:t>
                  </w:r>
                </w:p>
              </w:tc>
              <w:tc>
                <w:tcPr>
                  <w:tcW w:w="1264" w:type="dxa"/>
                  <w:vAlign w:val="center"/>
                </w:tcPr>
                <w:p>
                  <w:pPr>
                    <w:pStyle w:val="20"/>
                    <w:bidi w:val="0"/>
                    <w:jc w:val="center"/>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废物类别</w:t>
                  </w:r>
                </w:p>
              </w:tc>
              <w:tc>
                <w:tcPr>
                  <w:tcW w:w="1122" w:type="dxa"/>
                  <w:vAlign w:val="center"/>
                </w:tcPr>
                <w:p>
                  <w:pPr>
                    <w:pStyle w:val="20"/>
                    <w:bidi w:val="0"/>
                    <w:jc w:val="center"/>
                    <w:rPr>
                      <w:rFonts w:hint="default" w:ascii="Times New Roman" w:hAnsi="Times New Roman" w:cs="Times New Roman"/>
                      <w:b/>
                      <w:bCs/>
                      <w:color w:val="auto"/>
                      <w:lang w:eastAsia="zh-CN"/>
                    </w:rPr>
                  </w:pPr>
                  <w:r>
                    <w:rPr>
                      <w:rFonts w:hint="default" w:ascii="Times New Roman" w:hAnsi="Times New Roman" w:cs="Times New Roman"/>
                      <w:b/>
                      <w:bCs/>
                      <w:color w:val="auto"/>
                    </w:rPr>
                    <w:t>产生量</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t/a</w:t>
                  </w:r>
                  <w:r>
                    <w:rPr>
                      <w:rFonts w:hint="default" w:ascii="Times New Roman" w:hAnsi="Times New Roman" w:cs="Times New Roman"/>
                      <w:b/>
                      <w:bCs/>
                      <w:color w:val="auto"/>
                      <w:lang w:eastAsia="zh-CN"/>
                    </w:rPr>
                    <w:t>）</w:t>
                  </w:r>
                </w:p>
              </w:tc>
              <w:tc>
                <w:tcPr>
                  <w:tcW w:w="1186" w:type="dxa"/>
                  <w:vMerge w:val="continue"/>
                  <w:vAlign w:val="center"/>
                </w:tcPr>
                <w:p>
                  <w:pPr>
                    <w:pStyle w:val="20"/>
                    <w:bidi w:val="0"/>
                    <w:jc w:val="center"/>
                    <w:rPr>
                      <w:rFonts w:hint="default" w:ascii="Times New Roman" w:hAnsi="Times New Roman" w:cs="Times New Roman"/>
                      <w:color w:val="auto"/>
                    </w:rPr>
                  </w:pPr>
                </w:p>
              </w:tc>
              <w:tc>
                <w:tcPr>
                  <w:tcW w:w="1075" w:type="dxa"/>
                  <w:vMerge w:val="continue"/>
                  <w:vAlign w:val="center"/>
                </w:tcPr>
                <w:p>
                  <w:pPr>
                    <w:pStyle w:val="20"/>
                    <w:bidi w:val="0"/>
                    <w:jc w:val="center"/>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157" w:type="dxa"/>
                  <w:vAlign w:val="center"/>
                </w:tcPr>
                <w:p>
                  <w:pPr>
                    <w:pStyle w:val="20"/>
                    <w:bidi w:val="0"/>
                    <w:ind w:firstLine="0" w:firstLineChars="0"/>
                    <w:jc w:val="center"/>
                    <w:rPr>
                      <w:rFonts w:hint="default" w:ascii="Times New Roman" w:hAnsi="Times New Roman" w:eastAsia="宋体" w:cs="Times New Roman"/>
                      <w:b w:val="0"/>
                      <w:bCs w:val="0"/>
                      <w:color w:val="auto"/>
                      <w:kern w:val="0"/>
                      <w:sz w:val="21"/>
                      <w:szCs w:val="20"/>
                      <w:lang w:val="en-US" w:eastAsia="zh-CN" w:bidi="ar-SA"/>
                    </w:rPr>
                  </w:pPr>
                  <w:r>
                    <w:rPr>
                      <w:rFonts w:hint="eastAsia" w:ascii="Times New Roman" w:hAnsi="Times New Roman" w:cs="Times New Roman"/>
                      <w:color w:val="auto"/>
                      <w:lang w:val="en-US" w:eastAsia="zh-CN"/>
                    </w:rPr>
                    <w:t>硫酸亚铁</w:t>
                  </w:r>
                </w:p>
              </w:tc>
              <w:tc>
                <w:tcPr>
                  <w:tcW w:w="996" w:type="dxa"/>
                  <w:vAlign w:val="center"/>
                </w:tcPr>
                <w:p>
                  <w:pPr>
                    <w:pStyle w:val="20"/>
                    <w:bidi w:val="0"/>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硫酸回收</w:t>
                  </w:r>
                </w:p>
              </w:tc>
              <w:tc>
                <w:tcPr>
                  <w:tcW w:w="573" w:type="dxa"/>
                  <w:vAlign w:val="center"/>
                </w:tcPr>
                <w:p>
                  <w:pPr>
                    <w:pStyle w:val="20"/>
                    <w:bidi w:val="0"/>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固</w:t>
                  </w:r>
                </w:p>
              </w:tc>
              <w:tc>
                <w:tcPr>
                  <w:tcW w:w="750" w:type="dxa"/>
                  <w:vMerge w:val="restart"/>
                  <w:vAlign w:val="center"/>
                </w:tcPr>
                <w:p>
                  <w:pPr>
                    <w:pStyle w:val="20"/>
                    <w:bidi w:val="0"/>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lang w:eastAsia="zh-CN"/>
                    </w:rPr>
                    <w:t>一般固废</w:t>
                  </w:r>
                </w:p>
              </w:tc>
              <w:tc>
                <w:tcPr>
                  <w:tcW w:w="1264"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w:t>
                  </w:r>
                </w:p>
              </w:tc>
              <w:tc>
                <w:tcPr>
                  <w:tcW w:w="1122"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450</w:t>
                  </w:r>
                </w:p>
              </w:tc>
              <w:tc>
                <w:tcPr>
                  <w:tcW w:w="1186"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200</w:t>
                  </w:r>
                </w:p>
              </w:tc>
              <w:tc>
                <w:tcPr>
                  <w:tcW w:w="1075"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1157" w:type="dxa"/>
                  <w:vAlign w:val="center"/>
                </w:tcPr>
                <w:p>
                  <w:pPr>
                    <w:pStyle w:val="20"/>
                    <w:bidi w:val="0"/>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lang w:val="en-US" w:eastAsia="zh-CN"/>
                    </w:rPr>
                    <w:t>废铁（屑）</w:t>
                  </w:r>
                </w:p>
              </w:tc>
              <w:tc>
                <w:tcPr>
                  <w:tcW w:w="996" w:type="dxa"/>
                  <w:vAlign w:val="center"/>
                </w:tcPr>
                <w:p>
                  <w:pPr>
                    <w:pStyle w:val="20"/>
                    <w:bidi w:val="0"/>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砂带机除锈</w:t>
                  </w:r>
                </w:p>
              </w:tc>
              <w:tc>
                <w:tcPr>
                  <w:tcW w:w="573"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sz w:val="21"/>
                      <w:lang w:val="en-US" w:eastAsia="zh-CN"/>
                    </w:rPr>
                    <w:t>固</w:t>
                  </w:r>
                </w:p>
              </w:tc>
              <w:tc>
                <w:tcPr>
                  <w:tcW w:w="750" w:type="dxa"/>
                  <w:vMerge w:val="continue"/>
                  <w:vAlign w:val="center"/>
                </w:tcPr>
                <w:p>
                  <w:pPr>
                    <w:pStyle w:val="19"/>
                    <w:rPr>
                      <w:rFonts w:hint="default" w:ascii="Times New Roman" w:hAnsi="Times New Roman" w:eastAsia="宋体" w:cs="Times New Roman"/>
                      <w:color w:val="auto"/>
                      <w:lang w:val="en-US" w:eastAsia="zh-CN"/>
                    </w:rPr>
                  </w:pPr>
                </w:p>
              </w:tc>
              <w:tc>
                <w:tcPr>
                  <w:tcW w:w="1264"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334-001-09</w:t>
                  </w:r>
                </w:p>
              </w:tc>
              <w:tc>
                <w:tcPr>
                  <w:tcW w:w="1122"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90</w:t>
                  </w:r>
                </w:p>
              </w:tc>
              <w:tc>
                <w:tcPr>
                  <w:tcW w:w="1186"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90</w:t>
                  </w:r>
                </w:p>
              </w:tc>
              <w:tc>
                <w:tcPr>
                  <w:tcW w:w="1075"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57" w:type="dxa"/>
                  <w:vAlign w:val="center"/>
                </w:tcPr>
                <w:p>
                  <w:pPr>
                    <w:pStyle w:val="20"/>
                    <w:bidi w:val="0"/>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lang w:val="en-US" w:eastAsia="zh-CN"/>
                    </w:rPr>
                    <w:t>废砂带</w:t>
                  </w:r>
                </w:p>
              </w:tc>
              <w:tc>
                <w:tcPr>
                  <w:tcW w:w="996" w:type="dxa"/>
                  <w:vAlign w:val="center"/>
                </w:tcPr>
                <w:p>
                  <w:pPr>
                    <w:pStyle w:val="20"/>
                    <w:bidi w:val="0"/>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砂带机除锈</w:t>
                  </w:r>
                </w:p>
              </w:tc>
              <w:tc>
                <w:tcPr>
                  <w:tcW w:w="573"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sz w:val="21"/>
                      <w:lang w:val="en-US" w:eastAsia="zh-CN"/>
                    </w:rPr>
                    <w:t>固</w:t>
                  </w:r>
                </w:p>
              </w:tc>
              <w:tc>
                <w:tcPr>
                  <w:tcW w:w="750" w:type="dxa"/>
                  <w:vMerge w:val="continue"/>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p>
              </w:tc>
              <w:tc>
                <w:tcPr>
                  <w:tcW w:w="1264"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334-003-99</w:t>
                  </w:r>
                </w:p>
              </w:tc>
              <w:tc>
                <w:tcPr>
                  <w:tcW w:w="1122"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4.5</w:t>
                  </w:r>
                </w:p>
              </w:tc>
              <w:tc>
                <w:tcPr>
                  <w:tcW w:w="1186"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4.5</w:t>
                  </w:r>
                </w:p>
              </w:tc>
              <w:tc>
                <w:tcPr>
                  <w:tcW w:w="1075"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57" w:type="dxa"/>
                  <w:vAlign w:val="center"/>
                </w:tcPr>
                <w:p>
                  <w:pPr>
                    <w:pStyle w:val="20"/>
                    <w:bidi w:val="0"/>
                    <w:ind w:firstLine="0" w:firstLineChars="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喷淋废液</w:t>
                  </w:r>
                </w:p>
              </w:tc>
              <w:tc>
                <w:tcPr>
                  <w:tcW w:w="996" w:type="dxa"/>
                  <w:vAlign w:val="center"/>
                </w:tcPr>
                <w:p>
                  <w:pPr>
                    <w:pStyle w:val="20"/>
                    <w:bidi w:val="0"/>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废气处理</w:t>
                  </w:r>
                </w:p>
              </w:tc>
              <w:tc>
                <w:tcPr>
                  <w:tcW w:w="573" w:type="dxa"/>
                  <w:vAlign w:val="center"/>
                </w:tcPr>
                <w:p>
                  <w:pPr>
                    <w:pStyle w:val="20"/>
                    <w:bidi w:val="0"/>
                    <w:ind w:firstLine="0" w:firstLineChars="0"/>
                    <w:jc w:val="center"/>
                    <w:rPr>
                      <w:rFonts w:hint="default" w:ascii="Times New Roman" w:hAnsi="Times New Roman"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液</w:t>
                  </w:r>
                </w:p>
              </w:tc>
              <w:tc>
                <w:tcPr>
                  <w:tcW w:w="750" w:type="dxa"/>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color w:val="auto"/>
                    </w:rPr>
                    <w:t>危险废物</w:t>
                  </w:r>
                </w:p>
              </w:tc>
              <w:tc>
                <w:tcPr>
                  <w:tcW w:w="1264"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900-399-35</w:t>
                  </w:r>
                </w:p>
              </w:tc>
              <w:tc>
                <w:tcPr>
                  <w:tcW w:w="1122" w:type="dxa"/>
                  <w:vAlign w:val="center"/>
                </w:tcPr>
                <w:p>
                  <w:pPr>
                    <w:pStyle w:val="20"/>
                    <w:bidi w:val="0"/>
                    <w:ind w:firstLine="0" w:firstLineChars="0"/>
                    <w:jc w:val="center"/>
                    <w:rPr>
                      <w:rFonts w:hint="default" w:ascii="Times New Roman" w:hAnsi="Times New Roman"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105</w:t>
                  </w:r>
                </w:p>
              </w:tc>
              <w:tc>
                <w:tcPr>
                  <w:tcW w:w="1186"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1075" w:type="dxa"/>
                  <w:vAlign w:val="center"/>
                </w:tcPr>
                <w:p>
                  <w:pPr>
                    <w:pStyle w:val="20"/>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-85</w:t>
                  </w:r>
                </w:p>
              </w:tc>
            </w:tr>
          </w:tbl>
          <w:p>
            <w:pPr>
              <w:pStyle w:val="19"/>
              <w:rPr>
                <w:rFonts w:hint="default" w:ascii="Times New Roman" w:hAnsi="Times New Roman" w:eastAsia="宋体" w:cs="Times New Roman"/>
                <w:b/>
                <w:bCs/>
                <w:color w:val="auto"/>
              </w:rPr>
            </w:pPr>
          </w:p>
          <w:tbl>
            <w:tblPr>
              <w:tblStyle w:val="17"/>
              <w:tblW w:w="850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80" w:hRule="atLeast"/>
              </w:trPr>
              <w:tc>
                <w:tcPr>
                  <w:tcW w:w="8509" w:type="dxa"/>
                  <w:tcBorders>
                    <w:tl2br w:val="nil"/>
                    <w:tr2bl w:val="nil"/>
                  </w:tcBorders>
                  <w:vAlign w:val="center"/>
                </w:tcPr>
                <w:p>
                  <w:pPr>
                    <w:pStyle w:val="2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drawing>
                      <wp:inline distT="0" distB="0" distL="114300" distR="114300">
                        <wp:extent cx="5264150" cy="2962910"/>
                        <wp:effectExtent l="0" t="0" r="12700" b="8890"/>
                        <wp:docPr id="23" name="图片 23" descr="2ae9a49d3951837773075db0032c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ae9a49d3951837773075db0032c260"/>
                                <pic:cNvPicPr>
                                  <a:picLocks noChangeAspect="1"/>
                                </pic:cNvPicPr>
                              </pic:nvPicPr>
                              <pic:blipFill>
                                <a:blip r:embed="rId20"/>
                                <a:stretch>
                                  <a:fillRect/>
                                </a:stretch>
                              </pic:blipFill>
                              <pic:spPr>
                                <a:xfrm>
                                  <a:off x="0" y="0"/>
                                  <a:ext cx="5264150" cy="29629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8509" w:type="dxa"/>
                  <w:tcBorders>
                    <w:tl2br w:val="nil"/>
                    <w:tr2bl w:val="nil"/>
                  </w:tcBorders>
                  <w:vAlign w:val="center"/>
                </w:tcPr>
                <w:p>
                  <w:pPr>
                    <w:keepNext w:val="0"/>
                    <w:keepLines w:val="0"/>
                    <w:pageBreakBefore w:val="0"/>
                    <w:widowControl w:val="0"/>
                    <w:kinsoku/>
                    <w:wordWrap/>
                    <w:overflowPunct/>
                    <w:topLinePunct w:val="0"/>
                    <w:bidi w:val="0"/>
                    <w:spacing w:line="360" w:lineRule="auto"/>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b/>
                      <w:bCs/>
                      <w:color w:val="auto"/>
                      <w:highlight w:val="none"/>
                      <w:vertAlign w:val="baseline"/>
                      <w:lang w:val="en-US" w:eastAsia="zh-CN"/>
                    </w:rPr>
                    <w:t>图5-3  危废相关现场</w:t>
                  </w:r>
                </w:p>
              </w:tc>
            </w:tr>
          </w:tbl>
          <w:p>
            <w:pPr>
              <w:keepNext w:val="0"/>
              <w:keepLines w:val="0"/>
              <w:pageBreakBefore w:val="0"/>
              <w:widowControl w:val="0"/>
              <w:tabs>
                <w:tab w:val="left" w:pos="612"/>
              </w:tabs>
              <w:kinsoku/>
              <w:wordWrap/>
              <w:overflowPunct/>
              <w:topLinePunct w:val="0"/>
              <w:bidi w:val="0"/>
              <w:spacing w:line="360" w:lineRule="auto"/>
              <w:ind w:firstLine="480" w:firstLineChars="200"/>
              <w:rPr>
                <w:rFonts w:hint="default" w:ascii="Times New Roman" w:hAnsi="Times New Roman" w:eastAsia="宋体" w:cs="Times New Roman"/>
                <w:color w:val="auto"/>
                <w:lang w:val="en-US" w:eastAsia="zh-CN"/>
              </w:rPr>
            </w:pPr>
          </w:p>
          <w:p>
            <w:pPr>
              <w:keepNext w:val="0"/>
              <w:keepLines w:val="0"/>
              <w:pageBreakBefore w:val="0"/>
              <w:widowControl w:val="0"/>
              <w:kinsoku/>
              <w:wordWrap/>
              <w:overflowPunct/>
              <w:topLinePunct w:val="0"/>
              <w:bidi w:val="0"/>
              <w:spacing w:line="360" w:lineRule="auto"/>
              <w:rPr>
                <w:rFonts w:hint="default" w:ascii="Times New Roman" w:hAnsi="Times New Roman" w:eastAsia="宋体" w:cs="Times New Roman"/>
                <w:color w:val="auto"/>
              </w:rPr>
            </w:pPr>
          </w:p>
        </w:tc>
      </w:tr>
    </w:tbl>
    <w:p>
      <w:pPr>
        <w:spacing w:line="360" w:lineRule="auto"/>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rPr>
        <w:br w:type="page"/>
      </w:r>
    </w:p>
    <w:p>
      <w:pPr>
        <w:ind w:left="0" w:leftChars="0" w:firstLine="0" w:firstLineChars="0"/>
        <w:outlineLvl w:val="0"/>
        <w:rPr>
          <w:rFonts w:hint="default" w:ascii="Times New Roman" w:hAnsi="Times New Roman" w:eastAsia="宋体" w:cs="Times New Roman"/>
          <w:b/>
          <w:bCs/>
          <w:color w:val="auto"/>
          <w:sz w:val="28"/>
          <w:szCs w:val="28"/>
          <w:highlight w:val="none"/>
        </w:rPr>
      </w:pPr>
      <w:bookmarkStart w:id="15" w:name="_Toc30076"/>
      <w:bookmarkStart w:id="16" w:name="_Toc27064"/>
      <w:r>
        <w:rPr>
          <w:rFonts w:hint="default" w:ascii="Times New Roman" w:hAnsi="Times New Roman" w:eastAsia="宋体" w:cs="Times New Roman"/>
          <w:b/>
          <w:bCs/>
          <w:color w:val="auto"/>
          <w:sz w:val="28"/>
          <w:szCs w:val="28"/>
          <w:highlight w:val="none"/>
        </w:rPr>
        <w:t>表六、监测期间工况记录</w:t>
      </w:r>
      <w:bookmarkEnd w:id="15"/>
      <w:bookmarkEnd w:id="16"/>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4" w:hRule="atLeast"/>
          <w:jc w:val="center"/>
        </w:trPr>
        <w:tc>
          <w:tcPr>
            <w:tcW w:w="8522" w:type="dxa"/>
          </w:tcPr>
          <w:p>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1、运行工况</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验收监测期间</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highlight w:val="none"/>
              </w:rPr>
              <w:t>202</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rPr>
              <w:t>年</w:t>
            </w: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rPr>
              <w:t>月</w:t>
            </w:r>
            <w:r>
              <w:rPr>
                <w:rFonts w:hint="eastAsia" w:ascii="Times New Roman" w:hAnsi="Times New Roman" w:cs="Times New Roman"/>
                <w:color w:val="auto"/>
                <w:sz w:val="24"/>
                <w:highlight w:val="none"/>
                <w:lang w:val="en-US" w:eastAsia="zh-CN"/>
              </w:rPr>
              <w:t>8</w:t>
            </w:r>
            <w:r>
              <w:rPr>
                <w:rFonts w:hint="default" w:ascii="Times New Roman" w:hAnsi="Times New Roman" w:eastAsia="宋体" w:cs="Times New Roman"/>
                <w:color w:val="auto"/>
                <w:sz w:val="24"/>
                <w:highlight w:val="none"/>
              </w:rPr>
              <w:t>日</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9</w:t>
            </w:r>
            <w:r>
              <w:rPr>
                <w:rFonts w:hint="default" w:ascii="Times New Roman" w:hAnsi="Times New Roman" w:eastAsia="宋体" w:cs="Times New Roman"/>
                <w:color w:val="auto"/>
                <w:sz w:val="24"/>
                <w:highlight w:val="none"/>
              </w:rPr>
              <w:t>日</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16日</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lang w:val="en-US" w:eastAsia="zh-CN"/>
              </w:rPr>
              <w:t>本项目</w:t>
            </w:r>
            <w:r>
              <w:rPr>
                <w:rFonts w:hint="default" w:ascii="Times New Roman" w:hAnsi="Times New Roman" w:eastAsia="宋体" w:cs="Times New Roman"/>
                <w:color w:val="auto"/>
                <w:sz w:val="24"/>
              </w:rPr>
              <w:t>正常</w:t>
            </w:r>
            <w:r>
              <w:rPr>
                <w:rFonts w:hint="default" w:ascii="Times New Roman" w:hAnsi="Times New Roman" w:eastAsia="宋体" w:cs="Times New Roman"/>
                <w:color w:val="auto"/>
                <w:sz w:val="24"/>
                <w:lang w:val="en-US" w:eastAsia="zh-CN"/>
              </w:rPr>
              <w:t>运行</w:t>
            </w:r>
            <w:r>
              <w:rPr>
                <w:rFonts w:hint="default" w:ascii="Times New Roman" w:hAnsi="Times New Roman" w:eastAsia="宋体" w:cs="Times New Roman"/>
                <w:color w:val="auto"/>
                <w:sz w:val="24"/>
              </w:rPr>
              <w:t>，项目相关设备运行正常，各项环保治理设施均运转正常，生产工况见表6-1。</w:t>
            </w:r>
          </w:p>
          <w:p>
            <w:pPr>
              <w:keepNext w:val="0"/>
              <w:keepLines w:val="0"/>
              <w:pageBreakBefore w:val="0"/>
              <w:widowControl w:val="0"/>
              <w:kinsoku/>
              <w:wordWrap/>
              <w:overflowPunct/>
              <w:topLinePunct w:val="0"/>
              <w:bidi w:val="0"/>
              <w:adjustRightInd w:val="0"/>
              <w:snapToGrid w:val="0"/>
              <w:spacing w:line="360" w:lineRule="auto"/>
              <w:ind w:firstLine="482" w:firstLineChars="20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表6-1  验收监测期间本项目生产情况</w:t>
            </w:r>
          </w:p>
          <w:tbl>
            <w:tblPr>
              <w:tblStyle w:val="1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562"/>
              <w:gridCol w:w="1287"/>
              <w:gridCol w:w="2028"/>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95" w:type="pct"/>
                  <w:vAlign w:val="center"/>
                </w:tcPr>
                <w:p>
                  <w:pPr>
                    <w:pStyle w:val="2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监测日期</w:t>
                  </w:r>
                </w:p>
              </w:tc>
              <w:tc>
                <w:tcPr>
                  <w:tcW w:w="941" w:type="pct"/>
                  <w:vAlign w:val="center"/>
                </w:tcPr>
                <w:p>
                  <w:pPr>
                    <w:pStyle w:val="2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主要产品</w:t>
                  </w:r>
                </w:p>
              </w:tc>
              <w:tc>
                <w:tcPr>
                  <w:tcW w:w="776" w:type="pct"/>
                  <w:vAlign w:val="center"/>
                </w:tcPr>
                <w:p>
                  <w:pPr>
                    <w:pStyle w:val="20"/>
                    <w:bidi w:val="0"/>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lang w:val="en-US" w:eastAsia="zh-CN"/>
                    </w:rPr>
                    <w:t>日生产量</w:t>
                  </w:r>
                  <w:r>
                    <w:rPr>
                      <w:rFonts w:hint="default" w:ascii="Times New Roman" w:hAnsi="Times New Roman" w:cs="Times New Roman"/>
                      <w:b/>
                      <w:bCs/>
                      <w:color w:val="auto"/>
                      <w:lang w:val="en-US" w:eastAsia="zh-CN"/>
                    </w:rPr>
                    <w:t>（</w:t>
                  </w:r>
                  <w:r>
                    <w:rPr>
                      <w:rFonts w:hint="eastAsia" w:ascii="Times New Roman" w:hAnsi="Times New Roman" w:cs="Times New Roman"/>
                      <w:b/>
                      <w:bCs/>
                      <w:color w:val="auto"/>
                      <w:lang w:val="en-US" w:eastAsia="zh-CN"/>
                    </w:rPr>
                    <w:t>吨</w:t>
                  </w:r>
                  <w:r>
                    <w:rPr>
                      <w:rFonts w:hint="default" w:ascii="Times New Roman" w:hAnsi="Times New Roman" w:cs="Times New Roman"/>
                      <w:b/>
                      <w:bCs/>
                      <w:color w:val="auto"/>
                      <w:lang w:val="en-US" w:eastAsia="zh-CN"/>
                    </w:rPr>
                    <w:t>）</w:t>
                  </w:r>
                </w:p>
              </w:tc>
              <w:tc>
                <w:tcPr>
                  <w:tcW w:w="1223" w:type="pct"/>
                  <w:vAlign w:val="center"/>
                </w:tcPr>
                <w:p>
                  <w:pPr>
                    <w:pStyle w:val="2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环评设计</w:t>
                  </w:r>
                </w:p>
                <w:p>
                  <w:pPr>
                    <w:pStyle w:val="2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年</w:t>
                  </w:r>
                  <w:r>
                    <w:rPr>
                      <w:rFonts w:hint="default" w:ascii="Times New Roman" w:hAnsi="Times New Roman" w:eastAsia="宋体" w:cs="Times New Roman"/>
                      <w:b/>
                      <w:bCs/>
                      <w:color w:val="auto"/>
                      <w:lang w:val="en-US" w:eastAsia="zh-CN"/>
                    </w:rPr>
                    <w:t>产量</w:t>
                  </w:r>
                  <w:r>
                    <w:rPr>
                      <w:rFonts w:hint="default" w:ascii="Times New Roman" w:hAnsi="Times New Roman" w:cs="Times New Roman"/>
                      <w:b/>
                      <w:bCs/>
                      <w:color w:val="auto"/>
                      <w:lang w:val="en-US" w:eastAsia="zh-CN"/>
                    </w:rPr>
                    <w:t>（</w:t>
                  </w:r>
                  <w:r>
                    <w:rPr>
                      <w:rFonts w:hint="eastAsia" w:ascii="Times New Roman" w:hAnsi="Times New Roman" w:cs="Times New Roman"/>
                      <w:b/>
                      <w:bCs/>
                      <w:color w:val="auto"/>
                      <w:lang w:val="en-US" w:eastAsia="zh-CN"/>
                    </w:rPr>
                    <w:t>吨</w:t>
                  </w:r>
                  <w:r>
                    <w:rPr>
                      <w:rFonts w:hint="default" w:ascii="Times New Roman" w:hAnsi="Times New Roman" w:cs="Times New Roman"/>
                      <w:b/>
                      <w:bCs/>
                      <w:color w:val="auto"/>
                      <w:lang w:val="en-US" w:eastAsia="zh-CN"/>
                    </w:rPr>
                    <w:t>/年）</w:t>
                  </w:r>
                </w:p>
              </w:tc>
              <w:tc>
                <w:tcPr>
                  <w:tcW w:w="1063" w:type="pct"/>
                  <w:vAlign w:val="center"/>
                </w:tcPr>
                <w:p>
                  <w:pPr>
                    <w:pStyle w:val="2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95" w:type="pct"/>
                  <w:vAlign w:val="center"/>
                </w:tcPr>
                <w:p>
                  <w:pPr>
                    <w:pStyle w:val="20"/>
                    <w:bidi w:val="0"/>
                    <w:ind w:firstLine="0" w:firstLineChars="0"/>
                    <w:rPr>
                      <w:rFonts w:hint="default" w:ascii="Times New Roman" w:hAnsi="Times New Roman" w:cs="Times New Roman"/>
                      <w:color w:val="auto"/>
                    </w:rPr>
                  </w:pPr>
                  <w:r>
                    <w:rPr>
                      <w:rFonts w:hint="default" w:ascii="Times New Roman" w:hAnsi="Times New Roman" w:eastAsia="宋体" w:cs="Times New Roman"/>
                      <w:color w:val="auto"/>
                    </w:rPr>
                    <w:t>202</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年</w:t>
                  </w:r>
                  <w:r>
                    <w:rPr>
                      <w:rFonts w:hint="eastAsia" w:ascii="Times New Roman" w:hAnsi="Times New Roman" w:cs="Times New Roman"/>
                      <w:color w:val="auto"/>
                      <w:lang w:val="en-US" w:eastAsia="zh-CN"/>
                    </w:rPr>
                    <w:t>6</w:t>
                  </w:r>
                  <w:r>
                    <w:rPr>
                      <w:rFonts w:hint="default" w:ascii="Times New Roman" w:hAnsi="Times New Roman" w:eastAsia="宋体" w:cs="Times New Roman"/>
                      <w:color w:val="auto"/>
                    </w:rPr>
                    <w:t>月</w:t>
                  </w:r>
                  <w:r>
                    <w:rPr>
                      <w:rFonts w:hint="eastAsia" w:ascii="Times New Roman" w:hAnsi="Times New Roman" w:cs="Times New Roman"/>
                      <w:color w:val="auto"/>
                      <w:lang w:val="en-US" w:eastAsia="zh-CN"/>
                    </w:rPr>
                    <w:t>8</w:t>
                  </w:r>
                  <w:r>
                    <w:rPr>
                      <w:rFonts w:hint="default" w:ascii="Times New Roman" w:hAnsi="Times New Roman" w:eastAsia="宋体" w:cs="Times New Roman"/>
                      <w:color w:val="auto"/>
                    </w:rPr>
                    <w:t>日</w:t>
                  </w:r>
                </w:p>
              </w:tc>
              <w:tc>
                <w:tcPr>
                  <w:tcW w:w="941" w:type="pct"/>
                  <w:vAlign w:val="center"/>
                </w:tcPr>
                <w:p>
                  <w:pPr>
                    <w:pStyle w:val="20"/>
                    <w:bidi w:val="0"/>
                    <w:ind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钢帘线</w:t>
                  </w:r>
                </w:p>
              </w:tc>
              <w:tc>
                <w:tcPr>
                  <w:tcW w:w="776" w:type="pct"/>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550</w:t>
                  </w:r>
                </w:p>
              </w:tc>
              <w:tc>
                <w:tcPr>
                  <w:tcW w:w="1223" w:type="pct"/>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180000</w:t>
                  </w:r>
                </w:p>
              </w:tc>
              <w:tc>
                <w:tcPr>
                  <w:tcW w:w="1063" w:type="pct"/>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101</w:t>
                  </w:r>
                  <w:r>
                    <w:rPr>
                      <w:rFonts w:hint="default" w:ascii="Times New Roman" w:hAnsi="Times New Roman" w:eastAsia="宋体"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95" w:type="pct"/>
                  <w:vAlign w:val="center"/>
                </w:tcPr>
                <w:p>
                  <w:pPr>
                    <w:pStyle w:val="20"/>
                    <w:bidi w:val="0"/>
                    <w:ind w:firstLine="0" w:firstLineChars="0"/>
                    <w:rPr>
                      <w:rFonts w:hint="default" w:ascii="Times New Roman" w:hAnsi="Times New Roman" w:cs="Times New Roman"/>
                      <w:color w:val="auto"/>
                    </w:rPr>
                  </w:pPr>
                  <w:r>
                    <w:rPr>
                      <w:rFonts w:hint="default" w:ascii="Times New Roman" w:hAnsi="Times New Roman" w:eastAsia="宋体" w:cs="Times New Roman"/>
                      <w:color w:val="auto"/>
                    </w:rPr>
                    <w:t>202</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年</w:t>
                  </w:r>
                  <w:r>
                    <w:rPr>
                      <w:rFonts w:hint="eastAsia" w:ascii="Times New Roman" w:hAnsi="Times New Roman" w:cs="Times New Roman"/>
                      <w:color w:val="auto"/>
                      <w:lang w:val="en-US" w:eastAsia="zh-CN"/>
                    </w:rPr>
                    <w:t>6</w:t>
                  </w:r>
                  <w:r>
                    <w:rPr>
                      <w:rFonts w:hint="default" w:ascii="Times New Roman" w:hAnsi="Times New Roman" w:eastAsia="宋体" w:cs="Times New Roman"/>
                      <w:color w:val="auto"/>
                    </w:rPr>
                    <w:t>月</w:t>
                  </w:r>
                  <w:r>
                    <w:rPr>
                      <w:rFonts w:hint="eastAsia" w:ascii="Times New Roman" w:hAnsi="Times New Roman" w:cs="Times New Roman"/>
                      <w:color w:val="auto"/>
                      <w:lang w:val="en-US" w:eastAsia="zh-CN"/>
                    </w:rPr>
                    <w:t>9</w:t>
                  </w:r>
                  <w:r>
                    <w:rPr>
                      <w:rFonts w:hint="default" w:ascii="Times New Roman" w:hAnsi="Times New Roman" w:eastAsia="宋体" w:cs="Times New Roman"/>
                      <w:color w:val="auto"/>
                    </w:rPr>
                    <w:t>日</w:t>
                  </w:r>
                </w:p>
              </w:tc>
              <w:tc>
                <w:tcPr>
                  <w:tcW w:w="1562"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钢帘线</w:t>
                  </w:r>
                </w:p>
              </w:tc>
              <w:tc>
                <w:tcPr>
                  <w:tcW w:w="776"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515</w:t>
                  </w:r>
                </w:p>
              </w:tc>
              <w:tc>
                <w:tcPr>
                  <w:tcW w:w="1223" w:type="pct"/>
                  <w:vAlign w:val="center"/>
                </w:tcPr>
                <w:p>
                  <w:pPr>
                    <w:pStyle w:val="20"/>
                    <w:bidi w:val="0"/>
                    <w:ind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180000</w:t>
                  </w:r>
                </w:p>
              </w:tc>
              <w:tc>
                <w:tcPr>
                  <w:tcW w:w="1063" w:type="pct"/>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94.4</w:t>
                  </w:r>
                  <w:r>
                    <w:rPr>
                      <w:rFonts w:hint="default" w:ascii="Times New Roman" w:hAnsi="Times New Roman" w:eastAsia="宋体"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95" w:type="pct"/>
                  <w:vAlign w:val="center"/>
                </w:tcPr>
                <w:p>
                  <w:pPr>
                    <w:pStyle w:val="20"/>
                    <w:bidi w:val="0"/>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202</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年</w:t>
                  </w:r>
                  <w:r>
                    <w:rPr>
                      <w:rFonts w:hint="eastAsia" w:ascii="Times New Roman" w:hAnsi="Times New Roman" w:cs="Times New Roman"/>
                      <w:color w:val="auto"/>
                      <w:lang w:val="en-US" w:eastAsia="zh-CN"/>
                    </w:rPr>
                    <w:t>6</w:t>
                  </w:r>
                  <w:r>
                    <w:rPr>
                      <w:rFonts w:hint="default" w:ascii="Times New Roman" w:hAnsi="Times New Roman" w:eastAsia="宋体" w:cs="Times New Roman"/>
                      <w:color w:val="auto"/>
                    </w:rPr>
                    <w:t>月</w:t>
                  </w:r>
                  <w:r>
                    <w:rPr>
                      <w:rFonts w:hint="eastAsia" w:ascii="Times New Roman" w:hAnsi="Times New Roman" w:cs="Times New Roman"/>
                      <w:color w:val="auto"/>
                      <w:lang w:val="en-US" w:eastAsia="zh-CN"/>
                    </w:rPr>
                    <w:t>16</w:t>
                  </w:r>
                  <w:r>
                    <w:rPr>
                      <w:rFonts w:hint="default" w:ascii="Times New Roman" w:hAnsi="Times New Roman" w:eastAsia="宋体" w:cs="Times New Roman"/>
                      <w:color w:val="auto"/>
                    </w:rPr>
                    <w:t>日</w:t>
                  </w:r>
                </w:p>
              </w:tc>
              <w:tc>
                <w:tcPr>
                  <w:tcW w:w="1562" w:type="dxa"/>
                  <w:vAlign w:val="center"/>
                </w:tcPr>
                <w:p>
                  <w:pPr>
                    <w:pStyle w:val="20"/>
                    <w:bidi w:val="0"/>
                    <w:ind w:firstLine="0" w:firstLineChars="0"/>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钢帘线</w:t>
                  </w:r>
                </w:p>
              </w:tc>
              <w:tc>
                <w:tcPr>
                  <w:tcW w:w="776" w:type="pct"/>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530</w:t>
                  </w:r>
                </w:p>
              </w:tc>
              <w:tc>
                <w:tcPr>
                  <w:tcW w:w="1223" w:type="pct"/>
                  <w:vAlign w:val="center"/>
                </w:tcPr>
                <w:p>
                  <w:pPr>
                    <w:pStyle w:val="20"/>
                    <w:bidi w:val="0"/>
                    <w:ind w:firstLine="0" w:firstLine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180000</w:t>
                  </w:r>
                </w:p>
              </w:tc>
              <w:tc>
                <w:tcPr>
                  <w:tcW w:w="1063" w:type="pct"/>
                  <w:vAlign w:val="center"/>
                </w:tcPr>
                <w:p>
                  <w:pPr>
                    <w:pStyle w:val="20"/>
                    <w:bidi w:val="0"/>
                    <w:ind w:firstLine="0" w:firstLine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97.2</w:t>
                  </w:r>
                  <w:r>
                    <w:rPr>
                      <w:rFonts w:hint="default" w:ascii="Times New Roman" w:hAnsi="Times New Roman" w:eastAsia="宋体" w:cs="Times New Roman"/>
                      <w:color w:val="auto"/>
                      <w:lang w:val="en-US" w:eastAsia="zh-CN"/>
                    </w:rPr>
                    <w:t>%</w:t>
                  </w:r>
                </w:p>
              </w:tc>
            </w:tr>
          </w:tbl>
          <w:p>
            <w:pPr>
              <w:pStyle w:val="20"/>
              <w:bidi w:val="0"/>
              <w:jc w:val="left"/>
              <w:rPr>
                <w:rFonts w:hint="default" w:ascii="Times New Roman" w:hAnsi="Times New Roman" w:eastAsia="宋体" w:cs="Times New Roman"/>
                <w:color w:val="auto"/>
              </w:rPr>
            </w:pPr>
            <w:r>
              <w:rPr>
                <w:rFonts w:hint="default" w:ascii="Times New Roman" w:hAnsi="Times New Roman" w:eastAsia="宋体" w:cs="Times New Roman"/>
                <w:color w:val="auto"/>
              </w:rPr>
              <w:t>注：本项目实行3班工作制，每班8小时，年有效工作日为330天。</w:t>
            </w:r>
          </w:p>
          <w:p>
            <w:pPr>
              <w:keepNext w:val="0"/>
              <w:keepLines w:val="0"/>
              <w:pageBreakBefore w:val="0"/>
              <w:widowControl w:val="0"/>
              <w:kinsoku/>
              <w:wordWrap/>
              <w:overflowPunct/>
              <w:topLinePunct w:val="0"/>
              <w:bidi w:val="0"/>
              <w:snapToGrid/>
              <w:spacing w:line="360" w:lineRule="auto"/>
              <w:ind w:left="0" w:leftChars="0" w:firstLine="0" w:firstLineChars="0"/>
              <w:textAlignment w:val="auto"/>
              <w:rPr>
                <w:rFonts w:hint="default" w:ascii="Times New Roman" w:hAnsi="Times New Roman" w:eastAsia="宋体" w:cs="Times New Roman"/>
                <w:color w:val="auto"/>
                <w:szCs w:val="21"/>
              </w:rPr>
            </w:pPr>
          </w:p>
        </w:tc>
      </w:tr>
    </w:tbl>
    <w:p>
      <w:pPr>
        <w:spacing w:line="360" w:lineRule="auto"/>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rPr>
        <w:br w:type="page"/>
      </w:r>
    </w:p>
    <w:p>
      <w:pPr>
        <w:ind w:left="0" w:leftChars="0" w:firstLine="0" w:firstLineChars="0"/>
        <w:outlineLvl w:val="0"/>
        <w:rPr>
          <w:rFonts w:hint="default" w:ascii="Times New Roman" w:hAnsi="Times New Roman" w:eastAsia="宋体" w:cs="Times New Roman"/>
          <w:b/>
          <w:bCs/>
          <w:color w:val="auto"/>
          <w:sz w:val="28"/>
          <w:szCs w:val="28"/>
          <w:highlight w:val="none"/>
        </w:rPr>
      </w:pPr>
      <w:bookmarkStart w:id="17" w:name="_Toc17853"/>
      <w:bookmarkStart w:id="18" w:name="_Toc15916"/>
      <w:r>
        <w:rPr>
          <w:rFonts w:hint="default" w:ascii="Times New Roman" w:hAnsi="Times New Roman" w:eastAsia="宋体" w:cs="Times New Roman"/>
          <w:b/>
          <w:bCs/>
          <w:color w:val="auto"/>
          <w:sz w:val="28"/>
          <w:szCs w:val="28"/>
          <w:highlight w:val="none"/>
        </w:rPr>
        <w:t>表七、废</w:t>
      </w:r>
      <w:r>
        <w:rPr>
          <w:rFonts w:hint="default" w:ascii="Times New Roman" w:hAnsi="Times New Roman" w:eastAsia="宋体" w:cs="Times New Roman"/>
          <w:b/>
          <w:bCs/>
          <w:color w:val="auto"/>
          <w:sz w:val="28"/>
          <w:szCs w:val="28"/>
          <w:highlight w:val="none"/>
          <w:lang w:val="en-US" w:eastAsia="zh-CN"/>
        </w:rPr>
        <w:t>水</w:t>
      </w:r>
      <w:r>
        <w:rPr>
          <w:rFonts w:hint="default" w:ascii="Times New Roman" w:hAnsi="Times New Roman" w:eastAsia="宋体" w:cs="Times New Roman"/>
          <w:b/>
          <w:bCs/>
          <w:color w:val="auto"/>
          <w:sz w:val="28"/>
          <w:szCs w:val="28"/>
          <w:highlight w:val="none"/>
        </w:rPr>
        <w:t>监测内容及结果评价</w:t>
      </w:r>
      <w:bookmarkEnd w:id="17"/>
      <w:bookmarkEnd w:id="18"/>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0" w:hRule="atLeast"/>
          <w:jc w:val="center"/>
        </w:trPr>
        <w:tc>
          <w:tcPr>
            <w:tcW w:w="8522" w:type="dxa"/>
            <w:vAlign w:val="top"/>
          </w:tcPr>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1、</w:t>
            </w:r>
            <w:r>
              <w:rPr>
                <w:rFonts w:hint="default" w:ascii="Times New Roman" w:hAnsi="Times New Roman" w:cs="Times New Roman"/>
                <w:color w:val="auto"/>
                <w:lang w:val="en-US" w:eastAsia="zh-CN"/>
              </w:rPr>
              <w:t>监测内容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lang w:val="en-US"/>
              </w:rPr>
            </w:pPr>
            <w:r>
              <w:rPr>
                <w:rFonts w:hint="default" w:ascii="Times New Roman" w:hAnsi="Times New Roman" w:cs="Times New Roman"/>
                <w:color w:val="auto"/>
              </w:rPr>
              <w:t>废</w:t>
            </w:r>
            <w:r>
              <w:rPr>
                <w:rFonts w:hint="default" w:ascii="Times New Roman" w:hAnsi="Times New Roman" w:cs="Times New Roman"/>
                <w:color w:val="auto"/>
                <w:lang w:eastAsia="zh-CN"/>
              </w:rPr>
              <w:t>水</w:t>
            </w:r>
            <w:r>
              <w:rPr>
                <w:rFonts w:hint="default" w:ascii="Times New Roman" w:hAnsi="Times New Roman" w:cs="Times New Roman"/>
                <w:color w:val="auto"/>
              </w:rPr>
              <w:t>监测主要内容见</w:t>
            </w: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7</w:t>
            </w:r>
            <w:r>
              <w:rPr>
                <w:rFonts w:hint="default" w:ascii="Times New Roman" w:hAnsi="Times New Roman" w:cs="Times New Roman"/>
                <w:color w:val="auto"/>
                <w:lang w:eastAsia="zh-CN"/>
              </w:rPr>
              <w:t>-1。</w:t>
            </w:r>
          </w:p>
          <w:p>
            <w:pPr>
              <w:keepNext w:val="0"/>
              <w:keepLines w:val="0"/>
              <w:pageBreakBefore w:val="0"/>
              <w:widowControl w:val="0"/>
              <w:kinsoku/>
              <w:wordWrap/>
              <w:overflowPunct/>
              <w:topLinePunct w:val="0"/>
              <w:bidi w:val="0"/>
              <w:adjustRightInd w:val="0"/>
              <w:snapToGrid w:val="0"/>
              <w:spacing w:line="360" w:lineRule="auto"/>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lang w:eastAsia="zh-CN"/>
              </w:rPr>
              <w:t>表</w:t>
            </w:r>
            <w:r>
              <w:rPr>
                <w:rFonts w:hint="default" w:ascii="Times New Roman" w:hAnsi="Times New Roman" w:cs="Times New Roman"/>
                <w:color w:val="auto"/>
                <w:lang w:val="en-US" w:eastAsia="zh-CN"/>
              </w:rPr>
              <w:t xml:space="preserve">7-1 </w:t>
            </w:r>
            <w:r>
              <w:rPr>
                <w:rFonts w:hint="default" w:ascii="Times New Roman" w:hAnsi="Times New Roman" w:cs="Times New Roman"/>
                <w:color w:val="auto"/>
              </w:rPr>
              <w:t xml:space="preserve"> 废</w:t>
            </w:r>
            <w:r>
              <w:rPr>
                <w:rFonts w:hint="default" w:ascii="Times New Roman" w:hAnsi="Times New Roman" w:cs="Times New Roman"/>
                <w:color w:val="auto"/>
                <w:lang w:val="en-US" w:eastAsia="zh-CN"/>
              </w:rPr>
              <w:t>水</w:t>
            </w:r>
            <w:r>
              <w:rPr>
                <w:rFonts w:hint="default" w:ascii="Times New Roman" w:hAnsi="Times New Roman" w:cs="Times New Roman"/>
                <w:color w:val="auto"/>
              </w:rPr>
              <w:t>监测内容</w:t>
            </w:r>
          </w:p>
          <w:tbl>
            <w:tblPr>
              <w:tblStyle w:val="16"/>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630"/>
              <w:gridCol w:w="2581"/>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910" w:type="pct"/>
                  <w:noWrap w:val="0"/>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类别</w:t>
                  </w:r>
                </w:p>
              </w:tc>
              <w:tc>
                <w:tcPr>
                  <w:tcW w:w="981" w:type="pct"/>
                  <w:noWrap w:val="0"/>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监测点位</w:t>
                  </w:r>
                </w:p>
              </w:tc>
              <w:tc>
                <w:tcPr>
                  <w:tcW w:w="1553" w:type="pct"/>
                  <w:noWrap w:val="0"/>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监测项目</w:t>
                  </w:r>
                </w:p>
              </w:tc>
              <w:tc>
                <w:tcPr>
                  <w:tcW w:w="1554" w:type="pct"/>
                  <w:noWrap w:val="0"/>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910" w:type="pct"/>
                  <w:noWrap w:val="0"/>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水洗废水、酸雾净化塔废水</w:t>
                  </w:r>
                </w:p>
              </w:tc>
              <w:tc>
                <w:tcPr>
                  <w:tcW w:w="981" w:type="pct"/>
                  <w:noWrap w:val="0"/>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一期、二期污水处理站进口S1、出口S2</w:t>
                  </w:r>
                </w:p>
              </w:tc>
              <w:tc>
                <w:tcPr>
                  <w:tcW w:w="1553" w:type="pct"/>
                  <w:noWrap w:val="0"/>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pH值、悬浮物、化学需氧量、氨氮、总磷、锰、铜、锌</w:t>
                  </w:r>
                </w:p>
              </w:tc>
              <w:tc>
                <w:tcPr>
                  <w:tcW w:w="1554" w:type="pct"/>
                  <w:noWrap w:val="0"/>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连续监测2天，每天</w:t>
                  </w:r>
                  <w:r>
                    <w:rPr>
                      <w:rFonts w:hint="eastAsia" w:ascii="Times New Roman" w:hAnsi="Times New Roman" w:cs="Times New Roman"/>
                      <w:color w:val="auto"/>
                      <w:lang w:val="en-US" w:eastAsia="zh-CN"/>
                    </w:rPr>
                    <w:t>4</w:t>
                  </w:r>
                  <w:r>
                    <w:rPr>
                      <w:rFonts w:hint="default" w:ascii="Times New Roman" w:hAnsi="Times New Roman" w:cs="Times New Roman"/>
                      <w:color w:val="auto"/>
                    </w:rPr>
                    <w:t>次</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rPr>
            </w:pPr>
          </w:p>
          <w:tbl>
            <w:tblPr>
              <w:tblStyle w:val="17"/>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236" w:type="pct"/>
                  <w:tcBorders>
                    <w:tl2br w:val="nil"/>
                    <w:tr2bl w:val="nil"/>
                  </w:tcBorders>
                  <w:vAlign w:val="top"/>
                </w:tcPr>
                <w:p>
                  <w:pPr>
                    <w:ind w:left="0" w:leftChars="0" w:firstLine="0" w:firstLineChars="0"/>
                    <w:jc w:val="center"/>
                    <w:rPr>
                      <w:rFonts w:hint="default" w:ascii="Times New Roman" w:hAnsi="Times New Roman" w:cs="Times New Roman"/>
                      <w:color w:val="auto"/>
                      <w:lang w:val="en-US" w:eastAsia="zh-CN"/>
                    </w:rPr>
                  </w:pPr>
                  <w:r>
                    <w:rPr>
                      <w:sz w:val="24"/>
                    </w:rPr>
                    <mc:AlternateContent>
                      <mc:Choice Requires="wps">
                        <w:drawing>
                          <wp:anchor distT="0" distB="0" distL="114300" distR="114300" simplePos="0" relativeHeight="251689984" behindDoc="0" locked="0" layoutInCell="1" allowOverlap="1">
                            <wp:simplePos x="0" y="0"/>
                            <wp:positionH relativeFrom="column">
                              <wp:posOffset>1327150</wp:posOffset>
                            </wp:positionH>
                            <wp:positionV relativeFrom="paragraph">
                              <wp:posOffset>994410</wp:posOffset>
                            </wp:positionV>
                            <wp:extent cx="506095" cy="44640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506095" cy="446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lang w:val="en-US"/>
                                          </w:rPr>
                                        </w:pPr>
                                        <w:r>
                                          <w:rPr>
                                            <w:rFonts w:hint="eastAsia"/>
                                            <w:color w:val="FF0000"/>
                                            <w:sz w:val="21"/>
                                            <w:szCs w:val="21"/>
                                          </w:rPr>
                                          <w:t>★</w:t>
                                        </w:r>
                                        <w:r>
                                          <w:rPr>
                                            <w:rFonts w:hint="eastAsia"/>
                                            <w:color w:val="FF0000"/>
                                            <w:sz w:val="21"/>
                                            <w:szCs w:val="21"/>
                                            <w:lang w:val="en-US" w:eastAsia="zh-CN"/>
                                          </w:rPr>
                                          <w:t>S1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5pt;margin-top:78.3pt;height:35.15pt;width:39.85pt;z-index:251689984;mso-width-relative:page;mso-height-relative:page;" filled="f" stroked="f" coordsize="21600,21600" o:gfxdata="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&#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ejsbI2wAAAAsBAAAPAAAAAAAAAAEAIAAAACIAAABk&#10;cnMvZG93bnJldi54bWxQSwECFAAUAAAACACHTuJAk8VtbTwCAABnBAAADgAAAAAAAAABACAAAAAq&#10;AQAAZHJzL2Uyb0RvYy54bWxQSwUGAAAAAAYABgBZAQAA2AUAAAAA&#10;">
                            <v:fill on="f" focussize="0,0"/>
                            <v:stroke on="f" weight="0.5pt"/>
                            <v:imagedata o:title=""/>
                            <o:lock v:ext="edit" aspectratio="f"/>
                            <v:textbox>
                              <w:txbxContent>
                                <w:p>
                                  <w:pPr>
                                    <w:ind w:left="0" w:leftChars="0" w:firstLine="0" w:firstLineChars="0"/>
                                    <w:rPr>
                                      <w:rFonts w:hint="default"/>
                                      <w:lang w:val="en-US"/>
                                    </w:rPr>
                                  </w:pPr>
                                  <w:r>
                                    <w:rPr>
                                      <w:rFonts w:hint="eastAsia"/>
                                      <w:color w:val="FF0000"/>
                                      <w:sz w:val="21"/>
                                      <w:szCs w:val="21"/>
                                    </w:rPr>
                                    <w:t>★</w:t>
                                  </w:r>
                                  <w:r>
                                    <w:rPr>
                                      <w:rFonts w:hint="eastAsia"/>
                                      <w:color w:val="FF0000"/>
                                      <w:sz w:val="21"/>
                                      <w:szCs w:val="21"/>
                                      <w:lang w:val="en-US" w:eastAsia="zh-CN"/>
                                    </w:rPr>
                                    <w:t>S1</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1196340</wp:posOffset>
                            </wp:positionH>
                            <wp:positionV relativeFrom="paragraph">
                              <wp:posOffset>1277620</wp:posOffset>
                            </wp:positionV>
                            <wp:extent cx="506095" cy="446405"/>
                            <wp:effectExtent l="0" t="0" r="0" b="0"/>
                            <wp:wrapNone/>
                            <wp:docPr id="24" name="文本框 24"/>
                            <wp:cNvGraphicFramePr/>
                            <a:graphic xmlns:a="http://schemas.openxmlformats.org/drawingml/2006/main">
                              <a:graphicData uri="http://schemas.microsoft.com/office/word/2010/wordprocessingShape">
                                <wps:wsp>
                                  <wps:cNvSpPr txBox="1"/>
                                  <wps:spPr>
                                    <a:xfrm>
                                      <a:off x="2348230" y="4378960"/>
                                      <a:ext cx="506095" cy="446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lang w:val="en-US"/>
                                          </w:rPr>
                                        </w:pPr>
                                        <w:r>
                                          <w:rPr>
                                            <w:rFonts w:hint="eastAsia"/>
                                            <w:color w:val="FF0000"/>
                                            <w:sz w:val="21"/>
                                            <w:szCs w:val="21"/>
                                          </w:rPr>
                                          <w:t>★</w:t>
                                        </w:r>
                                        <w:r>
                                          <w:rPr>
                                            <w:rFonts w:hint="eastAsia"/>
                                            <w:color w:val="FF0000"/>
                                            <w:sz w:val="21"/>
                                            <w:szCs w:val="21"/>
                                            <w:lang w:val="en-US" w:eastAsia="zh-CN"/>
                                          </w:rPr>
                                          <w:t>S2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2pt;margin-top:100.6pt;height:35.15pt;width:39.85pt;z-index:251673600;mso-width-relative:page;mso-height-relative:page;" filled="f" stroked="f" coordsize="21600,21600" o:gfxdata="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qpwjzaAAAACwEAAA8AAAAAAAAA&#10;AQAgAAAAIgAAAGRycy9kb3ducmV2LnhtbFBLAQIUABQAAAAIAIdO4kA/WpTASAIAAHMEAAAOAAAA&#10;AAAAAAEAIAAAACkBAABkcnMvZTJvRG9jLnhtbFBLBQYAAAAABgAGAFkBAADjBQAAAAA=&#10;">
                            <v:fill on="f" focussize="0,0"/>
                            <v:stroke on="f" weight="0.5pt"/>
                            <v:imagedata o:title=""/>
                            <o:lock v:ext="edit" aspectratio="f"/>
                            <v:textbox>
                              <w:txbxContent>
                                <w:p>
                                  <w:pPr>
                                    <w:ind w:left="0" w:leftChars="0" w:firstLine="0" w:firstLineChars="0"/>
                                    <w:rPr>
                                      <w:rFonts w:hint="default"/>
                                      <w:lang w:val="en-US"/>
                                    </w:rPr>
                                  </w:pPr>
                                  <w:r>
                                    <w:rPr>
                                      <w:rFonts w:hint="eastAsia"/>
                                      <w:color w:val="FF0000"/>
                                      <w:sz w:val="21"/>
                                      <w:szCs w:val="21"/>
                                    </w:rPr>
                                    <w:t>★</w:t>
                                  </w:r>
                                  <w:r>
                                    <w:rPr>
                                      <w:rFonts w:hint="eastAsia"/>
                                      <w:color w:val="FF0000"/>
                                      <w:sz w:val="21"/>
                                      <w:szCs w:val="21"/>
                                      <w:lang w:val="en-US" w:eastAsia="zh-CN"/>
                                    </w:rPr>
                                    <w:t>S2</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70528" behindDoc="0" locked="0" layoutInCell="1" allowOverlap="1">
                            <wp:simplePos x="0" y="0"/>
                            <wp:positionH relativeFrom="column">
                              <wp:posOffset>3740785</wp:posOffset>
                            </wp:positionH>
                            <wp:positionV relativeFrom="paragraph">
                              <wp:posOffset>3189605</wp:posOffset>
                            </wp:positionV>
                            <wp:extent cx="190500" cy="76200"/>
                            <wp:effectExtent l="12700" t="12700" r="25400" b="25400"/>
                            <wp:wrapNone/>
                            <wp:docPr id="19" name="矩形 19"/>
                            <wp:cNvGraphicFramePr/>
                            <a:graphic xmlns:a="http://schemas.openxmlformats.org/drawingml/2006/main">
                              <a:graphicData uri="http://schemas.microsoft.com/office/word/2010/wordprocessingShape">
                                <wps:wsp>
                                  <wps:cNvSpPr/>
                                  <wps:spPr>
                                    <a:xfrm flipV="1">
                                      <a:off x="0" y="0"/>
                                      <a:ext cx="190500" cy="76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294.55pt;margin-top:251.15pt;height:6pt;width:15pt;z-index:251670528;v-text-anchor:middle;mso-width-relative:page;mso-height-relative:page;" filled="f" stroked="t" coordsize="21600,21600" o:gfxdata="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HU2HZAAAACwEAAA8AAAAAAAAAAQAgAAAAIgAAAGRycy9kb3ducmV2LnhtbFBLAQIUABQA&#10;AAAIAIdO4kBdeOxAYQIAAL4EAAAOAAAAAAAAAAEAIAAAACgBAABkcnMvZTJvRG9jLnhtbFBLBQYA&#10;AAAABgAGAFkBAAD7BQAAAAA=&#10;">
                            <v:fill on="f" focussize="0,0"/>
                            <v:stroke weight="2pt" color="#FF0000 [3204]" joinstyle="round"/>
                            <v:imagedata o:title=""/>
                            <o:lock v:ext="edit" aspectratio="f"/>
                          </v:rect>
                        </w:pict>
                      </mc:Fallback>
                    </mc:AlternateContent>
                  </w:r>
                  <w:r>
                    <w:rPr>
                      <w:rFonts w:hint="default" w:ascii="Times New Roman" w:hAnsi="Times New Roman" w:cs="Times New Roman"/>
                      <w:color w:val="auto"/>
                    </w:rPr>
                    <mc:AlternateContent>
                      <mc:Choice Requires="wps">
                        <w:drawing>
                          <wp:anchor distT="0" distB="0" distL="114300" distR="114300" simplePos="0" relativeHeight="251669504" behindDoc="0" locked="0" layoutInCell="1" allowOverlap="1">
                            <wp:simplePos x="0" y="0"/>
                            <wp:positionH relativeFrom="column">
                              <wp:posOffset>3640455</wp:posOffset>
                            </wp:positionH>
                            <wp:positionV relativeFrom="paragraph">
                              <wp:posOffset>3063875</wp:posOffset>
                            </wp:positionV>
                            <wp:extent cx="1311275" cy="504825"/>
                            <wp:effectExtent l="4445" t="4445" r="17780" b="5080"/>
                            <wp:wrapNone/>
                            <wp:docPr id="18" name="文本框 18"/>
                            <wp:cNvGraphicFramePr/>
                            <a:graphic xmlns:a="http://schemas.openxmlformats.org/drawingml/2006/main">
                              <a:graphicData uri="http://schemas.microsoft.com/office/word/2010/wordprocessingShape">
                                <wps:wsp>
                                  <wps:cNvSpPr txBox="1"/>
                                  <wps:spPr>
                                    <a:xfrm>
                                      <a:off x="0" y="0"/>
                                      <a:ext cx="1311275" cy="504825"/>
                                    </a:xfrm>
                                    <a:prstGeom prst="rect">
                                      <a:avLst/>
                                    </a:prstGeom>
                                    <a:solidFill>
                                      <a:schemeClr val="bg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企业边界</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olor w:val="auto"/>
                                            <w:sz w:val="18"/>
                                            <w:szCs w:val="18"/>
                                            <w:lang w:val="en-US" w:eastAsia="zh-CN"/>
                                          </w:rPr>
                                        </w:pPr>
                                        <w:r>
                                          <w:rPr>
                                            <w:rFonts w:hint="eastAsia"/>
                                            <w:color w:val="FF0000"/>
                                            <w:sz w:val="21"/>
                                            <w:szCs w:val="21"/>
                                          </w:rPr>
                                          <w:t>★</w:t>
                                        </w:r>
                                        <w:r>
                                          <w:rPr>
                                            <w:rFonts w:hint="eastAsia"/>
                                            <w:color w:val="FF0000"/>
                                            <w:sz w:val="21"/>
                                            <w:szCs w:val="21"/>
                                            <w:lang w:val="en-US" w:eastAsia="zh-CN"/>
                                          </w:rPr>
                                          <w:t>S</w:t>
                                        </w:r>
                                        <w:r>
                                          <w:rPr>
                                            <w:rFonts w:hint="default" w:ascii="Times New Roman" w:hAnsi="Times New Roman" w:eastAsia="宋体" w:cs="Times New Roman"/>
                                            <w:color w:val="auto"/>
                                            <w:kern w:val="2"/>
                                            <w:sz w:val="18"/>
                                            <w:szCs w:val="18"/>
                                            <w:lang w:val="en-US" w:eastAsia="zh-CN" w:bidi="ar-SA"/>
                                          </w:rPr>
                                          <w:t>为</w:t>
                                        </w:r>
                                        <w:r>
                                          <w:rPr>
                                            <w:rFonts w:hint="eastAsia" w:ascii="Times New Roman" w:hAnsi="Times New Roman" w:cs="Times New Roman"/>
                                            <w:color w:val="auto"/>
                                            <w:kern w:val="2"/>
                                            <w:sz w:val="18"/>
                                            <w:szCs w:val="18"/>
                                            <w:lang w:val="en-US" w:eastAsia="zh-CN" w:bidi="ar-SA"/>
                                          </w:rPr>
                                          <w:t>废水</w:t>
                                        </w:r>
                                        <w:r>
                                          <w:rPr>
                                            <w:rFonts w:hint="default" w:ascii="Times New Roman" w:hAnsi="Times New Roman" w:eastAsia="宋体" w:cs="Times New Roman"/>
                                            <w:color w:val="auto"/>
                                            <w:kern w:val="2"/>
                                            <w:sz w:val="18"/>
                                            <w:szCs w:val="18"/>
                                            <w:lang w:val="en-US" w:eastAsia="zh-CN" w:bidi="ar-SA"/>
                                          </w:rPr>
                                          <w:t>测点</w:t>
                                        </w:r>
                                        <w:r>
                                          <w:rPr>
                                            <w:rFonts w:hint="eastAsia" w:ascii="Times New Roman" w:hAnsi="Times New Roman" w:cs="Times New Roman"/>
                                            <w:color w:val="auto"/>
                                            <w:kern w:val="2"/>
                                            <w:sz w:val="18"/>
                                            <w:szCs w:val="18"/>
                                            <w:lang w:val="en-US" w:eastAsia="zh-CN" w:bidi="ar-SA"/>
                                          </w:rPr>
                                          <w:t>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65pt;margin-top:241.25pt;height:39.75pt;width:103.25pt;z-index:251669504;mso-width-relative:page;mso-height-relative:page;" fillcolor="#FFFFFF [3212]" filled="t" stroked="t" coordsize="21600,21600" o:gfxdata="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78hXp2AAA&#10;AAsBAAAPAAAAAAAAAAEAIAAAACIAAABkcnMvZG93bnJldi54bWxQSwECFAAUAAAACACHTuJAc4/V&#10;UlcCAAC6BAAADgAAAAAAAAABACAAAAAnAQAAZHJzL2Uyb0RvYy54bWxQSwUGAAAAAAYABgBZAQAA&#10;8AUAA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企业边界</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olor w:val="auto"/>
                                      <w:sz w:val="18"/>
                                      <w:szCs w:val="18"/>
                                      <w:lang w:val="en-US" w:eastAsia="zh-CN"/>
                                    </w:rPr>
                                  </w:pPr>
                                  <w:r>
                                    <w:rPr>
                                      <w:rFonts w:hint="eastAsia"/>
                                      <w:color w:val="FF0000"/>
                                      <w:sz w:val="21"/>
                                      <w:szCs w:val="21"/>
                                    </w:rPr>
                                    <w:t>★</w:t>
                                  </w:r>
                                  <w:r>
                                    <w:rPr>
                                      <w:rFonts w:hint="eastAsia"/>
                                      <w:color w:val="FF0000"/>
                                      <w:sz w:val="21"/>
                                      <w:szCs w:val="21"/>
                                      <w:lang w:val="en-US" w:eastAsia="zh-CN"/>
                                    </w:rPr>
                                    <w:t>S</w:t>
                                  </w:r>
                                  <w:r>
                                    <w:rPr>
                                      <w:rFonts w:hint="default" w:ascii="Times New Roman" w:hAnsi="Times New Roman" w:eastAsia="宋体" w:cs="Times New Roman"/>
                                      <w:color w:val="auto"/>
                                      <w:kern w:val="2"/>
                                      <w:sz w:val="18"/>
                                      <w:szCs w:val="18"/>
                                      <w:lang w:val="en-US" w:eastAsia="zh-CN" w:bidi="ar-SA"/>
                                    </w:rPr>
                                    <w:t>为</w:t>
                                  </w:r>
                                  <w:r>
                                    <w:rPr>
                                      <w:rFonts w:hint="eastAsia" w:ascii="Times New Roman" w:hAnsi="Times New Roman" w:cs="Times New Roman"/>
                                      <w:color w:val="auto"/>
                                      <w:kern w:val="2"/>
                                      <w:sz w:val="18"/>
                                      <w:szCs w:val="18"/>
                                      <w:lang w:val="en-US" w:eastAsia="zh-CN" w:bidi="ar-SA"/>
                                    </w:rPr>
                                    <w:t>废水</w:t>
                                  </w:r>
                                  <w:r>
                                    <w:rPr>
                                      <w:rFonts w:hint="default" w:ascii="Times New Roman" w:hAnsi="Times New Roman" w:eastAsia="宋体" w:cs="Times New Roman"/>
                                      <w:color w:val="auto"/>
                                      <w:kern w:val="2"/>
                                      <w:sz w:val="18"/>
                                      <w:szCs w:val="18"/>
                                      <w:lang w:val="en-US" w:eastAsia="zh-CN" w:bidi="ar-SA"/>
                                    </w:rPr>
                                    <w:t>测点</w:t>
                                  </w:r>
                                  <w:r>
                                    <w:rPr>
                                      <w:rFonts w:hint="eastAsia" w:ascii="Times New Roman" w:hAnsi="Times New Roman" w:cs="Times New Roman"/>
                                      <w:color w:val="auto"/>
                                      <w:kern w:val="2"/>
                                      <w:sz w:val="18"/>
                                      <w:szCs w:val="18"/>
                                      <w:lang w:val="en-US" w:eastAsia="zh-CN" w:bidi="ar-SA"/>
                                    </w:rPr>
                                    <w:t>位置</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72576" behindDoc="0" locked="0" layoutInCell="1" allowOverlap="1">
                            <wp:simplePos x="0" y="0"/>
                            <wp:positionH relativeFrom="column">
                              <wp:posOffset>4486275</wp:posOffset>
                            </wp:positionH>
                            <wp:positionV relativeFrom="paragraph">
                              <wp:posOffset>424815</wp:posOffset>
                            </wp:positionV>
                            <wp:extent cx="380365" cy="398145"/>
                            <wp:effectExtent l="0" t="0" r="635" b="1905"/>
                            <wp:wrapNone/>
                            <wp:docPr id="41" name="文本框 41"/>
                            <wp:cNvGraphicFramePr/>
                            <a:graphic xmlns:a="http://schemas.openxmlformats.org/drawingml/2006/main">
                              <a:graphicData uri="http://schemas.microsoft.com/office/word/2010/wordprocessingShape">
                                <wps:wsp>
                                  <wps:cNvSpPr txBox="1"/>
                                  <wps:spPr>
                                    <a:xfrm>
                                      <a:off x="5697855" y="1345565"/>
                                      <a:ext cx="380365" cy="3981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color w:val="FF0000"/>
                                            <w:sz w:val="21"/>
                                            <w:szCs w:val="21"/>
                                            <w:lang w:val="en-US" w:eastAsia="zh-CN"/>
                                          </w:rPr>
                                        </w:pPr>
                                        <w:r>
                                          <w:rPr>
                                            <w:rFonts w:hint="eastAsia"/>
                                            <w:color w:val="FF0000"/>
                                            <w:sz w:val="21"/>
                                            <w:szCs w:val="21"/>
                                            <w:lang w:val="en-US"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25pt;margin-top:33.45pt;height:31.35pt;width:29.95pt;z-index:251672576;mso-width-relative:page;mso-height-relative:page;" filled="f" stroked="f" coordsize="21600,21600" o:gfxdata="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Z7z2wAAAAoBAAAPAAAAAAAA&#10;AAEAIAAAACIAAABkcnMvZG93bnJldi54bWxQSwECFAAUAAAACACHTuJAQDXLgEgCAABzBAAADgAA&#10;AAAAAAABACAAAAAqAQAAZHJzL2Uyb0RvYy54bWxQSwUGAAAAAAYABgBZAQAA5AUAAAAA&#10;">
                            <v:fill on="f" focussize="0,0"/>
                            <v:stroke on="f" weight="0.5pt"/>
                            <v:imagedata o:title=""/>
                            <o:lock v:ext="edit" aspectratio="f"/>
                            <v:textbox>
                              <w:txbxContent>
                                <w:p>
                                  <w:pPr>
                                    <w:ind w:left="0" w:leftChars="0" w:firstLine="0" w:firstLineChars="0"/>
                                    <w:rPr>
                                      <w:rFonts w:hint="eastAsia" w:eastAsia="宋体"/>
                                      <w:color w:val="FF0000"/>
                                      <w:sz w:val="21"/>
                                      <w:szCs w:val="21"/>
                                      <w:lang w:val="en-US" w:eastAsia="zh-CN"/>
                                    </w:rPr>
                                  </w:pPr>
                                  <w:r>
                                    <w:rPr>
                                      <w:rFonts w:hint="eastAsia"/>
                                      <w:color w:val="FF0000"/>
                                      <w:sz w:val="21"/>
                                      <w:szCs w:val="21"/>
                                      <w:lang w:val="en-US" w:eastAsia="zh-CN"/>
                                    </w:rPr>
                                    <w:t>北</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71552" behindDoc="0" locked="0" layoutInCell="1" allowOverlap="1">
                            <wp:simplePos x="0" y="0"/>
                            <wp:positionH relativeFrom="column">
                              <wp:posOffset>4815205</wp:posOffset>
                            </wp:positionH>
                            <wp:positionV relativeFrom="paragraph">
                              <wp:posOffset>248285</wp:posOffset>
                            </wp:positionV>
                            <wp:extent cx="0" cy="441325"/>
                            <wp:effectExtent l="48895" t="0" r="65405" b="15875"/>
                            <wp:wrapNone/>
                            <wp:docPr id="40" name="直接箭头连接符 40"/>
                            <wp:cNvGraphicFramePr/>
                            <a:graphic xmlns:a="http://schemas.openxmlformats.org/drawingml/2006/main">
                              <a:graphicData uri="http://schemas.microsoft.com/office/word/2010/wordprocessingShape">
                                <wps:wsp>
                                  <wps:cNvCnPr/>
                                  <wps:spPr>
                                    <a:xfrm flipV="1">
                                      <a:off x="6026785" y="1169035"/>
                                      <a:ext cx="0" cy="4413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79.15pt;margin-top:19.55pt;height:34.75pt;width:0pt;z-index:251671552;mso-width-relative:page;mso-height-relative:page;" filled="f" stroked="t" coordsize="21600,21600" o:gfxdata="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5M09YAAAAKAQAADwAAAAAAAAABACAA&#10;AAAiAAAAZHJzL2Rvd25yZXYueG1sUEsBAhQAFAAAAAgAh07iQAvv8NYPAgAA3gMAAA4AAAAAAAAA&#10;AQAgAAAAJQEAAGRycy9lMm9Eb2MueG1sUEsFBgAAAAAGAAYAWQEAAKYFAAAAAA==&#10;">
                            <v:fill on="f" focussize="0,0"/>
                            <v:stroke color="#FF0000 [3204]" joinstyle="round" endarrow="open"/>
                            <v:imagedata o:title=""/>
                            <o:lock v:ext="edit" aspectratio="f"/>
                          </v:shape>
                        </w:pict>
                      </mc:Fallback>
                    </mc:AlternateContent>
                  </w:r>
                  <w:r>
                    <w:drawing>
                      <wp:inline distT="0" distB="0" distL="114300" distR="114300">
                        <wp:extent cx="4796790" cy="3554095"/>
                        <wp:effectExtent l="0" t="0" r="6985" b="825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21"/>
                                <a:srcRect l="22250" t="28099" r="20758"/>
                                <a:stretch>
                                  <a:fillRect/>
                                </a:stretch>
                              </pic:blipFill>
                              <pic:spPr>
                                <a:xfrm>
                                  <a:off x="0" y="0"/>
                                  <a:ext cx="4796790" cy="3554095"/>
                                </a:xfrm>
                                <a:prstGeom prst="rect">
                                  <a:avLst/>
                                </a:prstGeom>
                                <a:noFill/>
                                <a:ln>
                                  <a:noFill/>
                                </a:ln>
                              </pic:spPr>
                            </pic:pic>
                          </a:graphicData>
                        </a:graphic>
                      </wp:inline>
                    </w:drawing>
                  </w:r>
                </w:p>
                <w:p>
                  <w:pPr>
                    <w:pStyle w:val="19"/>
                    <w:jc w:val="both"/>
                    <w:rPr>
                      <w:rFonts w:hint="default" w:ascii="Times New Roman" w:hAnsi="Times New Roman" w:cs="Times New Roman"/>
                      <w:color w:val="auto"/>
                      <w:lang w:val="en-US" w:eastAsia="zh-CN"/>
                    </w:rPr>
                  </w:pPr>
                </w:p>
              </w:tc>
            </w:tr>
          </w:tbl>
          <w:p>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t>图</w:t>
            </w:r>
            <w:r>
              <w:rPr>
                <w:rFonts w:hint="default" w:ascii="Times New Roman" w:hAnsi="Times New Roman" w:cs="Times New Roman"/>
                <w:color w:val="auto"/>
                <w:lang w:val="en-US" w:eastAsia="zh-CN"/>
              </w:rPr>
              <w:t>7</w:t>
            </w:r>
            <w:r>
              <w:rPr>
                <w:rFonts w:hint="default" w:ascii="Times New Roman" w:hAnsi="Times New Roman" w:cs="Times New Roman"/>
                <w:color w:val="auto"/>
              </w:rPr>
              <w:t>-1  废</w:t>
            </w:r>
            <w:r>
              <w:rPr>
                <w:rFonts w:hint="default" w:ascii="Times New Roman" w:hAnsi="Times New Roman" w:cs="Times New Roman"/>
                <w:color w:val="auto"/>
                <w:lang w:eastAsia="zh-CN"/>
              </w:rPr>
              <w:t>水</w:t>
            </w:r>
            <w:r>
              <w:rPr>
                <w:rFonts w:hint="default" w:ascii="Times New Roman" w:hAnsi="Times New Roman" w:cs="Times New Roman"/>
                <w:color w:val="auto"/>
              </w:rPr>
              <w:t>监测点位图</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月</w:t>
            </w: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日、</w:t>
            </w:r>
            <w:r>
              <w:rPr>
                <w:rFonts w:hint="eastAsia" w:ascii="Times New Roman" w:hAnsi="Times New Roman" w:cs="Times New Roman"/>
                <w:color w:val="auto"/>
                <w:lang w:val="en-US" w:eastAsia="zh-CN"/>
              </w:rPr>
              <w:t>9</w:t>
            </w:r>
            <w:r>
              <w:rPr>
                <w:rFonts w:hint="default" w:ascii="Times New Roman" w:hAnsi="Times New Roman" w:cs="Times New Roman"/>
                <w:color w:val="auto"/>
                <w:lang w:val="en-US" w:eastAsia="zh-CN"/>
              </w:rPr>
              <w:t>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rPr>
            </w:pPr>
            <w:r>
              <w:rPr>
                <w:rFonts w:hint="default" w:ascii="Times New Roman" w:hAnsi="Times New Roman" w:cs="Times New Roman"/>
                <w:color w:val="auto"/>
              </w:rPr>
              <w:t>2、验收监测依据及标准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废水采样按</w:t>
            </w:r>
            <w:r>
              <w:rPr>
                <w:rFonts w:hint="default" w:ascii="Times New Roman" w:hAnsi="Times New Roman" w:cs="Times New Roman"/>
                <w:color w:val="auto"/>
                <w:lang w:eastAsia="zh-CN"/>
              </w:rPr>
              <w:t>生态环境部</w:t>
            </w:r>
            <w:r>
              <w:rPr>
                <w:rFonts w:hint="default" w:ascii="Times New Roman" w:hAnsi="Times New Roman" w:cs="Times New Roman"/>
                <w:color w:val="auto"/>
              </w:rPr>
              <w:t>《污水监测技术规范》</w:t>
            </w:r>
            <w:r>
              <w:rPr>
                <w:rFonts w:hint="default" w:ascii="Times New Roman" w:hAnsi="Times New Roman" w:cs="Times New Roman"/>
                <w:color w:val="auto"/>
                <w:lang w:eastAsia="zh-CN"/>
              </w:rPr>
              <w:t>（</w:t>
            </w:r>
            <w:r>
              <w:rPr>
                <w:rFonts w:hint="default" w:ascii="Times New Roman" w:hAnsi="Times New Roman" w:cs="Times New Roman"/>
                <w:color w:val="auto"/>
              </w:rPr>
              <w:t>HJ</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91</w:t>
            </w:r>
            <w:r>
              <w:rPr>
                <w:rFonts w:hint="default" w:ascii="Times New Roman" w:hAnsi="Times New Roman" w:cs="Times New Roman"/>
                <w:color w:val="auto"/>
                <w:lang w:val="en-US" w:eastAsia="zh-CN"/>
              </w:rPr>
              <w:t>.1</w:t>
            </w:r>
            <w:r>
              <w:rPr>
                <w:rFonts w:hint="default" w:ascii="Times New Roman" w:hAnsi="Times New Roman" w:cs="Times New Roman"/>
                <w:color w:val="auto"/>
              </w:rPr>
              <w:t>-20</w:t>
            </w:r>
            <w:r>
              <w:rPr>
                <w:rFonts w:hint="default" w:ascii="Times New Roman" w:hAnsi="Times New Roman" w:cs="Times New Roman"/>
                <w:color w:val="auto"/>
                <w:lang w:val="en-US" w:eastAsia="zh-CN"/>
              </w:rPr>
              <w:t>19</w:t>
            </w:r>
            <w:r>
              <w:rPr>
                <w:rFonts w:hint="default" w:ascii="Times New Roman" w:hAnsi="Times New Roman" w:cs="Times New Roman"/>
                <w:color w:val="auto"/>
                <w:lang w:eastAsia="zh-CN"/>
              </w:rPr>
              <w:t>）</w:t>
            </w:r>
            <w:r>
              <w:rPr>
                <w:rFonts w:hint="default" w:ascii="Times New Roman" w:hAnsi="Times New Roman" w:cs="Times New Roman"/>
                <w:color w:val="auto"/>
              </w:rPr>
              <w:t>及《建设项目竣工环境保护验收技术指南 污染影响类》中相关要求执行。</w:t>
            </w:r>
            <w:r>
              <w:rPr>
                <w:rFonts w:hint="eastAsia" w:ascii="Times New Roman" w:hAnsi="Times New Roman" w:cs="Times New Roman"/>
                <w:color w:val="auto"/>
                <w:lang w:val="en-US" w:eastAsia="zh-CN"/>
              </w:rPr>
              <w:t>污染物监测方法按控制标准对应方法执行。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酸雾净化塔废水经厂内污水处理站处理达标后全部回用于生产，不外排。水洗废水经污水站处理站处理后75%回用于生产，25%通过周家堂河汇入二干河。</w:t>
            </w:r>
          </w:p>
          <w:p>
            <w:pPr>
              <w:spacing w:line="360" w:lineRule="auto"/>
              <w:ind w:firstLine="480" w:firstLineChars="200"/>
              <w:rPr>
                <w:rFonts w:hint="default" w:ascii="Times New Roman" w:hAnsi="Times New Roman" w:cs="Times New Roman"/>
                <w:color w:val="auto"/>
              </w:rPr>
            </w:pPr>
            <w:r>
              <w:rPr>
                <w:rFonts w:hint="eastAsia" w:ascii="Times New Roman" w:hAnsi="Times New Roman" w:eastAsia="宋体" w:cs="Times New Roman"/>
                <w:color w:val="auto"/>
                <w:lang w:val="en-US" w:eastAsia="zh-CN"/>
              </w:rPr>
              <w:t>污水站处理站</w:t>
            </w:r>
            <w:r>
              <w:rPr>
                <w:rFonts w:hint="default" w:ascii="Times New Roman" w:hAnsi="Times New Roman" w:cs="Times New Roman"/>
                <w:color w:val="auto"/>
                <w:lang w:val="en-US" w:eastAsia="zh-CN"/>
              </w:rPr>
              <w:t>排</w:t>
            </w:r>
            <w:r>
              <w:rPr>
                <w:rFonts w:hint="default" w:ascii="Times New Roman" w:hAnsi="Times New Roman" w:eastAsia="宋体" w:cs="Times New Roman"/>
                <w:color w:val="auto"/>
                <w:lang w:val="en-US" w:eastAsia="zh-CN"/>
              </w:rPr>
              <w:t>口</w:t>
            </w:r>
            <w:r>
              <w:rPr>
                <w:rFonts w:hint="eastAsia" w:ascii="Times New Roman" w:hAnsi="Times New Roman" w:eastAsia="宋体" w:cs="Times New Roman"/>
                <w:color w:val="auto"/>
                <w:lang w:val="en-US" w:eastAsia="zh-CN"/>
              </w:rPr>
              <w:t>pH值、悬浮物、总铜和总锌</w:t>
            </w:r>
            <w:r>
              <w:rPr>
                <w:rFonts w:hint="default" w:ascii="Times New Roman" w:hAnsi="Times New Roman" w:eastAsia="宋体" w:cs="Times New Roman"/>
                <w:color w:val="auto"/>
                <w:lang w:val="en-US" w:eastAsia="zh-CN"/>
              </w:rPr>
              <w:t>执行</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电镀污染物排放标准</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（GB 21900</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rPr>
              <w:t>2008）</w:t>
            </w:r>
            <w:r>
              <w:rPr>
                <w:rFonts w:hint="eastAsia" w:ascii="Times New Roman" w:hAnsi="Times New Roman" w:eastAsia="宋体" w:cs="Times New Roman"/>
                <w:color w:val="auto"/>
                <w:lang w:val="en-US" w:eastAsia="zh-CN"/>
              </w:rPr>
              <w:t>表3</w:t>
            </w:r>
            <w:r>
              <w:rPr>
                <w:rFonts w:hint="default" w:ascii="Times New Roman" w:hAnsi="Times New Roman" w:cs="Times New Roman"/>
                <w:color w:val="auto"/>
                <w:lang w:val="en-US" w:eastAsia="zh-CN"/>
              </w:rPr>
              <w:t>标准</w:t>
            </w:r>
            <w:r>
              <w:rPr>
                <w:rFonts w:hint="eastAsia" w:ascii="Times New Roman" w:hAnsi="Times New Roman" w:cs="Times New Roman"/>
                <w:color w:val="auto"/>
                <w:lang w:val="en-US" w:eastAsia="zh-CN"/>
              </w:rPr>
              <w:t>，总锰执行</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污水综合排放标准</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GB 8978-1996</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表4一级标准，化学需氧量、氨氮和总磷执行《太湖地区城镇污水处理厂及重点工业行业主要水污染物排放限值》（DB 32/1072-2018）表2标准</w:t>
            </w:r>
            <w:r>
              <w:rPr>
                <w:rFonts w:hint="default" w:ascii="Times New Roman" w:hAnsi="Times New Roman" w:cs="Times New Roman"/>
                <w:color w:val="auto"/>
                <w:lang w:val="en-US" w:eastAsia="zh-CN"/>
              </w:rPr>
              <w:t>，</w:t>
            </w:r>
            <w:r>
              <w:rPr>
                <w:rFonts w:hint="default" w:ascii="Times New Roman" w:hAnsi="Times New Roman" w:cs="Times New Roman"/>
                <w:color w:val="auto"/>
              </w:rPr>
              <w:t>具体见表7-2</w:t>
            </w:r>
            <w:r>
              <w:rPr>
                <w:rFonts w:hint="default" w:ascii="Times New Roman" w:hAnsi="Times New Roman" w:cs="Times New Roman"/>
                <w:color w:val="auto"/>
                <w:lang w:val="en-US" w:eastAsia="zh-CN"/>
              </w:rPr>
              <w:t>。</w:t>
            </w:r>
          </w:p>
          <w:p>
            <w:pPr>
              <w:autoSpaceDE w:val="0"/>
              <w:autoSpaceDN w:val="0"/>
              <w:spacing w:line="360" w:lineRule="auto"/>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表7-2  废</w:t>
            </w:r>
            <w:r>
              <w:rPr>
                <w:rFonts w:hint="default" w:ascii="Times New Roman" w:hAnsi="Times New Roman" w:cs="Times New Roman"/>
                <w:color w:val="auto"/>
                <w:lang w:eastAsia="zh-CN"/>
              </w:rPr>
              <w:t>水污染物</w:t>
            </w:r>
            <w:r>
              <w:rPr>
                <w:rFonts w:hint="default" w:ascii="Times New Roman" w:hAnsi="Times New Roman" w:cs="Times New Roman"/>
                <w:color w:val="auto"/>
              </w:rPr>
              <w:t>排放标准</w:t>
            </w:r>
          </w:p>
          <w:tbl>
            <w:tblPr>
              <w:tblStyle w:val="16"/>
              <w:tblW w:w="48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2141"/>
              <w:gridCol w:w="1691"/>
              <w:gridCol w:w="1146"/>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31" w:type="pct"/>
                  <w:tcBorders>
                    <w:tl2br w:val="nil"/>
                    <w:tr2bl w:val="nil"/>
                  </w:tcBorders>
                  <w:noWrap w:val="0"/>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排放口名称</w:t>
                  </w:r>
                </w:p>
              </w:tc>
              <w:tc>
                <w:tcPr>
                  <w:tcW w:w="1326" w:type="pct"/>
                  <w:tcBorders>
                    <w:tl2br w:val="nil"/>
                    <w:tr2bl w:val="nil"/>
                  </w:tcBorders>
                  <w:noWrap w:val="0"/>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执行标准</w:t>
                  </w:r>
                </w:p>
              </w:tc>
              <w:tc>
                <w:tcPr>
                  <w:tcW w:w="1047" w:type="pct"/>
                  <w:tcBorders>
                    <w:tl2br w:val="nil"/>
                    <w:tr2bl w:val="nil"/>
                  </w:tcBorders>
                  <w:noWrap w:val="0"/>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污染物指标</w:t>
                  </w:r>
                </w:p>
              </w:tc>
              <w:tc>
                <w:tcPr>
                  <w:tcW w:w="709" w:type="pct"/>
                  <w:tcBorders>
                    <w:tl2br w:val="nil"/>
                    <w:tr2bl w:val="nil"/>
                  </w:tcBorders>
                  <w:noWrap w:val="0"/>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单位</w:t>
                  </w:r>
                </w:p>
              </w:tc>
              <w:tc>
                <w:tcPr>
                  <w:tcW w:w="1084" w:type="pct"/>
                  <w:tcBorders>
                    <w:tl2br w:val="nil"/>
                    <w:tr2bl w:val="nil"/>
                  </w:tcBorders>
                  <w:noWrap w:val="0"/>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831" w:type="pct"/>
                  <w:vMerge w:val="restart"/>
                  <w:tcBorders>
                    <w:tl2br w:val="nil"/>
                    <w:tr2bl w:val="nil"/>
                  </w:tcBorders>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污水站出口S2</w:t>
                  </w:r>
                </w:p>
              </w:tc>
              <w:tc>
                <w:tcPr>
                  <w:tcW w:w="1326" w:type="pct"/>
                  <w:vMerge w:val="restart"/>
                  <w:tcBorders>
                    <w:tl2br w:val="nil"/>
                    <w:tr2bl w:val="nil"/>
                  </w:tcBorders>
                  <w:noWrap w:val="0"/>
                  <w:vAlign w:val="center"/>
                </w:tcPr>
                <w:p>
                  <w:pPr>
                    <w:pStyle w:val="20"/>
                    <w:bidi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电镀污染物排放标准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 21900</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2008）</w:t>
                  </w:r>
                </w:p>
              </w:tc>
              <w:tc>
                <w:tcPr>
                  <w:tcW w:w="104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pH值</w:t>
                  </w:r>
                </w:p>
              </w:tc>
              <w:tc>
                <w:tcPr>
                  <w:tcW w:w="709" w:type="pct"/>
                  <w:tcBorders>
                    <w:tl2br w:val="nil"/>
                    <w:tr2bl w:val="nil"/>
                  </w:tcBorders>
                  <w:noWrap w:val="0"/>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无量纲</w:t>
                  </w:r>
                </w:p>
              </w:tc>
              <w:tc>
                <w:tcPr>
                  <w:tcW w:w="1084"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31" w:type="pct"/>
                  <w:vMerge w:val="continue"/>
                  <w:tcBorders>
                    <w:tl2br w:val="nil"/>
                    <w:tr2bl w:val="nil"/>
                  </w:tcBorders>
                  <w:noWrap w:val="0"/>
                  <w:vAlign w:val="center"/>
                </w:tcPr>
                <w:p>
                  <w:pPr>
                    <w:pStyle w:val="20"/>
                    <w:bidi w:val="0"/>
                    <w:rPr>
                      <w:rFonts w:hint="default" w:ascii="Times New Roman" w:hAnsi="Times New Roman" w:eastAsia="宋体" w:cs="Times New Roman"/>
                      <w:color w:val="auto"/>
                    </w:rPr>
                  </w:pPr>
                </w:p>
              </w:tc>
              <w:tc>
                <w:tcPr>
                  <w:tcW w:w="1326" w:type="pct"/>
                  <w:vMerge w:val="continue"/>
                  <w:tcBorders>
                    <w:tl2br w:val="nil"/>
                    <w:tr2bl w:val="nil"/>
                  </w:tcBorders>
                  <w:noWrap w:val="0"/>
                  <w:vAlign w:val="center"/>
                </w:tcPr>
                <w:p>
                  <w:pPr>
                    <w:pStyle w:val="20"/>
                    <w:bidi w:val="0"/>
                    <w:rPr>
                      <w:rFonts w:hint="default" w:ascii="Times New Roman" w:hAnsi="Times New Roman" w:eastAsia="宋体" w:cs="Times New Roman"/>
                      <w:color w:val="auto"/>
                    </w:rPr>
                  </w:pPr>
                </w:p>
              </w:tc>
              <w:tc>
                <w:tcPr>
                  <w:tcW w:w="104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0"/>
                      <w:sz w:val="21"/>
                      <w:szCs w:val="21"/>
                      <w:lang w:val="en-US" w:eastAsia="zh-CN"/>
                    </w:rPr>
                    <w:t>悬浮物</w:t>
                  </w:r>
                </w:p>
              </w:tc>
              <w:tc>
                <w:tcPr>
                  <w:tcW w:w="709" w:type="pct"/>
                  <w:vMerge w:val="restart"/>
                  <w:tcBorders>
                    <w:tl2br w:val="nil"/>
                    <w:tr2bl w:val="nil"/>
                  </w:tcBorders>
                  <w:noWrap w:val="0"/>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mg/L</w:t>
                  </w:r>
                </w:p>
              </w:tc>
              <w:tc>
                <w:tcPr>
                  <w:tcW w:w="1084"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31" w:type="pct"/>
                  <w:vMerge w:val="continue"/>
                  <w:tcBorders>
                    <w:tl2br w:val="nil"/>
                    <w:tr2bl w:val="nil"/>
                  </w:tcBorders>
                  <w:noWrap w:val="0"/>
                  <w:vAlign w:val="center"/>
                </w:tcPr>
                <w:p>
                  <w:pPr>
                    <w:pStyle w:val="20"/>
                    <w:bidi w:val="0"/>
                    <w:rPr>
                      <w:rFonts w:hint="default" w:ascii="Times New Roman" w:hAnsi="Times New Roman" w:eastAsia="宋体" w:cs="Times New Roman"/>
                      <w:color w:val="auto"/>
                    </w:rPr>
                  </w:pPr>
                </w:p>
              </w:tc>
              <w:tc>
                <w:tcPr>
                  <w:tcW w:w="1326" w:type="pct"/>
                  <w:vMerge w:val="continue"/>
                  <w:tcBorders>
                    <w:tl2br w:val="nil"/>
                    <w:tr2bl w:val="nil"/>
                  </w:tcBorders>
                  <w:noWrap w:val="0"/>
                  <w:vAlign w:val="center"/>
                </w:tcPr>
                <w:p>
                  <w:pPr>
                    <w:pStyle w:val="20"/>
                    <w:bidi w:val="0"/>
                    <w:rPr>
                      <w:rFonts w:hint="default" w:ascii="Times New Roman" w:hAnsi="Times New Roman" w:eastAsia="宋体" w:cs="Times New Roman"/>
                      <w:color w:val="auto"/>
                    </w:rPr>
                  </w:pPr>
                </w:p>
              </w:tc>
              <w:tc>
                <w:tcPr>
                  <w:tcW w:w="104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总铜</w:t>
                  </w:r>
                </w:p>
              </w:tc>
              <w:tc>
                <w:tcPr>
                  <w:tcW w:w="709" w:type="pct"/>
                  <w:vMerge w:val="continue"/>
                  <w:tcBorders>
                    <w:tl2br w:val="nil"/>
                    <w:tr2bl w:val="nil"/>
                  </w:tcBorders>
                  <w:noWrap w:val="0"/>
                  <w:vAlign w:val="center"/>
                </w:tcPr>
                <w:p>
                  <w:pPr>
                    <w:pStyle w:val="20"/>
                    <w:bidi w:val="0"/>
                    <w:rPr>
                      <w:rFonts w:hint="default" w:ascii="Times New Roman" w:hAnsi="Times New Roman" w:cs="Times New Roman"/>
                      <w:color w:val="auto"/>
                    </w:rPr>
                  </w:pPr>
                </w:p>
              </w:tc>
              <w:tc>
                <w:tcPr>
                  <w:tcW w:w="1084"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31" w:type="pct"/>
                  <w:vMerge w:val="continue"/>
                  <w:tcBorders>
                    <w:tl2br w:val="nil"/>
                    <w:tr2bl w:val="nil"/>
                  </w:tcBorders>
                  <w:noWrap w:val="0"/>
                  <w:vAlign w:val="center"/>
                </w:tcPr>
                <w:p>
                  <w:pPr>
                    <w:pStyle w:val="20"/>
                    <w:bidi w:val="0"/>
                    <w:rPr>
                      <w:rFonts w:hint="default" w:ascii="Times New Roman" w:hAnsi="Times New Roman" w:eastAsia="宋体" w:cs="Times New Roman"/>
                      <w:color w:val="auto"/>
                    </w:rPr>
                  </w:pPr>
                </w:p>
              </w:tc>
              <w:tc>
                <w:tcPr>
                  <w:tcW w:w="1326" w:type="pct"/>
                  <w:vMerge w:val="continue"/>
                  <w:tcBorders>
                    <w:tl2br w:val="nil"/>
                    <w:tr2bl w:val="nil"/>
                  </w:tcBorders>
                  <w:noWrap w:val="0"/>
                  <w:vAlign w:val="center"/>
                </w:tcPr>
                <w:p>
                  <w:pPr>
                    <w:pStyle w:val="20"/>
                    <w:bidi w:val="0"/>
                    <w:rPr>
                      <w:rFonts w:hint="default" w:ascii="Times New Roman" w:hAnsi="Times New Roman" w:eastAsia="宋体" w:cs="Times New Roman"/>
                      <w:color w:val="auto"/>
                    </w:rPr>
                  </w:pPr>
                </w:p>
              </w:tc>
              <w:tc>
                <w:tcPr>
                  <w:tcW w:w="104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总锌</w:t>
                  </w:r>
                </w:p>
              </w:tc>
              <w:tc>
                <w:tcPr>
                  <w:tcW w:w="709" w:type="pct"/>
                  <w:vMerge w:val="continue"/>
                  <w:tcBorders>
                    <w:tl2br w:val="nil"/>
                    <w:tr2bl w:val="nil"/>
                  </w:tcBorders>
                  <w:noWrap w:val="0"/>
                  <w:vAlign w:val="center"/>
                </w:tcPr>
                <w:p>
                  <w:pPr>
                    <w:pStyle w:val="20"/>
                    <w:bidi w:val="0"/>
                    <w:rPr>
                      <w:rFonts w:hint="default" w:ascii="Times New Roman" w:hAnsi="Times New Roman" w:cs="Times New Roman"/>
                      <w:color w:val="auto"/>
                    </w:rPr>
                  </w:pPr>
                </w:p>
              </w:tc>
              <w:tc>
                <w:tcPr>
                  <w:tcW w:w="1084"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31" w:type="pct"/>
                  <w:vMerge w:val="continue"/>
                  <w:tcBorders>
                    <w:tl2br w:val="nil"/>
                    <w:tr2bl w:val="nil"/>
                  </w:tcBorders>
                  <w:noWrap w:val="0"/>
                  <w:vAlign w:val="center"/>
                </w:tcPr>
                <w:p>
                  <w:pPr>
                    <w:pStyle w:val="20"/>
                    <w:bidi w:val="0"/>
                    <w:rPr>
                      <w:rFonts w:hint="default" w:ascii="Times New Roman" w:hAnsi="Times New Roman" w:eastAsia="宋体" w:cs="Times New Roman"/>
                      <w:color w:val="auto"/>
                    </w:rPr>
                  </w:pPr>
                </w:p>
              </w:tc>
              <w:tc>
                <w:tcPr>
                  <w:tcW w:w="1326" w:type="pct"/>
                  <w:tcBorders>
                    <w:tl2br w:val="nil"/>
                    <w:tr2bl w:val="nil"/>
                  </w:tcBorders>
                  <w:noWrap w:val="0"/>
                  <w:vAlign w:val="center"/>
                </w:tcPr>
                <w:p>
                  <w:pPr>
                    <w:pStyle w:val="20"/>
                    <w:bidi w:val="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污水综合排放标准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GB 8978-1996</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表4一级标准</w:t>
                  </w:r>
                </w:p>
              </w:tc>
              <w:tc>
                <w:tcPr>
                  <w:tcW w:w="104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总锰</w:t>
                  </w:r>
                </w:p>
              </w:tc>
              <w:tc>
                <w:tcPr>
                  <w:tcW w:w="709" w:type="pct"/>
                  <w:vMerge w:val="continue"/>
                  <w:tcBorders>
                    <w:tl2br w:val="nil"/>
                    <w:tr2bl w:val="nil"/>
                  </w:tcBorders>
                  <w:noWrap w:val="0"/>
                  <w:vAlign w:val="center"/>
                </w:tcPr>
                <w:p>
                  <w:pPr>
                    <w:pStyle w:val="20"/>
                    <w:bidi w:val="0"/>
                    <w:rPr>
                      <w:rFonts w:hint="default" w:ascii="Times New Roman" w:hAnsi="Times New Roman" w:cs="Times New Roman"/>
                      <w:color w:val="auto"/>
                    </w:rPr>
                  </w:pPr>
                </w:p>
              </w:tc>
              <w:tc>
                <w:tcPr>
                  <w:tcW w:w="1084"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31" w:type="pct"/>
                  <w:vMerge w:val="continue"/>
                  <w:tcBorders>
                    <w:tl2br w:val="nil"/>
                    <w:tr2bl w:val="nil"/>
                  </w:tcBorders>
                  <w:noWrap w:val="0"/>
                  <w:vAlign w:val="center"/>
                </w:tcPr>
                <w:p>
                  <w:pPr>
                    <w:pStyle w:val="20"/>
                    <w:bidi w:val="0"/>
                    <w:rPr>
                      <w:rFonts w:hint="default" w:ascii="Times New Roman" w:hAnsi="Times New Roman" w:cs="Times New Roman"/>
                      <w:color w:val="auto"/>
                      <w:lang w:val="en-US" w:eastAsia="zh-CN"/>
                    </w:rPr>
                  </w:pPr>
                </w:p>
              </w:tc>
              <w:tc>
                <w:tcPr>
                  <w:tcW w:w="1326" w:type="pct"/>
                  <w:vMerge w:val="restart"/>
                  <w:tcBorders>
                    <w:tl2br w:val="nil"/>
                    <w:tr2bl w:val="nil"/>
                  </w:tcBorders>
                  <w:noWrap w:val="0"/>
                  <w:vAlign w:val="center"/>
                </w:tcPr>
                <w:p>
                  <w:pPr>
                    <w:pStyle w:val="20"/>
                    <w:bidi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太湖地区城镇污水处理厂及重点工业行业主要水污染物排放限值</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DB 32/1072-2018</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表2标准</w:t>
                  </w:r>
                </w:p>
              </w:tc>
              <w:tc>
                <w:tcPr>
                  <w:tcW w:w="104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化学需氧量</w:t>
                  </w:r>
                </w:p>
              </w:tc>
              <w:tc>
                <w:tcPr>
                  <w:tcW w:w="709" w:type="pct"/>
                  <w:vMerge w:val="continue"/>
                  <w:tcBorders>
                    <w:tl2br w:val="nil"/>
                    <w:tr2bl w:val="nil"/>
                  </w:tcBorders>
                  <w:noWrap w:val="0"/>
                  <w:vAlign w:val="center"/>
                </w:tcPr>
                <w:p>
                  <w:pPr>
                    <w:pStyle w:val="20"/>
                    <w:bidi w:val="0"/>
                    <w:rPr>
                      <w:rFonts w:hint="default" w:ascii="Times New Roman" w:hAnsi="Times New Roman" w:cs="Times New Roman"/>
                      <w:color w:val="auto"/>
                    </w:rPr>
                  </w:pPr>
                </w:p>
              </w:tc>
              <w:tc>
                <w:tcPr>
                  <w:tcW w:w="1084"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31" w:type="pct"/>
                  <w:vMerge w:val="continue"/>
                  <w:tcBorders>
                    <w:tl2br w:val="nil"/>
                    <w:tr2bl w:val="nil"/>
                  </w:tcBorders>
                  <w:noWrap w:val="0"/>
                  <w:vAlign w:val="center"/>
                </w:tcPr>
                <w:p>
                  <w:pPr>
                    <w:pStyle w:val="20"/>
                    <w:bidi w:val="0"/>
                    <w:rPr>
                      <w:rFonts w:hint="default" w:ascii="Times New Roman" w:hAnsi="Times New Roman" w:cs="Times New Roman"/>
                      <w:color w:val="auto"/>
                    </w:rPr>
                  </w:pPr>
                </w:p>
              </w:tc>
              <w:tc>
                <w:tcPr>
                  <w:tcW w:w="1326" w:type="pct"/>
                  <w:vMerge w:val="continue"/>
                  <w:tcBorders>
                    <w:tl2br w:val="nil"/>
                    <w:tr2bl w:val="nil"/>
                  </w:tcBorders>
                  <w:noWrap w:val="0"/>
                  <w:vAlign w:val="center"/>
                </w:tcPr>
                <w:p>
                  <w:pPr>
                    <w:pStyle w:val="20"/>
                    <w:bidi w:val="0"/>
                    <w:rPr>
                      <w:rFonts w:hint="default" w:ascii="Times New Roman" w:hAnsi="Times New Roman" w:cs="Times New Roman"/>
                      <w:color w:val="auto"/>
                    </w:rPr>
                  </w:pPr>
                </w:p>
              </w:tc>
              <w:tc>
                <w:tcPr>
                  <w:tcW w:w="104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氨氮</w:t>
                  </w:r>
                </w:p>
              </w:tc>
              <w:tc>
                <w:tcPr>
                  <w:tcW w:w="709" w:type="pct"/>
                  <w:vMerge w:val="continue"/>
                  <w:tcBorders>
                    <w:tl2br w:val="nil"/>
                    <w:tr2bl w:val="nil"/>
                  </w:tcBorders>
                  <w:noWrap w:val="0"/>
                  <w:vAlign w:val="center"/>
                </w:tcPr>
                <w:p>
                  <w:pPr>
                    <w:pStyle w:val="20"/>
                    <w:bidi w:val="0"/>
                    <w:rPr>
                      <w:rFonts w:hint="default" w:ascii="Times New Roman" w:hAnsi="Times New Roman" w:cs="Times New Roman"/>
                      <w:color w:val="auto"/>
                    </w:rPr>
                  </w:pPr>
                </w:p>
              </w:tc>
              <w:tc>
                <w:tcPr>
                  <w:tcW w:w="1084"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831" w:type="pct"/>
                  <w:vMerge w:val="continue"/>
                  <w:tcBorders>
                    <w:tl2br w:val="nil"/>
                    <w:tr2bl w:val="nil"/>
                  </w:tcBorders>
                  <w:noWrap w:val="0"/>
                  <w:vAlign w:val="center"/>
                </w:tcPr>
                <w:p>
                  <w:pPr>
                    <w:pStyle w:val="20"/>
                    <w:bidi w:val="0"/>
                    <w:rPr>
                      <w:rFonts w:hint="default" w:ascii="Times New Roman" w:hAnsi="Times New Roman" w:cs="Times New Roman"/>
                      <w:color w:val="auto"/>
                    </w:rPr>
                  </w:pPr>
                </w:p>
              </w:tc>
              <w:tc>
                <w:tcPr>
                  <w:tcW w:w="1326" w:type="pct"/>
                  <w:vMerge w:val="continue"/>
                  <w:tcBorders>
                    <w:tl2br w:val="nil"/>
                    <w:tr2bl w:val="nil"/>
                  </w:tcBorders>
                  <w:noWrap w:val="0"/>
                  <w:vAlign w:val="center"/>
                </w:tcPr>
                <w:p>
                  <w:pPr>
                    <w:pStyle w:val="20"/>
                    <w:bidi w:val="0"/>
                    <w:rPr>
                      <w:rFonts w:hint="default" w:ascii="Times New Roman" w:hAnsi="Times New Roman" w:cs="Times New Roman"/>
                      <w:color w:val="auto"/>
                    </w:rPr>
                  </w:pPr>
                </w:p>
              </w:tc>
              <w:tc>
                <w:tcPr>
                  <w:tcW w:w="1047"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cs="Times New Roman"/>
                      <w:b w:val="0"/>
                      <w:bCs w:val="0"/>
                      <w:color w:val="000000"/>
                      <w:kern w:val="2"/>
                      <w:sz w:val="21"/>
                      <w:szCs w:val="21"/>
                      <w:lang w:val="en-US" w:eastAsia="zh-CN" w:bidi="ar-SA"/>
                    </w:rPr>
                    <w:t>总磷</w:t>
                  </w:r>
                </w:p>
              </w:tc>
              <w:tc>
                <w:tcPr>
                  <w:tcW w:w="709" w:type="pct"/>
                  <w:vMerge w:val="continue"/>
                  <w:tcBorders>
                    <w:tl2br w:val="nil"/>
                    <w:tr2bl w:val="nil"/>
                  </w:tcBorders>
                  <w:noWrap w:val="0"/>
                  <w:vAlign w:val="center"/>
                </w:tcPr>
                <w:p>
                  <w:pPr>
                    <w:pStyle w:val="20"/>
                    <w:bidi w:val="0"/>
                    <w:rPr>
                      <w:rFonts w:hint="default" w:ascii="Times New Roman" w:hAnsi="Times New Roman" w:cs="Times New Roman"/>
                      <w:color w:val="auto"/>
                    </w:rPr>
                  </w:pPr>
                </w:p>
              </w:tc>
              <w:tc>
                <w:tcPr>
                  <w:tcW w:w="1084" w:type="pct"/>
                  <w:tcBorders>
                    <w:tl2br w:val="nil"/>
                    <w:tr2bl w:val="nil"/>
                  </w:tcBorders>
                  <w:noWrap w:val="0"/>
                  <w:vAlign w:val="center"/>
                </w:tcPr>
                <w:p>
                  <w:pPr>
                    <w:adjustRightInd w:val="0"/>
                    <w:snapToGrid w:val="0"/>
                    <w:spacing w:line="240" w:lineRule="auto"/>
                    <w:ind w:firstLine="0" w:firstLineChars="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 w:val="21"/>
                      <w:szCs w:val="21"/>
                      <w:lang w:val="en-US" w:eastAsia="zh-CN"/>
                    </w:rPr>
                    <w:t>0.5</w:t>
                  </w:r>
                </w:p>
              </w:tc>
            </w:tr>
          </w:tbl>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3、监测结果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污水站出口</w:t>
            </w:r>
            <w:r>
              <w:rPr>
                <w:rFonts w:hint="eastAsia" w:ascii="Times New Roman" w:hAnsi="Times New Roman" w:eastAsia="宋体" w:cs="Times New Roman"/>
                <w:color w:val="auto"/>
                <w:lang w:val="en-US" w:eastAsia="zh-CN"/>
              </w:rPr>
              <w:t>pH值、悬浮物、总铜和总锌</w:t>
            </w:r>
            <w:r>
              <w:rPr>
                <w:rFonts w:hint="default" w:ascii="Times New Roman" w:hAnsi="Times New Roman" w:cs="Times New Roman"/>
                <w:color w:val="auto"/>
                <w:lang w:eastAsia="zh-CN"/>
              </w:rPr>
              <w:t>浓度日均值均满足</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电镀污染物排放标准</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rPr>
              <w:t>（GB 21900</w:t>
            </w:r>
            <w:r>
              <w:rPr>
                <w:rFonts w:hint="eastAsia" w:ascii="Times New Roman" w:hAnsi="Times New Roman" w:eastAsia="宋体" w:cs="Times New Roman"/>
                <w:color w:val="auto"/>
                <w:lang w:val="en-US" w:eastAsia="zh-CN"/>
              </w:rPr>
              <w:t>-</w:t>
            </w:r>
            <w:r>
              <w:rPr>
                <w:rFonts w:hint="eastAsia" w:ascii="Times New Roman" w:hAnsi="Times New Roman" w:eastAsia="宋体" w:cs="Times New Roman"/>
                <w:color w:val="auto"/>
              </w:rPr>
              <w:t>2008）</w:t>
            </w:r>
            <w:r>
              <w:rPr>
                <w:rFonts w:hint="eastAsia" w:ascii="Times New Roman" w:hAnsi="Times New Roman" w:eastAsia="宋体" w:cs="Times New Roman"/>
                <w:color w:val="auto"/>
                <w:lang w:val="en-US" w:eastAsia="zh-CN"/>
              </w:rPr>
              <w:t>表3</w:t>
            </w:r>
            <w:r>
              <w:rPr>
                <w:rFonts w:hint="eastAsia" w:ascii="Times New Roman" w:hAnsi="Times New Roman" w:cs="Times New Roman"/>
                <w:color w:val="auto"/>
                <w:lang w:val="en-US" w:eastAsia="zh-CN"/>
              </w:rPr>
              <w:t>标准</w:t>
            </w:r>
            <w:r>
              <w:rPr>
                <w:rFonts w:hint="default" w:ascii="Times New Roman" w:hAnsi="Times New Roman" w:cs="Times New Roman"/>
                <w:color w:val="auto"/>
                <w:lang w:eastAsia="zh-CN"/>
              </w:rPr>
              <w:t>限值要求，</w:t>
            </w:r>
            <w:r>
              <w:rPr>
                <w:rFonts w:hint="eastAsia" w:ascii="Times New Roman" w:hAnsi="Times New Roman" w:cs="Times New Roman"/>
                <w:color w:val="auto"/>
                <w:lang w:val="en-US" w:eastAsia="zh-CN"/>
              </w:rPr>
              <w:t>总锰</w:t>
            </w:r>
            <w:r>
              <w:rPr>
                <w:rFonts w:hint="default" w:ascii="Times New Roman" w:hAnsi="Times New Roman" w:cs="Times New Roman"/>
                <w:color w:val="auto"/>
                <w:lang w:eastAsia="zh-CN"/>
              </w:rPr>
              <w:t>浓度日均值均满足</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污水综合排放标准</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GB 8978-1996</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表4一级标准</w:t>
            </w:r>
            <w:r>
              <w:rPr>
                <w:rFonts w:hint="default" w:ascii="Times New Roman" w:hAnsi="Times New Roman" w:cs="Times New Roman"/>
                <w:color w:val="auto"/>
                <w:lang w:eastAsia="zh-CN"/>
              </w:rPr>
              <w:t>限值要求</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lang w:val="en-US" w:eastAsia="zh-CN"/>
              </w:rPr>
              <w:t>化学需氧量、氨氮和总磷浓度日均值均满足《太湖地区城镇污水处理厂及重点工业行业主要水污染物排放限值》（DB 32/1072-2018）表2标准限值要求</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悬浮物</w:t>
            </w:r>
            <w:r>
              <w:rPr>
                <w:rFonts w:hint="default" w:ascii="Times New Roman" w:hAnsi="Times New Roman" w:cs="Times New Roman"/>
                <w:color w:val="auto"/>
                <w:lang w:val="en-US" w:eastAsia="zh-CN"/>
              </w:rPr>
              <w:t>去除效率两天</w:t>
            </w:r>
            <w:r>
              <w:rPr>
                <w:rFonts w:hint="eastAsia" w:ascii="Times New Roman" w:hAnsi="Times New Roman" w:cs="Times New Roman"/>
                <w:color w:val="auto"/>
                <w:lang w:val="en-US" w:eastAsia="zh-CN"/>
              </w:rPr>
              <w:t>分别</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80.8%、35.7</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化学需氧量</w:t>
            </w:r>
            <w:r>
              <w:rPr>
                <w:rFonts w:hint="default" w:ascii="Times New Roman" w:hAnsi="Times New Roman" w:cs="Times New Roman"/>
                <w:color w:val="auto"/>
                <w:lang w:val="en-US" w:eastAsia="zh-CN"/>
              </w:rPr>
              <w:t>去除效率两天</w:t>
            </w:r>
            <w:r>
              <w:rPr>
                <w:rFonts w:hint="eastAsia" w:ascii="Times New Roman" w:hAnsi="Times New Roman" w:cs="Times New Roman"/>
                <w:color w:val="auto"/>
                <w:lang w:val="en-US" w:eastAsia="zh-CN"/>
              </w:rPr>
              <w:t>分别</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95.1%、86.1</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氨氮</w:t>
            </w:r>
            <w:r>
              <w:rPr>
                <w:rFonts w:hint="default" w:ascii="Times New Roman" w:hAnsi="Times New Roman" w:cs="Times New Roman"/>
                <w:color w:val="auto"/>
                <w:lang w:val="en-US" w:eastAsia="zh-CN"/>
              </w:rPr>
              <w:t>去除效率两天</w:t>
            </w:r>
            <w:r>
              <w:rPr>
                <w:rFonts w:hint="eastAsia" w:ascii="Times New Roman" w:hAnsi="Times New Roman" w:cs="Times New Roman"/>
                <w:color w:val="auto"/>
                <w:lang w:val="en-US" w:eastAsia="zh-CN"/>
              </w:rPr>
              <w:t>分别</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96.0%、99.8</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总磷</w:t>
            </w:r>
            <w:r>
              <w:rPr>
                <w:rFonts w:hint="default" w:ascii="Times New Roman" w:hAnsi="Times New Roman" w:cs="Times New Roman"/>
                <w:color w:val="auto"/>
                <w:lang w:val="en-US" w:eastAsia="zh-CN"/>
              </w:rPr>
              <w:t>去除效率两天</w:t>
            </w:r>
            <w:r>
              <w:rPr>
                <w:rFonts w:hint="eastAsia" w:ascii="Times New Roman" w:hAnsi="Times New Roman" w:cs="Times New Roman"/>
                <w:color w:val="auto"/>
                <w:lang w:val="en-US" w:eastAsia="zh-CN"/>
              </w:rPr>
              <w:t>分别</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93.2%、99.4</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锰</w:t>
            </w:r>
            <w:r>
              <w:rPr>
                <w:rFonts w:hint="default" w:ascii="Times New Roman" w:hAnsi="Times New Roman" w:cs="Times New Roman"/>
                <w:color w:val="auto"/>
                <w:lang w:val="en-US" w:eastAsia="zh-CN"/>
              </w:rPr>
              <w:t>去除效率两天</w:t>
            </w:r>
            <w:r>
              <w:rPr>
                <w:rFonts w:hint="eastAsia" w:ascii="Times New Roman" w:hAnsi="Times New Roman" w:cs="Times New Roman"/>
                <w:color w:val="auto"/>
                <w:lang w:val="en-US" w:eastAsia="zh-CN"/>
              </w:rPr>
              <w:t>分别</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98.3%、98.4</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lang w:val="en-US" w:eastAsia="zh-CN"/>
              </w:rPr>
              <w:t>铜</w:t>
            </w:r>
            <w:r>
              <w:rPr>
                <w:rFonts w:hint="default" w:ascii="Times New Roman" w:hAnsi="Times New Roman" w:cs="Times New Roman"/>
                <w:color w:val="auto"/>
                <w:lang w:val="en-US" w:eastAsia="zh-CN"/>
              </w:rPr>
              <w:t>去除效率两天</w:t>
            </w:r>
            <w:r>
              <w:rPr>
                <w:rFonts w:hint="eastAsia" w:ascii="Times New Roman" w:hAnsi="Times New Roman" w:cs="Times New Roman"/>
                <w:color w:val="auto"/>
                <w:lang w:val="en-US" w:eastAsia="zh-CN"/>
              </w:rPr>
              <w:t>均</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100%，锌</w:t>
            </w:r>
            <w:r>
              <w:rPr>
                <w:rFonts w:hint="default" w:ascii="Times New Roman" w:hAnsi="Times New Roman" w:cs="Times New Roman"/>
                <w:color w:val="auto"/>
                <w:lang w:val="en-US" w:eastAsia="zh-CN"/>
              </w:rPr>
              <w:t>去除效率两天</w:t>
            </w:r>
            <w:r>
              <w:rPr>
                <w:rFonts w:hint="eastAsia" w:ascii="Times New Roman" w:hAnsi="Times New Roman" w:cs="Times New Roman"/>
                <w:color w:val="auto"/>
                <w:lang w:val="en-US" w:eastAsia="zh-CN"/>
              </w:rPr>
              <w:t>分别</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99.9%、99.7</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rPr>
            </w:pPr>
            <w:r>
              <w:rPr>
                <w:rFonts w:hint="default" w:ascii="Times New Roman" w:hAnsi="Times New Roman" w:cs="Times New Roman"/>
                <w:color w:val="auto"/>
              </w:rPr>
              <w:t>本次验收废水监测结果见表</w:t>
            </w:r>
            <w:r>
              <w:rPr>
                <w:rFonts w:hint="default" w:ascii="Times New Roman" w:hAnsi="Times New Roman" w:cs="Times New Roman"/>
                <w:color w:val="auto"/>
                <w:lang w:val="en-US" w:eastAsia="zh-CN"/>
              </w:rPr>
              <w:t>7</w:t>
            </w: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w:t>
            </w:r>
          </w:p>
          <w:p>
            <w:pPr>
              <w:ind w:left="0" w:leftChars="0" w:firstLine="0" w:firstLineChars="0"/>
              <w:rPr>
                <w:rFonts w:hint="default" w:ascii="Times New Roman" w:hAnsi="Times New Roman" w:cs="Times New Roman"/>
                <w:color w:val="auto"/>
              </w:rPr>
            </w:pPr>
          </w:p>
        </w:tc>
      </w:tr>
    </w:tbl>
    <w:p>
      <w:pPr>
        <w:rPr>
          <w:rFonts w:hint="default" w:ascii="Times New Roman" w:hAnsi="Times New Roman" w:eastAsia="宋体" w:cs="Times New Roman"/>
          <w:b/>
          <w:bCs/>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6"/>
        <w:tblW w:w="12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0" w:hRule="atLeast"/>
          <w:jc w:val="center"/>
        </w:trPr>
        <w:tc>
          <w:tcPr>
            <w:tcW w:w="12388" w:type="dxa"/>
            <w:vAlign w:val="top"/>
          </w:tcPr>
          <w:p>
            <w:pPr>
              <w:spacing w:line="360" w:lineRule="auto"/>
              <w:ind w:left="0" w:leftChars="0" w:firstLine="0" w:firstLineChars="0"/>
              <w:jc w:val="center"/>
              <w:rPr>
                <w:rFonts w:hint="default"/>
                <w:color w:val="auto"/>
                <w:lang w:val="en-US"/>
              </w:rPr>
            </w:pPr>
            <w:r>
              <w:rPr>
                <w:rFonts w:hint="default" w:ascii="Times New Roman" w:hAnsi="Times New Roman" w:cs="Times New Roman"/>
                <w:color w:val="auto"/>
                <w:lang w:val="zh-CN"/>
              </w:rPr>
              <w:t>表</w:t>
            </w:r>
            <w:r>
              <w:rPr>
                <w:rFonts w:hint="default" w:ascii="Times New Roman" w:hAnsi="Times New Roman" w:cs="Times New Roman"/>
                <w:color w:val="auto"/>
              </w:rPr>
              <w:t>7-</w:t>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废</w:t>
            </w:r>
            <w:r>
              <w:rPr>
                <w:rFonts w:hint="default" w:ascii="Times New Roman" w:hAnsi="Times New Roman" w:cs="Times New Roman"/>
                <w:color w:val="auto"/>
                <w:lang w:eastAsia="zh-CN"/>
              </w:rPr>
              <w:t>水</w:t>
            </w:r>
            <w:r>
              <w:rPr>
                <w:rFonts w:hint="default" w:ascii="Times New Roman" w:hAnsi="Times New Roman" w:cs="Times New Roman"/>
                <w:color w:val="auto"/>
              </w:rPr>
              <w:t>监测结果表</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月</w:t>
            </w: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日</w:t>
            </w:r>
            <w:r>
              <w:rPr>
                <w:rFonts w:hint="default" w:ascii="Times New Roman" w:hAnsi="Times New Roman" w:cs="Times New Roman"/>
                <w:color w:val="auto"/>
                <w:lang w:eastAsia="zh-CN"/>
              </w:rPr>
              <w:t>）</w:t>
            </w:r>
          </w:p>
          <w:tbl>
            <w:tblPr>
              <w:tblStyle w:val="16"/>
              <w:tblW w:w="12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7"/>
              <w:gridCol w:w="1217"/>
              <w:gridCol w:w="1217"/>
              <w:gridCol w:w="1217"/>
              <w:gridCol w:w="1217"/>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1217" w:type="dxa"/>
                  <w:vMerge w:val="restart"/>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监测点位</w:t>
                  </w:r>
                </w:p>
              </w:tc>
              <w:tc>
                <w:tcPr>
                  <w:tcW w:w="1217" w:type="dxa"/>
                  <w:vMerge w:val="restart"/>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监测频次</w:t>
                  </w:r>
                </w:p>
              </w:tc>
              <w:tc>
                <w:tcPr>
                  <w:tcW w:w="9743" w:type="dxa"/>
                  <w:gridSpan w:val="8"/>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监测项目（单位：mg/L，pH值无量纲）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pH值</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悬浮物</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化学需氧量</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氨氮</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总磷</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锰</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铜</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restart"/>
                  <w:noWrap w:val="0"/>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污水处理站进口S1</w:t>
                  </w: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第一次</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1.7</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26</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196</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0.748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2.89</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6.30</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0.86</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第二次</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1.7</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23</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186</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0.783</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2.72</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5.05</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0.80</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第三次</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1.7</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232</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0.780</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2.82</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4.96</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0.79</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第四次</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25</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203</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0.800</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2.74</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4.94</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0.79</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日均值/范围</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1.7～1.8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26</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204</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0.778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2.79</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5.31</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0.81</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restart"/>
                  <w:noWrap w:val="0"/>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污水处理站出口S2</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第一次</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7.4</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0.029</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0.19</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0.09</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ND</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第二次</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7.5</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0.028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0.19</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0.09</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ND</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第三次</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7.5</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0.036</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0.19</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0.09</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ND</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第四次</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7.5</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0.030</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0.20</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0.09</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val="en-US" w:eastAsia="zh-CN"/>
                    </w:rPr>
                    <w:t>ND</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日均值/范围</w:t>
                  </w:r>
                </w:p>
              </w:tc>
              <w:tc>
                <w:tcPr>
                  <w:tcW w:w="1217" w:type="dxa"/>
                  <w:noWrap w:val="0"/>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7.4~7.5</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0.031</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0.19</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0.09</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ND</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标准限值</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6</w:t>
                  </w:r>
                  <w:r>
                    <w:rPr>
                      <w:rFonts w:hint="default" w:ascii="Times New Roman" w:hAnsi="Times New Roman" w:cs="Times New Roman"/>
                      <w:color w:val="auto"/>
                      <w:sz w:val="21"/>
                      <w:szCs w:val="21"/>
                      <w:lang w:val="en-US" w:eastAsia="zh-CN"/>
                    </w:rPr>
                    <w:t>～9</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30</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kern w:val="0"/>
                      <w:sz w:val="21"/>
                      <w:szCs w:val="20"/>
                      <w:lang w:val="en-US" w:eastAsia="zh-CN" w:bidi="ar-SA"/>
                    </w:rPr>
                    <w:t>50</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0.5</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2.0</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0.3</w:t>
                  </w:r>
                </w:p>
              </w:tc>
              <w:tc>
                <w:tcPr>
                  <w:tcW w:w="1224"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达标情况</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c>
                <w:tcPr>
                  <w:tcW w:w="1224"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2434" w:type="dxa"/>
                  <w:gridSpan w:val="2"/>
                  <w:noWrap w:val="0"/>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处理效率</w:t>
                  </w:r>
                </w:p>
              </w:tc>
              <w:tc>
                <w:tcPr>
                  <w:tcW w:w="1217" w:type="dxa"/>
                  <w:noWrap w:val="0"/>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80.8</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95.1</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96.0</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93.2</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98.3</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100</w:t>
                  </w:r>
                </w:p>
              </w:tc>
              <w:tc>
                <w:tcPr>
                  <w:tcW w:w="1224"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99.9</w:t>
                  </w:r>
                </w:p>
              </w:tc>
            </w:tr>
          </w:tbl>
          <w:p>
            <w:pPr>
              <w:ind w:left="0" w:leftChars="0"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注：ND表示未检出，</w:t>
            </w:r>
            <w:r>
              <w:rPr>
                <w:rFonts w:hint="eastAsia" w:ascii="Times New Roman" w:hAnsi="Times New Roman" w:cs="Times New Roman"/>
                <w:color w:val="auto"/>
                <w:sz w:val="21"/>
                <w:szCs w:val="21"/>
                <w:lang w:val="en-US" w:eastAsia="zh-CN"/>
              </w:rPr>
              <w:t>铜</w:t>
            </w:r>
            <w:r>
              <w:rPr>
                <w:rFonts w:hint="default" w:ascii="Times New Roman" w:hAnsi="Times New Roman" w:cs="Times New Roman"/>
                <w:color w:val="auto"/>
                <w:sz w:val="21"/>
                <w:szCs w:val="21"/>
                <w:lang w:val="en-US" w:eastAsia="zh-CN"/>
              </w:rPr>
              <w:t>检出限为0.04mg/L。</w:t>
            </w:r>
          </w:p>
          <w:p>
            <w:pPr>
              <w:keepNext w:val="0"/>
              <w:keepLines w:val="0"/>
              <w:pageBreakBefore w:val="0"/>
              <w:widowControl w:val="0"/>
              <w:kinsoku/>
              <w:wordWrap/>
              <w:overflowPunct/>
              <w:topLinePunct w:val="0"/>
              <w:bidi w:val="0"/>
              <w:adjustRightInd w:val="0"/>
              <w:snapToGrid w:val="0"/>
              <w:spacing w:line="360" w:lineRule="auto"/>
              <w:ind w:left="0" w:leftChars="0" w:firstLine="0" w:firstLineChars="0"/>
              <w:jc w:val="both"/>
              <w:rPr>
                <w:rFonts w:hint="eastAsia"/>
                <w:color w:val="auto"/>
                <w:lang w:val="en-US" w:eastAsia="zh-CN"/>
              </w:rPr>
            </w:pPr>
          </w:p>
          <w:p>
            <w:pPr>
              <w:keepNext w:val="0"/>
              <w:keepLines w:val="0"/>
              <w:pageBreakBefore w:val="0"/>
              <w:widowControl w:val="0"/>
              <w:kinsoku/>
              <w:wordWrap/>
              <w:overflowPunct/>
              <w:topLinePunct w:val="0"/>
              <w:bidi w:val="0"/>
              <w:adjustRightInd w:val="0"/>
              <w:snapToGrid w:val="0"/>
              <w:spacing w:line="360" w:lineRule="auto"/>
              <w:ind w:left="0" w:leftChars="0" w:firstLine="0" w:firstLineChars="0"/>
              <w:jc w:val="both"/>
              <w:rPr>
                <w:rFonts w:hint="default"/>
                <w:color w:val="auto"/>
                <w:lang w:val="en-US"/>
              </w:rPr>
            </w:pPr>
            <w:r>
              <w:rPr>
                <w:rFonts w:hint="eastAsia"/>
                <w:color w:val="auto"/>
                <w:lang w:val="en-US" w:eastAsia="zh-CN"/>
              </w:rPr>
              <w:t>续</w:t>
            </w:r>
            <w:r>
              <w:rPr>
                <w:rFonts w:hint="default"/>
                <w:color w:val="auto"/>
                <w:lang w:eastAsia="zh-CN"/>
              </w:rPr>
              <w:t>表</w:t>
            </w:r>
            <w:r>
              <w:rPr>
                <w:rFonts w:hint="default"/>
                <w:color w:val="auto"/>
                <w:lang w:val="en-US" w:eastAsia="zh-CN"/>
              </w:rPr>
              <w:t>7-</w:t>
            </w:r>
            <w:r>
              <w:rPr>
                <w:rFonts w:hint="eastAsia"/>
                <w:color w:val="auto"/>
                <w:lang w:val="en-US" w:eastAsia="zh-CN"/>
              </w:rPr>
              <w:t>3（2023年6月9日）</w:t>
            </w:r>
          </w:p>
          <w:tbl>
            <w:tblPr>
              <w:tblStyle w:val="16"/>
              <w:tblW w:w="12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7"/>
              <w:gridCol w:w="1217"/>
              <w:gridCol w:w="1217"/>
              <w:gridCol w:w="1217"/>
              <w:gridCol w:w="1217"/>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1217" w:type="dxa"/>
                  <w:vMerge w:val="restart"/>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监测点位</w:t>
                  </w:r>
                </w:p>
              </w:tc>
              <w:tc>
                <w:tcPr>
                  <w:tcW w:w="1217" w:type="dxa"/>
                  <w:vMerge w:val="restart"/>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监测频次</w:t>
                  </w:r>
                </w:p>
              </w:tc>
              <w:tc>
                <w:tcPr>
                  <w:tcW w:w="9743" w:type="dxa"/>
                  <w:gridSpan w:val="8"/>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监测项目（单位：mg/L，pH值无量纲）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pH值</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悬浮物</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化学需氧量</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氨氮</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总磷</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锰</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铜</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restart"/>
                  <w:noWrap w:val="0"/>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污水处理站进口S1</w:t>
                  </w: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第一次</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1.7</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160</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43.6</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28.1</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3.74</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0.64</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第二次</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13</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81.4</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31.4</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4.74</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0.70</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第三次</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16</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161</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90.4</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33.8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6.18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0.97</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第四次</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1.7</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14</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155</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87.6</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34.4</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5.51</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0.84</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日均值/范围</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1.7～1.8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14</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75.8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31.9</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5.04</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0.79</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restart"/>
                  <w:noWrap w:val="0"/>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污水处理站出口S2</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第一次</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7.6</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21</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0.144</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0.17</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0.09</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ND</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第二次</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7.6</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22</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0.130</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ND</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第三次</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7.5</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22</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0.130</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0.10</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ND</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第四次</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7.5</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22</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0.135</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0.07</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val="en-US" w:eastAsia="zh-CN"/>
                    </w:rPr>
                    <w:t>ND</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日均值/范围</w:t>
                  </w:r>
                </w:p>
              </w:tc>
              <w:tc>
                <w:tcPr>
                  <w:tcW w:w="1217" w:type="dxa"/>
                  <w:noWrap w:val="0"/>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7.4~7.5</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22</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0.135</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0.18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0.08</w:t>
                  </w:r>
                </w:p>
              </w:tc>
              <w:tc>
                <w:tcPr>
                  <w:tcW w:w="1217"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ND</w:t>
                  </w:r>
                </w:p>
              </w:tc>
              <w:tc>
                <w:tcPr>
                  <w:tcW w:w="1224" w:type="dxa"/>
                  <w:noWrap w:val="0"/>
                  <w:vAlign w:val="center"/>
                </w:tcPr>
                <w:p>
                  <w:pPr>
                    <w:pStyle w:val="2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标准限值</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6</w:t>
                  </w:r>
                  <w:r>
                    <w:rPr>
                      <w:rFonts w:hint="default" w:ascii="Times New Roman" w:hAnsi="Times New Roman" w:cs="Times New Roman"/>
                      <w:color w:val="auto"/>
                      <w:sz w:val="21"/>
                      <w:szCs w:val="21"/>
                      <w:lang w:val="en-US" w:eastAsia="zh-CN"/>
                    </w:rPr>
                    <w:t>～9</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30</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kern w:val="0"/>
                      <w:sz w:val="21"/>
                      <w:szCs w:val="20"/>
                      <w:lang w:val="en-US" w:eastAsia="zh-CN" w:bidi="ar-SA"/>
                    </w:rPr>
                    <w:t>50</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4</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0.5</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2.0</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0.3</w:t>
                  </w:r>
                </w:p>
              </w:tc>
              <w:tc>
                <w:tcPr>
                  <w:tcW w:w="1224"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1217" w:type="dxa"/>
                  <w:vMerge w:val="continue"/>
                  <w:noWrap w:val="0"/>
                  <w:vAlign w:val="center"/>
                </w:tcPr>
                <w:p>
                  <w:pPr>
                    <w:pStyle w:val="20"/>
                    <w:bidi w:val="0"/>
                    <w:rPr>
                      <w:rFonts w:hint="default" w:ascii="Times New Roman" w:hAnsi="Times New Roman" w:cs="Times New Roman"/>
                      <w:color w:val="auto"/>
                      <w:lang w:val="en-US" w:eastAsia="zh-CN"/>
                    </w:rPr>
                  </w:pPr>
                </w:p>
              </w:tc>
              <w:tc>
                <w:tcPr>
                  <w:tcW w:w="1217" w:type="dxa"/>
                  <w:noWrap w:val="0"/>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达标情况</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val="en-US" w:eastAsia="zh-CN"/>
                    </w:rPr>
                    <w:t>达标</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val="en-US" w:eastAsia="zh-CN"/>
                    </w:rPr>
                    <w:t>达标</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val="en-US" w:eastAsia="zh-CN"/>
                    </w:rPr>
                    <w:t>达标</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val="en-US" w:eastAsia="zh-CN"/>
                    </w:rPr>
                    <w:t>达标</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val="en-US" w:eastAsia="zh-CN"/>
                    </w:rPr>
                    <w:t>达标</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val="en-US" w:eastAsia="zh-CN"/>
                    </w:rPr>
                    <w:t>达标</w:t>
                  </w:r>
                </w:p>
              </w:tc>
              <w:tc>
                <w:tcPr>
                  <w:tcW w:w="1217"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val="en-US" w:eastAsia="zh-CN"/>
                    </w:rPr>
                    <w:t>达标</w:t>
                  </w:r>
                </w:p>
              </w:tc>
              <w:tc>
                <w:tcPr>
                  <w:tcW w:w="1224" w:type="dxa"/>
                  <w:noWrap w:val="0"/>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2434" w:type="dxa"/>
                  <w:gridSpan w:val="2"/>
                  <w:noWrap w:val="0"/>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处理效率</w:t>
                  </w:r>
                </w:p>
              </w:tc>
              <w:tc>
                <w:tcPr>
                  <w:tcW w:w="1217" w:type="dxa"/>
                  <w:noWrap w:val="0"/>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35.7</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86.1</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99.8</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99.4</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98.4</w:t>
                  </w:r>
                </w:p>
              </w:tc>
              <w:tc>
                <w:tcPr>
                  <w:tcW w:w="1217"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100</w:t>
                  </w:r>
                </w:p>
              </w:tc>
              <w:tc>
                <w:tcPr>
                  <w:tcW w:w="1224"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99.7</w:t>
                  </w:r>
                </w:p>
              </w:tc>
            </w:tr>
          </w:tbl>
          <w:p>
            <w:pPr>
              <w:ind w:left="0" w:leftChars="0" w:firstLine="0" w:firstLineChars="0"/>
              <w:rPr>
                <w:rFonts w:hint="default"/>
                <w:color w:val="auto"/>
              </w:rPr>
            </w:pPr>
            <w:r>
              <w:rPr>
                <w:rFonts w:hint="default" w:ascii="Times New Roman" w:hAnsi="Times New Roman" w:cs="Times New Roman"/>
                <w:color w:val="auto"/>
                <w:sz w:val="21"/>
                <w:szCs w:val="21"/>
                <w:lang w:val="en-US" w:eastAsia="zh-CN"/>
              </w:rPr>
              <w:t>注：ND表示未检出，</w:t>
            </w:r>
            <w:r>
              <w:rPr>
                <w:rFonts w:hint="eastAsia" w:ascii="Times New Roman" w:hAnsi="Times New Roman" w:cs="Times New Roman"/>
                <w:color w:val="auto"/>
                <w:sz w:val="21"/>
                <w:szCs w:val="21"/>
                <w:lang w:val="en-US" w:eastAsia="zh-CN"/>
              </w:rPr>
              <w:t>铜</w:t>
            </w:r>
            <w:r>
              <w:rPr>
                <w:rFonts w:hint="default" w:ascii="Times New Roman" w:hAnsi="Times New Roman" w:cs="Times New Roman"/>
                <w:color w:val="auto"/>
                <w:sz w:val="21"/>
                <w:szCs w:val="21"/>
                <w:lang w:val="en-US" w:eastAsia="zh-CN"/>
              </w:rPr>
              <w:t>检出限为0.04mg/L。</w:t>
            </w:r>
          </w:p>
        </w:tc>
      </w:tr>
    </w:tbl>
    <w:p>
      <w:pPr>
        <w:rPr>
          <w:rFonts w:hint="default" w:ascii="Times New Roman" w:hAnsi="Times New Roman" w:eastAsia="宋体" w:cs="Times New Roman"/>
          <w:b/>
          <w:bCs/>
          <w:color w:val="auto"/>
          <w:sz w:val="28"/>
          <w:szCs w:val="28"/>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ind w:left="0" w:leftChars="0" w:firstLine="0" w:firstLineChars="0"/>
        <w:outlineLvl w:val="0"/>
        <w:rPr>
          <w:rFonts w:hint="default" w:ascii="Times New Roman" w:hAnsi="Times New Roman" w:eastAsia="宋体" w:cs="Times New Roman"/>
          <w:b/>
          <w:bCs/>
          <w:color w:val="auto"/>
          <w:sz w:val="28"/>
          <w:szCs w:val="28"/>
          <w:highlight w:val="none"/>
        </w:rPr>
      </w:pPr>
      <w:bookmarkStart w:id="19" w:name="_Toc23624"/>
      <w:bookmarkStart w:id="20" w:name="_Toc11567"/>
      <w:r>
        <w:rPr>
          <w:rFonts w:hint="default" w:ascii="Times New Roman" w:hAnsi="Times New Roman" w:eastAsia="宋体" w:cs="Times New Roman"/>
          <w:b/>
          <w:bCs/>
          <w:color w:val="auto"/>
          <w:sz w:val="28"/>
          <w:szCs w:val="28"/>
          <w:highlight w:val="none"/>
        </w:rPr>
        <w:t>表</w:t>
      </w:r>
      <w:r>
        <w:rPr>
          <w:rFonts w:hint="default" w:ascii="Times New Roman" w:hAnsi="Times New Roman" w:eastAsia="宋体" w:cs="Times New Roman"/>
          <w:b/>
          <w:bCs/>
          <w:color w:val="auto"/>
          <w:sz w:val="28"/>
          <w:szCs w:val="28"/>
          <w:highlight w:val="none"/>
          <w:lang w:val="en-US" w:eastAsia="zh-CN"/>
        </w:rPr>
        <w:t>八</w:t>
      </w:r>
      <w:r>
        <w:rPr>
          <w:rFonts w:hint="default" w:ascii="Times New Roman" w:hAnsi="Times New Roman" w:eastAsia="宋体" w:cs="Times New Roman"/>
          <w:b/>
          <w:bCs/>
          <w:color w:val="auto"/>
          <w:sz w:val="28"/>
          <w:szCs w:val="28"/>
          <w:highlight w:val="none"/>
        </w:rPr>
        <w:t>、废气监测内容及结果评价</w:t>
      </w:r>
      <w:bookmarkEnd w:id="19"/>
      <w:bookmarkEnd w:id="20"/>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5" w:hRule="atLeast"/>
          <w:jc w:val="center"/>
        </w:trPr>
        <w:tc>
          <w:tcPr>
            <w:tcW w:w="8522" w:type="dxa"/>
          </w:tcPr>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1、监测内容</w:t>
            </w:r>
          </w:p>
          <w:p>
            <w:pPr>
              <w:spacing w:line="360" w:lineRule="auto"/>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8</w:t>
            </w:r>
            <w:r>
              <w:rPr>
                <w:rFonts w:hint="default" w:ascii="Times New Roman" w:hAnsi="Times New Roman" w:cs="Times New Roman"/>
                <w:color w:val="auto"/>
              </w:rPr>
              <w:t>-1  废气监测内容</w:t>
            </w:r>
          </w:p>
          <w:tbl>
            <w:tblPr>
              <w:tblStyle w:val="1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832"/>
              <w:gridCol w:w="832"/>
              <w:gridCol w:w="1672"/>
              <w:gridCol w:w="1713"/>
              <w:gridCol w:w="2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59"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类别</w:t>
                  </w:r>
                </w:p>
              </w:tc>
              <w:tc>
                <w:tcPr>
                  <w:tcW w:w="1664" w:type="dxa"/>
                  <w:gridSpan w:val="2"/>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污染源</w:t>
                  </w:r>
                </w:p>
              </w:tc>
              <w:tc>
                <w:tcPr>
                  <w:tcW w:w="1672"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监测点位</w:t>
                  </w:r>
                </w:p>
              </w:tc>
              <w:tc>
                <w:tcPr>
                  <w:tcW w:w="1713"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监测项目</w:t>
                  </w:r>
                </w:p>
              </w:tc>
              <w:tc>
                <w:tcPr>
                  <w:tcW w:w="2488"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9" w:type="dxa"/>
                  <w:vMerge w:val="restar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有组织</w:t>
                  </w:r>
                </w:p>
              </w:tc>
              <w:tc>
                <w:tcPr>
                  <w:tcW w:w="1664" w:type="dxa"/>
                  <w:gridSpan w:val="2"/>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eastAsia="宋体" w:cs="Times New Roman"/>
                      <w:color w:val="000000"/>
                      <w:kern w:val="0"/>
                      <w:sz w:val="21"/>
                      <w:szCs w:val="21"/>
                      <w:lang w:val="en-US" w:eastAsia="zh-CN" w:bidi="ar"/>
                    </w:rPr>
                    <w:t>硫酸回收</w:t>
                  </w:r>
                </w:p>
              </w:tc>
              <w:tc>
                <w:tcPr>
                  <w:tcW w:w="1672" w:type="dxa"/>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进口Q1、出口Q2</w:t>
                  </w:r>
                </w:p>
              </w:tc>
              <w:tc>
                <w:tcPr>
                  <w:tcW w:w="1713" w:type="dxa"/>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硫酸雾</w:t>
                  </w:r>
                </w:p>
              </w:tc>
              <w:tc>
                <w:tcPr>
                  <w:tcW w:w="2488" w:type="dxa"/>
                  <w:vMerge w:val="restart"/>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监测2天</w:t>
                  </w:r>
                  <w:r>
                    <w:rPr>
                      <w:rFonts w:hint="default" w:ascii="Times New Roman" w:hAnsi="Times New Roman" w:cs="Times New Roman"/>
                      <w:color w:val="auto"/>
                      <w:lang w:eastAsia="zh-CN"/>
                    </w:rPr>
                    <w:t>，每天</w:t>
                  </w:r>
                  <w:r>
                    <w:rPr>
                      <w:rFonts w:hint="default" w:ascii="Times New Roman" w:hAnsi="Times New Roman" w:cs="Times New Roman"/>
                      <w:color w:val="auto"/>
                      <w:lang w:val="en-US" w:eastAsia="zh-CN"/>
                    </w:rPr>
                    <w:t>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9" w:type="dxa"/>
                  <w:vMerge w:val="continue"/>
                  <w:vAlign w:val="center"/>
                </w:tcPr>
                <w:p>
                  <w:pPr>
                    <w:pStyle w:val="20"/>
                    <w:bidi w:val="0"/>
                    <w:rPr>
                      <w:rFonts w:hint="default" w:ascii="Times New Roman" w:hAnsi="Times New Roman" w:cs="Times New Roman"/>
                      <w:color w:val="auto"/>
                      <w:lang w:val="en-US" w:eastAsia="zh-CN"/>
                    </w:rPr>
                  </w:pPr>
                </w:p>
              </w:tc>
              <w:tc>
                <w:tcPr>
                  <w:tcW w:w="1664" w:type="dxa"/>
                  <w:gridSpan w:val="2"/>
                  <w:vAlign w:val="center"/>
                </w:tcPr>
                <w:p>
                  <w:pPr>
                    <w:pStyle w:val="20"/>
                    <w:bidi w:val="0"/>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污泥烘干</w:t>
                  </w:r>
                </w:p>
              </w:tc>
              <w:tc>
                <w:tcPr>
                  <w:tcW w:w="1672" w:type="dxa"/>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进口Q3、出口Q4</w:t>
                  </w:r>
                </w:p>
              </w:tc>
              <w:tc>
                <w:tcPr>
                  <w:tcW w:w="1713" w:type="dxa"/>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氨、硫化氢</w:t>
                  </w:r>
                </w:p>
              </w:tc>
              <w:tc>
                <w:tcPr>
                  <w:tcW w:w="2488" w:type="dxa"/>
                  <w:vMerge w:val="continue"/>
                  <w:vAlign w:val="center"/>
                </w:tcPr>
                <w:p>
                  <w:pPr>
                    <w:pStyle w:val="20"/>
                    <w:bidi w:val="0"/>
                    <w:ind w:firstLine="0" w:firstLineChars="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9" w:type="dxa"/>
                  <w:vMerge w:val="continue"/>
                  <w:vAlign w:val="center"/>
                </w:tcPr>
                <w:p>
                  <w:pPr>
                    <w:pStyle w:val="20"/>
                    <w:bidi w:val="0"/>
                    <w:rPr>
                      <w:rFonts w:hint="default" w:ascii="Times New Roman" w:hAnsi="Times New Roman" w:cs="Times New Roman"/>
                      <w:color w:val="auto"/>
                      <w:lang w:val="en-US" w:eastAsia="zh-CN"/>
                    </w:rPr>
                  </w:pPr>
                </w:p>
              </w:tc>
              <w:tc>
                <w:tcPr>
                  <w:tcW w:w="832" w:type="dxa"/>
                  <w:vMerge w:val="restart"/>
                  <w:vAlign w:val="center"/>
                </w:tcPr>
                <w:p>
                  <w:pPr>
                    <w:pStyle w:val="20"/>
                    <w:bidi w:val="0"/>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一期101车间</w:t>
                  </w:r>
                </w:p>
              </w:tc>
              <w:tc>
                <w:tcPr>
                  <w:tcW w:w="832" w:type="dxa"/>
                  <w:vAlign w:val="center"/>
                </w:tcPr>
                <w:p>
                  <w:pPr>
                    <w:pStyle w:val="20"/>
                    <w:bidi w:val="0"/>
                    <w:ind w:firstLine="0" w:firstLineChars="0"/>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电镀A线</w:t>
                  </w:r>
                </w:p>
              </w:tc>
              <w:tc>
                <w:tcPr>
                  <w:tcW w:w="1672" w:type="dxa"/>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出口Q5</w:t>
                  </w:r>
                </w:p>
              </w:tc>
              <w:tc>
                <w:tcPr>
                  <w:tcW w:w="1713" w:type="dxa"/>
                  <w:vMerge w:val="restart"/>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烟尘、二氧化硫、氮氧化物</w:t>
                  </w:r>
                </w:p>
              </w:tc>
              <w:tc>
                <w:tcPr>
                  <w:tcW w:w="2488" w:type="dxa"/>
                  <w:vMerge w:val="continue"/>
                  <w:vAlign w:val="center"/>
                </w:tcPr>
                <w:p>
                  <w:pPr>
                    <w:pStyle w:val="20"/>
                    <w:bidi w:val="0"/>
                    <w:ind w:firstLine="0" w:firstLineChars="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9" w:type="dxa"/>
                  <w:vMerge w:val="continue"/>
                  <w:vAlign w:val="center"/>
                </w:tcPr>
                <w:p>
                  <w:pPr>
                    <w:pStyle w:val="20"/>
                    <w:bidi w:val="0"/>
                    <w:rPr>
                      <w:rFonts w:hint="default" w:ascii="Times New Roman" w:hAnsi="Times New Roman" w:cs="Times New Roman"/>
                      <w:color w:val="auto"/>
                      <w:lang w:val="en-US" w:eastAsia="zh-CN"/>
                    </w:rPr>
                  </w:pPr>
                </w:p>
              </w:tc>
              <w:tc>
                <w:tcPr>
                  <w:tcW w:w="832" w:type="dxa"/>
                  <w:vMerge w:val="continue"/>
                  <w:vAlign w:val="center"/>
                </w:tcPr>
                <w:p>
                  <w:pPr>
                    <w:pStyle w:val="20"/>
                    <w:bidi w:val="0"/>
                    <w:rPr>
                      <w:rFonts w:hint="eastAsia" w:ascii="Times New Roman" w:hAnsi="Times New Roman" w:eastAsia="宋体" w:cs="Times New Roman"/>
                      <w:color w:val="000000"/>
                      <w:kern w:val="0"/>
                      <w:sz w:val="21"/>
                      <w:szCs w:val="21"/>
                      <w:lang w:val="en-US" w:eastAsia="zh-CN" w:bidi="ar"/>
                    </w:rPr>
                  </w:pPr>
                </w:p>
              </w:tc>
              <w:tc>
                <w:tcPr>
                  <w:tcW w:w="832" w:type="dxa"/>
                  <w:vAlign w:val="center"/>
                </w:tcPr>
                <w:p>
                  <w:pPr>
                    <w:pStyle w:val="20"/>
                    <w:bidi w:val="0"/>
                    <w:ind w:firstLine="0" w:firstLineChars="0"/>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电镀B线</w:t>
                  </w:r>
                </w:p>
              </w:tc>
              <w:tc>
                <w:tcPr>
                  <w:tcW w:w="1672" w:type="dxa"/>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出口Q6</w:t>
                  </w:r>
                </w:p>
              </w:tc>
              <w:tc>
                <w:tcPr>
                  <w:tcW w:w="1713" w:type="dxa"/>
                  <w:vMerge w:val="continue"/>
                  <w:vAlign w:val="center"/>
                </w:tcPr>
                <w:p>
                  <w:pPr>
                    <w:pStyle w:val="20"/>
                    <w:bidi w:val="0"/>
                    <w:rPr>
                      <w:rFonts w:hint="default" w:ascii="Times New Roman" w:hAnsi="Times New Roman" w:cs="Times New Roman"/>
                      <w:color w:val="auto"/>
                      <w:lang w:val="en-US" w:eastAsia="zh-CN"/>
                    </w:rPr>
                  </w:pPr>
                </w:p>
              </w:tc>
              <w:tc>
                <w:tcPr>
                  <w:tcW w:w="2488" w:type="dxa"/>
                  <w:vMerge w:val="continue"/>
                  <w:vAlign w:val="center"/>
                </w:tcPr>
                <w:p>
                  <w:pPr>
                    <w:pStyle w:val="20"/>
                    <w:bidi w:val="0"/>
                    <w:ind w:firstLine="0" w:firstLineChars="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9" w:type="dxa"/>
                  <w:vMerge w:val="continue"/>
                  <w:vAlign w:val="center"/>
                </w:tcPr>
                <w:p>
                  <w:pPr>
                    <w:pStyle w:val="20"/>
                    <w:bidi w:val="0"/>
                    <w:rPr>
                      <w:rFonts w:hint="default" w:ascii="Times New Roman" w:hAnsi="Times New Roman" w:cs="Times New Roman"/>
                      <w:color w:val="auto"/>
                      <w:lang w:val="en-US" w:eastAsia="zh-CN"/>
                    </w:rPr>
                  </w:pPr>
                </w:p>
              </w:tc>
              <w:tc>
                <w:tcPr>
                  <w:tcW w:w="832" w:type="dxa"/>
                  <w:vMerge w:val="restart"/>
                  <w:vAlign w:val="center"/>
                </w:tcPr>
                <w:p>
                  <w:pPr>
                    <w:pStyle w:val="20"/>
                    <w:bidi w:val="0"/>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二期201车间</w:t>
                  </w:r>
                </w:p>
              </w:tc>
              <w:tc>
                <w:tcPr>
                  <w:tcW w:w="832" w:type="dxa"/>
                  <w:vAlign w:val="center"/>
                </w:tcPr>
                <w:p>
                  <w:pPr>
                    <w:pStyle w:val="20"/>
                    <w:bidi w:val="0"/>
                    <w:ind w:firstLine="0" w:firstLineChars="0"/>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电镀C线</w:t>
                  </w:r>
                </w:p>
              </w:tc>
              <w:tc>
                <w:tcPr>
                  <w:tcW w:w="1672" w:type="dxa"/>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出口Q7</w:t>
                  </w:r>
                </w:p>
              </w:tc>
              <w:tc>
                <w:tcPr>
                  <w:tcW w:w="1713" w:type="dxa"/>
                  <w:vMerge w:val="continue"/>
                  <w:vAlign w:val="center"/>
                </w:tcPr>
                <w:p>
                  <w:pPr>
                    <w:pStyle w:val="20"/>
                    <w:bidi w:val="0"/>
                    <w:rPr>
                      <w:rFonts w:hint="default" w:ascii="Times New Roman" w:hAnsi="Times New Roman" w:cs="Times New Roman"/>
                      <w:color w:val="auto"/>
                      <w:lang w:val="en-US" w:eastAsia="zh-CN"/>
                    </w:rPr>
                  </w:pPr>
                </w:p>
              </w:tc>
              <w:tc>
                <w:tcPr>
                  <w:tcW w:w="2488" w:type="dxa"/>
                  <w:vMerge w:val="continue"/>
                  <w:vAlign w:val="center"/>
                </w:tcPr>
                <w:p>
                  <w:pPr>
                    <w:pStyle w:val="20"/>
                    <w:bidi w:val="0"/>
                    <w:ind w:firstLine="0" w:firstLineChars="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9" w:type="dxa"/>
                  <w:vMerge w:val="continue"/>
                  <w:vAlign w:val="center"/>
                </w:tcPr>
                <w:p>
                  <w:pPr>
                    <w:pStyle w:val="20"/>
                    <w:bidi w:val="0"/>
                    <w:rPr>
                      <w:rFonts w:hint="default" w:ascii="Times New Roman" w:hAnsi="Times New Roman" w:cs="Times New Roman"/>
                      <w:color w:val="auto"/>
                      <w:lang w:val="en-US" w:eastAsia="zh-CN"/>
                    </w:rPr>
                  </w:pPr>
                </w:p>
              </w:tc>
              <w:tc>
                <w:tcPr>
                  <w:tcW w:w="832" w:type="dxa"/>
                  <w:vMerge w:val="continue"/>
                  <w:vAlign w:val="center"/>
                </w:tcPr>
                <w:p>
                  <w:pPr>
                    <w:pStyle w:val="20"/>
                    <w:bidi w:val="0"/>
                    <w:rPr>
                      <w:rFonts w:hint="eastAsia" w:ascii="Times New Roman" w:hAnsi="Times New Roman" w:eastAsia="宋体" w:cs="Times New Roman"/>
                      <w:color w:val="000000"/>
                      <w:kern w:val="0"/>
                      <w:sz w:val="21"/>
                      <w:szCs w:val="21"/>
                      <w:lang w:val="en-US" w:eastAsia="zh-CN" w:bidi="ar"/>
                    </w:rPr>
                  </w:pPr>
                </w:p>
              </w:tc>
              <w:tc>
                <w:tcPr>
                  <w:tcW w:w="832" w:type="dxa"/>
                  <w:vAlign w:val="center"/>
                </w:tcPr>
                <w:p>
                  <w:pPr>
                    <w:pStyle w:val="20"/>
                    <w:bidi w:val="0"/>
                    <w:ind w:firstLine="0" w:firstLineChars="0"/>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电镀D线</w:t>
                  </w:r>
                </w:p>
              </w:tc>
              <w:tc>
                <w:tcPr>
                  <w:tcW w:w="1672" w:type="dxa"/>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出口Q8</w:t>
                  </w:r>
                </w:p>
              </w:tc>
              <w:tc>
                <w:tcPr>
                  <w:tcW w:w="1713" w:type="dxa"/>
                  <w:vMerge w:val="continue"/>
                  <w:vAlign w:val="center"/>
                </w:tcPr>
                <w:p>
                  <w:pPr>
                    <w:pStyle w:val="20"/>
                    <w:bidi w:val="0"/>
                    <w:rPr>
                      <w:rFonts w:hint="default" w:ascii="Times New Roman" w:hAnsi="Times New Roman" w:cs="Times New Roman"/>
                      <w:color w:val="auto"/>
                      <w:lang w:val="en-US" w:eastAsia="zh-CN"/>
                    </w:rPr>
                  </w:pPr>
                </w:p>
              </w:tc>
              <w:tc>
                <w:tcPr>
                  <w:tcW w:w="2488" w:type="dxa"/>
                  <w:vMerge w:val="continue"/>
                  <w:vAlign w:val="center"/>
                </w:tcPr>
                <w:p>
                  <w:pPr>
                    <w:pStyle w:val="20"/>
                    <w:bidi w:val="0"/>
                    <w:ind w:firstLine="0" w:firstLineChars="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9" w:type="dxa"/>
                  <w:vMerge w:val="continue"/>
                  <w:vAlign w:val="center"/>
                </w:tcPr>
                <w:p>
                  <w:pPr>
                    <w:pStyle w:val="20"/>
                    <w:bidi w:val="0"/>
                    <w:rPr>
                      <w:rFonts w:hint="default" w:ascii="Times New Roman" w:hAnsi="Times New Roman" w:cs="Times New Roman"/>
                      <w:color w:val="auto"/>
                      <w:lang w:val="en-US" w:eastAsia="zh-CN"/>
                    </w:rPr>
                  </w:pPr>
                </w:p>
              </w:tc>
              <w:tc>
                <w:tcPr>
                  <w:tcW w:w="832" w:type="dxa"/>
                  <w:vMerge w:val="continue"/>
                  <w:vAlign w:val="center"/>
                </w:tcPr>
                <w:p>
                  <w:pPr>
                    <w:pStyle w:val="20"/>
                    <w:bidi w:val="0"/>
                    <w:rPr>
                      <w:rFonts w:hint="eastAsia" w:ascii="Times New Roman" w:hAnsi="Times New Roman" w:eastAsia="宋体" w:cs="Times New Roman"/>
                      <w:color w:val="000000"/>
                      <w:kern w:val="0"/>
                      <w:sz w:val="21"/>
                      <w:szCs w:val="21"/>
                      <w:lang w:val="en-US" w:eastAsia="zh-CN" w:bidi="ar"/>
                    </w:rPr>
                  </w:pPr>
                </w:p>
              </w:tc>
              <w:tc>
                <w:tcPr>
                  <w:tcW w:w="832" w:type="dxa"/>
                  <w:vAlign w:val="center"/>
                </w:tcPr>
                <w:p>
                  <w:pPr>
                    <w:pStyle w:val="20"/>
                    <w:bidi w:val="0"/>
                    <w:ind w:firstLine="0" w:firstLineChars="0"/>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电镀E线</w:t>
                  </w:r>
                </w:p>
              </w:tc>
              <w:tc>
                <w:tcPr>
                  <w:tcW w:w="1672" w:type="dxa"/>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出口Q9</w:t>
                  </w:r>
                </w:p>
              </w:tc>
              <w:tc>
                <w:tcPr>
                  <w:tcW w:w="1713" w:type="dxa"/>
                  <w:vMerge w:val="continue"/>
                  <w:vAlign w:val="center"/>
                </w:tcPr>
                <w:p>
                  <w:pPr>
                    <w:pStyle w:val="20"/>
                    <w:bidi w:val="0"/>
                    <w:rPr>
                      <w:rFonts w:hint="default" w:ascii="Times New Roman" w:hAnsi="Times New Roman" w:cs="Times New Roman"/>
                      <w:color w:val="auto"/>
                      <w:lang w:val="en-US" w:eastAsia="zh-CN"/>
                    </w:rPr>
                  </w:pPr>
                </w:p>
              </w:tc>
              <w:tc>
                <w:tcPr>
                  <w:tcW w:w="2488" w:type="dxa"/>
                  <w:vMerge w:val="continue"/>
                  <w:vAlign w:val="center"/>
                </w:tcPr>
                <w:p>
                  <w:pPr>
                    <w:pStyle w:val="20"/>
                    <w:bidi w:val="0"/>
                    <w:ind w:firstLine="0" w:firstLineChars="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9" w:type="dxa"/>
                  <w:vMerge w:val="continue"/>
                  <w:vAlign w:val="center"/>
                </w:tcPr>
                <w:p>
                  <w:pPr>
                    <w:pStyle w:val="20"/>
                    <w:bidi w:val="0"/>
                    <w:rPr>
                      <w:rFonts w:hint="default" w:ascii="Times New Roman" w:hAnsi="Times New Roman" w:cs="Times New Roman"/>
                      <w:color w:val="auto"/>
                      <w:lang w:val="en-US" w:eastAsia="zh-CN"/>
                    </w:rPr>
                  </w:pPr>
                </w:p>
              </w:tc>
              <w:tc>
                <w:tcPr>
                  <w:tcW w:w="832" w:type="dxa"/>
                  <w:vMerge w:val="restart"/>
                  <w:vAlign w:val="center"/>
                </w:tcPr>
                <w:p>
                  <w:pPr>
                    <w:pStyle w:val="20"/>
                    <w:bidi w:val="0"/>
                    <w:rPr>
                      <w:rFonts w:hint="eastAsia"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二期301车间</w:t>
                  </w:r>
                </w:p>
              </w:tc>
              <w:tc>
                <w:tcPr>
                  <w:tcW w:w="832" w:type="dxa"/>
                  <w:vAlign w:val="center"/>
                </w:tcPr>
                <w:p>
                  <w:pPr>
                    <w:pStyle w:val="20"/>
                    <w:bidi w:val="0"/>
                    <w:ind w:firstLine="0" w:firstLineChars="0"/>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电镀F线</w:t>
                  </w:r>
                </w:p>
              </w:tc>
              <w:tc>
                <w:tcPr>
                  <w:tcW w:w="1672" w:type="dxa"/>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出口Q10</w:t>
                  </w:r>
                </w:p>
              </w:tc>
              <w:tc>
                <w:tcPr>
                  <w:tcW w:w="1713" w:type="dxa"/>
                  <w:vMerge w:val="continue"/>
                  <w:vAlign w:val="center"/>
                </w:tcPr>
                <w:p>
                  <w:pPr>
                    <w:pStyle w:val="20"/>
                    <w:bidi w:val="0"/>
                    <w:rPr>
                      <w:rFonts w:hint="default" w:ascii="Times New Roman" w:hAnsi="Times New Roman" w:cs="Times New Roman"/>
                      <w:color w:val="auto"/>
                      <w:lang w:val="en-US" w:eastAsia="zh-CN"/>
                    </w:rPr>
                  </w:pPr>
                </w:p>
              </w:tc>
              <w:tc>
                <w:tcPr>
                  <w:tcW w:w="2488" w:type="dxa"/>
                  <w:vMerge w:val="continue"/>
                  <w:vAlign w:val="center"/>
                </w:tcPr>
                <w:p>
                  <w:pPr>
                    <w:pStyle w:val="20"/>
                    <w:bidi w:val="0"/>
                    <w:ind w:firstLine="0" w:firstLineChars="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59" w:type="dxa"/>
                  <w:vMerge w:val="continue"/>
                  <w:vAlign w:val="center"/>
                </w:tcPr>
                <w:p>
                  <w:pPr>
                    <w:pStyle w:val="20"/>
                    <w:bidi w:val="0"/>
                    <w:rPr>
                      <w:rFonts w:hint="default" w:ascii="Times New Roman" w:hAnsi="Times New Roman" w:cs="Times New Roman"/>
                      <w:color w:val="auto"/>
                      <w:lang w:val="en-US" w:eastAsia="zh-CN"/>
                    </w:rPr>
                  </w:pPr>
                </w:p>
              </w:tc>
              <w:tc>
                <w:tcPr>
                  <w:tcW w:w="832" w:type="dxa"/>
                  <w:vMerge w:val="continue"/>
                  <w:vAlign w:val="center"/>
                </w:tcPr>
                <w:p>
                  <w:pPr>
                    <w:keepNext w:val="0"/>
                    <w:keepLines w:val="0"/>
                    <w:widowControl/>
                    <w:suppressLineNumbers w:val="0"/>
                    <w:ind w:firstLine="480" w:firstLineChars="200"/>
                    <w:jc w:val="center"/>
                    <w:rPr>
                      <w:rFonts w:hint="default" w:ascii="Times New Roman" w:hAnsi="Times New Roman" w:cs="Times New Roman"/>
                      <w:color w:val="auto"/>
                      <w:lang w:val="en-US" w:eastAsia="zh-CN"/>
                    </w:rPr>
                  </w:pPr>
                </w:p>
              </w:tc>
              <w:tc>
                <w:tcPr>
                  <w:tcW w:w="832"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电镀G线</w:t>
                  </w:r>
                </w:p>
              </w:tc>
              <w:tc>
                <w:tcPr>
                  <w:tcW w:w="1672" w:type="dxa"/>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出口Q11</w:t>
                  </w:r>
                </w:p>
              </w:tc>
              <w:tc>
                <w:tcPr>
                  <w:tcW w:w="1713" w:type="dxa"/>
                  <w:vMerge w:val="continue"/>
                  <w:vAlign w:val="center"/>
                </w:tcPr>
                <w:p>
                  <w:pPr>
                    <w:pStyle w:val="20"/>
                    <w:bidi w:val="0"/>
                    <w:rPr>
                      <w:rFonts w:hint="default" w:ascii="Times New Roman" w:hAnsi="Times New Roman" w:cs="Times New Roman"/>
                      <w:color w:val="auto"/>
                      <w:lang w:val="en-US" w:eastAsia="zh-CN"/>
                    </w:rPr>
                  </w:pPr>
                </w:p>
              </w:tc>
              <w:tc>
                <w:tcPr>
                  <w:tcW w:w="2488" w:type="dxa"/>
                  <w:vMerge w:val="continue"/>
                  <w:vAlign w:val="center"/>
                </w:tcPr>
                <w:p>
                  <w:pPr>
                    <w:pStyle w:val="20"/>
                    <w:bidi w:val="0"/>
                    <w:ind w:firstLine="0" w:firstLineChars="0"/>
                    <w:rPr>
                      <w:rFonts w:hint="default" w:ascii="Times New Roman" w:hAnsi="Times New Roman"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759" w:type="dxa"/>
                  <w:vAlign w:val="center"/>
                </w:tcPr>
                <w:p>
                  <w:pPr>
                    <w:pStyle w:val="20"/>
                    <w:bidi w:val="0"/>
                    <w:rPr>
                      <w:rFonts w:hint="default" w:ascii="Times New Roman" w:hAnsi="Times New Roman" w:cs="Times New Roman"/>
                      <w:color w:val="auto"/>
                    </w:rPr>
                  </w:pPr>
                  <w:r>
                    <w:rPr>
                      <w:rFonts w:hint="default" w:ascii="Times New Roman" w:hAnsi="Times New Roman" w:cs="Times New Roman"/>
                      <w:color w:val="auto"/>
                    </w:rPr>
                    <w:t>无组织</w:t>
                  </w:r>
                </w:p>
              </w:tc>
              <w:tc>
                <w:tcPr>
                  <w:tcW w:w="1664" w:type="dxa"/>
                  <w:gridSpan w:val="2"/>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生产工序</w:t>
                  </w:r>
                </w:p>
              </w:tc>
              <w:tc>
                <w:tcPr>
                  <w:tcW w:w="1672" w:type="dxa"/>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上风向G1、下风向G2-G4</w:t>
                  </w:r>
                </w:p>
              </w:tc>
              <w:tc>
                <w:tcPr>
                  <w:tcW w:w="1713" w:type="dxa"/>
                  <w:vAlign w:val="center"/>
                </w:tcPr>
                <w:p>
                  <w:pPr>
                    <w:pStyle w:val="2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氨、硫化氢、硫酸雾</w:t>
                  </w:r>
                </w:p>
              </w:tc>
              <w:tc>
                <w:tcPr>
                  <w:tcW w:w="2488"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rPr>
                    <w:t>监测2天</w:t>
                  </w:r>
                  <w:r>
                    <w:rPr>
                      <w:rFonts w:hint="default" w:ascii="Times New Roman" w:hAnsi="Times New Roman" w:cs="Times New Roman"/>
                      <w:color w:val="auto"/>
                      <w:lang w:eastAsia="zh-CN"/>
                    </w:rPr>
                    <w:t>，每天</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次</w:t>
                  </w:r>
                </w:p>
              </w:tc>
            </w:tr>
          </w:tbl>
          <w:tbl>
            <w:tblPr>
              <w:tblStyle w:val="17"/>
              <w:tblW w:w="8306"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308" w:hRule="atLeast"/>
              </w:trPr>
              <w:tc>
                <w:tcPr>
                  <w:tcW w:w="8306" w:type="dxa"/>
                  <w:tcBorders>
                    <w:tl2br w:val="nil"/>
                    <w:tr2bl w:val="nil"/>
                  </w:tcBorders>
                  <w:vAlign w:val="top"/>
                </w:tcPr>
                <w:p>
                  <w:pPr>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备注：2023年6月9</w:t>
                  </w:r>
                  <w:r>
                    <w:rPr>
                      <w:rFonts w:hint="eastAsia" w:ascii="Times New Roman" w:hAnsi="Times New Roman" w:eastAsia="宋体" w:cs="Times New Roman"/>
                      <w:color w:val="auto"/>
                      <w:sz w:val="21"/>
                      <w:szCs w:val="21"/>
                      <w:lang w:val="en-US" w:eastAsia="zh-CN"/>
                    </w:rPr>
                    <w:t>日，</w:t>
                  </w:r>
                  <w:r>
                    <w:rPr>
                      <w:rFonts w:hint="default" w:ascii="Times New Roman" w:hAnsi="Times New Roman" w:eastAsia="宋体" w:cs="Times New Roman"/>
                      <w:color w:val="auto"/>
                      <w:sz w:val="21"/>
                      <w:szCs w:val="21"/>
                      <w:lang w:val="en-US" w:eastAsia="zh-CN"/>
                    </w:rPr>
                    <w:t>一期101车间电镀B线</w:t>
                  </w:r>
                  <w:r>
                    <w:rPr>
                      <w:rFonts w:hint="eastAsia" w:ascii="Times New Roman" w:hAnsi="Times New Roman" w:eastAsia="宋体" w:cs="Times New Roman"/>
                      <w:color w:val="auto"/>
                      <w:sz w:val="21"/>
                      <w:szCs w:val="21"/>
                      <w:lang w:val="en-US" w:eastAsia="zh-CN"/>
                    </w:rPr>
                    <w:t>出现故障，当天未能监测，于6月16日进行了补充监测。</w:t>
                  </w:r>
                </w:p>
                <w:p>
                  <w:pPr>
                    <w:ind w:left="0" w:lef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rPr>
                    <mc:AlternateContent>
                      <mc:Choice Requires="wps">
                        <w:drawing>
                          <wp:anchor distT="0" distB="0" distL="114300" distR="114300" simplePos="0" relativeHeight="251662336" behindDoc="0" locked="0" layoutInCell="1" allowOverlap="1">
                            <wp:simplePos x="0" y="0"/>
                            <wp:positionH relativeFrom="column">
                              <wp:posOffset>3982720</wp:posOffset>
                            </wp:positionH>
                            <wp:positionV relativeFrom="paragraph">
                              <wp:posOffset>132080</wp:posOffset>
                            </wp:positionV>
                            <wp:extent cx="658495" cy="381635"/>
                            <wp:effectExtent l="0" t="0" r="0" b="0"/>
                            <wp:wrapNone/>
                            <wp:docPr id="6" name="文本框 6"/>
                            <wp:cNvGraphicFramePr/>
                            <a:graphic xmlns:a="http://schemas.openxmlformats.org/drawingml/2006/main">
                              <a:graphicData uri="http://schemas.microsoft.com/office/word/2010/wordprocessingShape">
                                <wps:wsp>
                                  <wps:cNvSpPr txBox="1"/>
                                  <wps:spPr>
                                    <a:xfrm>
                                      <a:off x="0" y="0"/>
                                      <a:ext cx="658495" cy="38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color w:val="FFFF00"/>
                                            <w:lang w:val="en-US" w:eastAsia="zh-CN"/>
                                          </w:rPr>
                                        </w:pPr>
                                        <w:r>
                                          <w:rPr>
                                            <w:rFonts w:hint="eastAsia"/>
                                            <w:color w:val="FFFF00"/>
                                            <w:lang w:val="en-US" w:eastAsia="zh-CN"/>
                                          </w:rPr>
                                          <w:t>风向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3.6pt;margin-top:10.4pt;height:30.05pt;width:51.85pt;z-index:251662336;mso-width-relative:page;mso-height-relative:page;" filled="f" stroked="f" coordsize="21600,21600" o:gfxdata="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46n9TZAAAACQEAAA8AAAAAAAAAAQAgAAAAIgAAAGRycy9k&#10;b3ducmV2LnhtbFBLAQIUABQAAAAIAIdO4kCBv6tVOgIAAGUEAAAOAAAAAAAAAAEAIAAAACgBAABk&#10;cnMvZTJvRG9jLnhtbFBLBQYAAAAABgAGAFkBAADUBQAAAAA=&#10;">
                            <v:fill on="f" focussize="0,0"/>
                            <v:stroke on="f" weight="0.5pt"/>
                            <v:imagedata o:title=""/>
                            <o:lock v:ext="edit" aspectratio="f"/>
                            <v:textbox>
                              <w:txbxContent>
                                <w:p>
                                  <w:pPr>
                                    <w:ind w:left="0" w:leftChars="0" w:firstLine="0" w:firstLineChars="0"/>
                                    <w:rPr>
                                      <w:rFonts w:hint="default" w:eastAsia="宋体"/>
                                      <w:color w:val="FFFF00"/>
                                      <w:lang w:val="en-US" w:eastAsia="zh-CN"/>
                                    </w:rPr>
                                  </w:pPr>
                                  <w:r>
                                    <w:rPr>
                                      <w:rFonts w:hint="eastAsia"/>
                                      <w:color w:val="FFFF00"/>
                                      <w:lang w:val="en-US" w:eastAsia="zh-CN"/>
                                    </w:rPr>
                                    <w:t>风向</w:t>
                                  </w:r>
                                </w:p>
                              </w:txbxContent>
                            </v:textbox>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4458970</wp:posOffset>
                            </wp:positionH>
                            <wp:positionV relativeFrom="paragraph">
                              <wp:posOffset>191770</wp:posOffset>
                            </wp:positionV>
                            <wp:extent cx="0" cy="440690"/>
                            <wp:effectExtent l="48895" t="0" r="59055" b="1905"/>
                            <wp:wrapNone/>
                            <wp:docPr id="35" name="直接箭头连接符 35"/>
                            <wp:cNvGraphicFramePr/>
                            <a:graphic xmlns:a="http://schemas.openxmlformats.org/drawingml/2006/main">
                              <a:graphicData uri="http://schemas.microsoft.com/office/word/2010/wordprocessingShape">
                                <wps:wsp>
                                  <wps:cNvCnPr/>
                                  <wps:spPr>
                                    <a:xfrm flipV="1">
                                      <a:off x="5521325" y="1123315"/>
                                      <a:ext cx="0" cy="44069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51.1pt;margin-top:15.1pt;height:34.7pt;width:0pt;z-index:251679744;mso-width-relative:page;mso-height-relative:page;" filled="f" stroked="t" coordsize="21600,21600" o:gfxdata="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TTt1QAAAAkBAAAPAAAAAAAAAAEAIAAA&#10;ACIAAABkcnMvZG93bnJldi54bWxQSwECFAAUAAAACACHTuJA38qZYw8CAADeAwAADgAAAAAAAAAB&#10;ACAAAAAkAQAAZHJzL2Uyb0RvYy54bWxQSwUGAAAAAAYABgBZAQAApQUAAAAA&#10;">
                            <v:fill on="f" focussize="0,0"/>
                            <v:stroke color="#FFFF00 [3204]" joinstyle="round" endarrow="open"/>
                            <v:imagedata o:title=""/>
                            <o:lock v:ext="edit" aspectratio="f"/>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4660900</wp:posOffset>
                            </wp:positionH>
                            <wp:positionV relativeFrom="paragraph">
                              <wp:posOffset>191770</wp:posOffset>
                            </wp:positionV>
                            <wp:extent cx="0" cy="440690"/>
                            <wp:effectExtent l="48895" t="0" r="59055" b="1905"/>
                            <wp:wrapNone/>
                            <wp:docPr id="36" name="直接箭头连接符 36"/>
                            <wp:cNvGraphicFramePr/>
                            <a:graphic xmlns:a="http://schemas.openxmlformats.org/drawingml/2006/main">
                              <a:graphicData uri="http://schemas.microsoft.com/office/word/2010/wordprocessingShape">
                                <wps:wsp>
                                  <wps:cNvCnPr/>
                                  <wps:spPr>
                                    <a:xfrm flipV="1">
                                      <a:off x="0" y="0"/>
                                      <a:ext cx="0" cy="44069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67pt;margin-top:15.1pt;height:34.7pt;width:0pt;z-index:251680768;mso-width-relative:page;mso-height-relative:page;" filled="f" stroked="t" coordsize="21600,21600" o:gfxdata="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iPBDvWAAAACQEAAA8AAAAAAAAAAQAgAAAAIgAAAGRycy9kb3du&#10;cmV2LnhtbFBLAQIUABQAAAAIAIdO4kBcaHjiAQIAANIDAAAOAAAAAAAAAAEAIAAAACUBAABkcnMv&#10;ZTJvRG9jLnhtbFBLBQYAAAAABgAGAFkBAACYBQAAAAA=&#10;">
                            <v:fill on="f" focussize="0,0"/>
                            <v:stroke color="#FFFF00 [3204]" joinstyle="round" endarrow="open"/>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61312" behindDoc="0" locked="0" layoutInCell="1" allowOverlap="1">
                            <wp:simplePos x="0" y="0"/>
                            <wp:positionH relativeFrom="column">
                              <wp:posOffset>4667250</wp:posOffset>
                            </wp:positionH>
                            <wp:positionV relativeFrom="paragraph">
                              <wp:posOffset>168275</wp:posOffset>
                            </wp:positionV>
                            <wp:extent cx="355600" cy="381635"/>
                            <wp:effectExtent l="0" t="0" r="0" b="0"/>
                            <wp:wrapNone/>
                            <wp:docPr id="5" name="文本框 5"/>
                            <wp:cNvGraphicFramePr/>
                            <a:graphic xmlns:a="http://schemas.openxmlformats.org/drawingml/2006/main">
                              <a:graphicData uri="http://schemas.microsoft.com/office/word/2010/wordprocessingShape">
                                <wps:wsp>
                                  <wps:cNvSpPr txBox="1"/>
                                  <wps:spPr>
                                    <a:xfrm>
                                      <a:off x="5914390" y="4604385"/>
                                      <a:ext cx="355600" cy="38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color w:val="FFFF00"/>
                                            <w:lang w:val="en-US" w:eastAsia="zh-CN"/>
                                          </w:rPr>
                                        </w:pPr>
                                        <w:r>
                                          <w:rPr>
                                            <w:rFonts w:hint="eastAsia"/>
                                            <w:color w:val="FFFF00"/>
                                            <w:lang w:val="en-US"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7.5pt;margin-top:13.25pt;height:30.05pt;width:28pt;z-index:251661312;mso-width-relative:page;mso-height-relative:page;" filled="f" stroked="f" coordsize="21600,21600" o:gfxdata="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oO0YdsAAAAJAQAADwAAAAAAAAAB&#10;ACAAAAAiAAAAZHJzL2Rvd25yZXYueG1sUEsBAhQAFAAAAAgAh07iQKaebXlGAgAAcQQAAA4AAAAA&#10;AAAAAQAgAAAAKgEAAGRycy9lMm9Eb2MueG1sUEsFBgAAAAAGAAYAWQEAAOIFAAAAAA==&#10;">
                            <v:fill on="f" focussize="0,0"/>
                            <v:stroke on="f" weight="0.5pt"/>
                            <v:imagedata o:title=""/>
                            <o:lock v:ext="edit" aspectratio="f"/>
                            <v:textbox>
                              <w:txbxContent>
                                <w:p>
                                  <w:pPr>
                                    <w:ind w:left="0" w:leftChars="0" w:firstLine="0" w:firstLineChars="0"/>
                                    <w:rPr>
                                      <w:rFonts w:hint="eastAsia" w:eastAsia="宋体"/>
                                      <w:color w:val="FFFF00"/>
                                      <w:lang w:val="en-US" w:eastAsia="zh-CN"/>
                                    </w:rPr>
                                  </w:pPr>
                                  <w:r>
                                    <w:rPr>
                                      <w:rFonts w:hint="eastAsia"/>
                                      <w:color w:val="FFFF00"/>
                                      <w:lang w:val="en-US" w:eastAsia="zh-CN"/>
                                    </w:rPr>
                                    <w:t>北</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78720" behindDoc="0" locked="0" layoutInCell="1" allowOverlap="1">
                            <wp:simplePos x="0" y="0"/>
                            <wp:positionH relativeFrom="column">
                              <wp:posOffset>1386840</wp:posOffset>
                            </wp:positionH>
                            <wp:positionV relativeFrom="paragraph">
                              <wp:posOffset>250825</wp:posOffset>
                            </wp:positionV>
                            <wp:extent cx="534670" cy="37147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534670" cy="371475"/>
                                    </a:xfrm>
                                    <a:prstGeom prst="rect">
                                      <a:avLst/>
                                    </a:prstGeom>
                                    <a:noFill/>
                                    <a:ln w="15875">
                                      <a:noFill/>
                                    </a:ln>
                                  </wps:spPr>
                                  <wps:txbx>
                                    <w:txbxContent>
                                      <w:p>
                                        <w:pPr>
                                          <w:ind w:left="0" w:leftChars="0" w:firstLine="0" w:firstLineChars="0"/>
                                          <w:rPr>
                                            <w:rFonts w:hint="default" w:eastAsia="宋体"/>
                                            <w:b/>
                                            <w:bCs/>
                                            <w:color w:val="FF0000"/>
                                            <w:lang w:val="en-US" w:eastAsia="zh-CN"/>
                                          </w:rPr>
                                        </w:pPr>
                                        <w:r>
                                          <w:rPr>
                                            <w:rFonts w:hint="eastAsia" w:ascii="宋体" w:hAnsi="宋体" w:eastAsia="宋体" w:cs="宋体"/>
                                            <w:b/>
                                            <w:bCs/>
                                            <w:color w:val="FF0000"/>
                                          </w:rPr>
                                          <w:t>○</w:t>
                                        </w:r>
                                        <w:r>
                                          <w:rPr>
                                            <w:rFonts w:hint="eastAsia" w:ascii="宋体" w:hAnsi="宋体" w:eastAsia="宋体" w:cs="宋体"/>
                                            <w:b/>
                                            <w:bCs/>
                                            <w:color w:val="FF0000"/>
                                            <w:lang w:val="en-US" w:eastAsia="zh-CN"/>
                                          </w:rPr>
                                          <w:t>G2</w:t>
                                        </w:r>
                                      </w:p>
                                      <w:p>
                                        <w:pPr>
                                          <w:ind w:left="0" w:leftChars="0" w:firstLine="0" w:firstLineChars="0"/>
                                          <w:rPr>
                                            <w:rFonts w:hint="default"/>
                                            <w:color w:val="FF0000"/>
                                            <w:lang w:val="en-US"/>
                                          </w:rPr>
                                        </w:pPr>
                                        <w:r>
                                          <w:rPr>
                                            <w:rFonts w:hint="eastAsia" w:ascii="Times New Roman" w:hAnsi="Times New Roman" w:eastAsia="宋体" w:cs="Times New Roman"/>
                                            <w:color w:val="FF0000"/>
                                            <w:sz w:val="24"/>
                                            <w:szCs w:val="24"/>
                                            <w:lang w:val="en-US" w:eastAsia="zh-CN"/>
                                          </w:rPr>
                                          <w:t>Q1、Q2</w:t>
                                        </w:r>
                                      </w:p>
                                    </w:txbxContent>
                                  </wps:txbx>
                                  <wps:bodyPr upright="1"/>
                                </wps:wsp>
                              </a:graphicData>
                            </a:graphic>
                          </wp:anchor>
                        </w:drawing>
                      </mc:Choice>
                      <mc:Fallback>
                        <w:pict>
                          <v:shape id="_x0000_s1026" o:spid="_x0000_s1026" o:spt="202" type="#_x0000_t202" style="position:absolute;left:0pt;margin-left:109.2pt;margin-top:19.75pt;height:29.25pt;width:42.1pt;z-index:251678720;mso-width-relative:page;mso-height-relative:page;" filled="f" stroked="f" coordsize="21600,21600" o:gfxdata="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c8JEtwAAAAJAQAADwAAAAAAAAABACAAAAAiAAAAZHJzL2Rvd25yZXYueG1sUEsBAhQA&#10;FAAAAAgAh07iQMusRxa1AQAAWQMAAA4AAAAAAAAAAQAgAAAAKwEAAGRycy9lMm9Eb2MueG1sUEsF&#10;BgAAAAAGAAYAWQEAAFIFAAAAAA==&#10;">
                            <v:fill on="f" focussize="0,0"/>
                            <v:stroke on="f" weight="1.25pt"/>
                            <v:imagedata o:title=""/>
                            <o:lock v:ext="edit" aspectratio="f"/>
                            <v:textbox>
                              <w:txbxContent>
                                <w:p>
                                  <w:pPr>
                                    <w:ind w:left="0" w:leftChars="0" w:firstLine="0" w:firstLineChars="0"/>
                                    <w:rPr>
                                      <w:rFonts w:hint="default" w:eastAsia="宋体"/>
                                      <w:b/>
                                      <w:bCs/>
                                      <w:color w:val="FF0000"/>
                                      <w:lang w:val="en-US" w:eastAsia="zh-CN"/>
                                    </w:rPr>
                                  </w:pPr>
                                  <w:r>
                                    <w:rPr>
                                      <w:rFonts w:hint="eastAsia" w:ascii="宋体" w:hAnsi="宋体" w:eastAsia="宋体" w:cs="宋体"/>
                                      <w:b/>
                                      <w:bCs/>
                                      <w:color w:val="FF0000"/>
                                    </w:rPr>
                                    <w:t>○</w:t>
                                  </w:r>
                                  <w:r>
                                    <w:rPr>
                                      <w:rFonts w:hint="eastAsia" w:ascii="宋体" w:hAnsi="宋体" w:eastAsia="宋体" w:cs="宋体"/>
                                      <w:b/>
                                      <w:bCs/>
                                      <w:color w:val="FF0000"/>
                                      <w:lang w:val="en-US" w:eastAsia="zh-CN"/>
                                    </w:rPr>
                                    <w:t>G2</w:t>
                                  </w:r>
                                </w:p>
                                <w:p>
                                  <w:pPr>
                                    <w:ind w:left="0" w:leftChars="0" w:firstLine="0" w:firstLineChars="0"/>
                                    <w:rPr>
                                      <w:rFonts w:hint="default"/>
                                      <w:color w:val="FF0000"/>
                                      <w:lang w:val="en-US"/>
                                    </w:rPr>
                                  </w:pPr>
                                  <w:r>
                                    <w:rPr>
                                      <w:rFonts w:hint="eastAsia" w:ascii="Times New Roman" w:hAnsi="Times New Roman" w:eastAsia="宋体" w:cs="Times New Roman"/>
                                      <w:color w:val="FF0000"/>
                                      <w:sz w:val="24"/>
                                      <w:szCs w:val="24"/>
                                      <w:lang w:val="en-US" w:eastAsia="zh-CN"/>
                                    </w:rPr>
                                    <w:t>Q1、Q2</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77696" behindDoc="0" locked="0" layoutInCell="1" allowOverlap="1">
                            <wp:simplePos x="0" y="0"/>
                            <wp:positionH relativeFrom="column">
                              <wp:posOffset>2541270</wp:posOffset>
                            </wp:positionH>
                            <wp:positionV relativeFrom="paragraph">
                              <wp:posOffset>360045</wp:posOffset>
                            </wp:positionV>
                            <wp:extent cx="534670" cy="37147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534670" cy="371475"/>
                                    </a:xfrm>
                                    <a:prstGeom prst="rect">
                                      <a:avLst/>
                                    </a:prstGeom>
                                    <a:noFill/>
                                    <a:ln w="15875">
                                      <a:noFill/>
                                    </a:ln>
                                  </wps:spPr>
                                  <wps:txbx>
                                    <w:txbxContent>
                                      <w:p>
                                        <w:pPr>
                                          <w:ind w:left="0" w:leftChars="0" w:firstLine="0" w:firstLineChars="0"/>
                                          <w:rPr>
                                            <w:rFonts w:hint="default" w:eastAsia="宋体"/>
                                            <w:b/>
                                            <w:bCs/>
                                            <w:color w:val="FF0000"/>
                                            <w:lang w:val="en-US" w:eastAsia="zh-CN"/>
                                          </w:rPr>
                                        </w:pPr>
                                        <w:r>
                                          <w:rPr>
                                            <w:rFonts w:hint="eastAsia" w:ascii="宋体" w:hAnsi="宋体" w:eastAsia="宋体" w:cs="宋体"/>
                                            <w:b/>
                                            <w:bCs/>
                                            <w:color w:val="FF0000"/>
                                          </w:rPr>
                                          <w:t>○</w:t>
                                        </w:r>
                                        <w:r>
                                          <w:rPr>
                                            <w:rFonts w:hint="eastAsia" w:ascii="宋体" w:hAnsi="宋体" w:eastAsia="宋体" w:cs="宋体"/>
                                            <w:b/>
                                            <w:bCs/>
                                            <w:color w:val="FF0000"/>
                                            <w:lang w:val="en-US" w:eastAsia="zh-CN"/>
                                          </w:rPr>
                                          <w:t>G3</w:t>
                                        </w:r>
                                      </w:p>
                                      <w:p>
                                        <w:pPr>
                                          <w:ind w:left="0" w:leftChars="0" w:firstLine="0" w:firstLineChars="0"/>
                                          <w:rPr>
                                            <w:rFonts w:hint="default"/>
                                            <w:color w:val="FF0000"/>
                                            <w:lang w:val="en-US"/>
                                          </w:rPr>
                                        </w:pPr>
                                        <w:r>
                                          <w:rPr>
                                            <w:rFonts w:hint="eastAsia" w:ascii="Times New Roman" w:hAnsi="Times New Roman" w:eastAsia="宋体" w:cs="Times New Roman"/>
                                            <w:color w:val="FF0000"/>
                                            <w:sz w:val="24"/>
                                            <w:szCs w:val="24"/>
                                            <w:lang w:val="en-US" w:eastAsia="zh-CN"/>
                                          </w:rPr>
                                          <w:t>Q1、Q2</w:t>
                                        </w:r>
                                      </w:p>
                                    </w:txbxContent>
                                  </wps:txbx>
                                  <wps:bodyPr upright="1"/>
                                </wps:wsp>
                              </a:graphicData>
                            </a:graphic>
                          </wp:anchor>
                        </w:drawing>
                      </mc:Choice>
                      <mc:Fallback>
                        <w:pict>
                          <v:shape id="_x0000_s1026" o:spid="_x0000_s1026" o:spt="202" type="#_x0000_t202" style="position:absolute;left:0pt;margin-left:200.1pt;margin-top:28.35pt;height:29.25pt;width:42.1pt;z-index:251677696;mso-width-relative:page;mso-height-relative:page;" filled="f" stroked="f" coordsize="21600,21600" o:gfxdata="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r8L+u2wAAAAoBAAAPAAAAAAAAAAEAIAAAACIAAABkcnMvZG93bnJldi54bWxQSwECFAAU&#10;AAAACACHTuJAxb0XWbUBAABZAwAADgAAAAAAAAABACAAAAAqAQAAZHJzL2Uyb0RvYy54bWxQSwUG&#10;AAAAAAYABgBZAQAAUQUAAAAA&#10;">
                            <v:fill on="f" focussize="0,0"/>
                            <v:stroke on="f" weight="1.25pt"/>
                            <v:imagedata o:title=""/>
                            <o:lock v:ext="edit" aspectratio="f"/>
                            <v:textbox>
                              <w:txbxContent>
                                <w:p>
                                  <w:pPr>
                                    <w:ind w:left="0" w:leftChars="0" w:firstLine="0" w:firstLineChars="0"/>
                                    <w:rPr>
                                      <w:rFonts w:hint="default" w:eastAsia="宋体"/>
                                      <w:b/>
                                      <w:bCs/>
                                      <w:color w:val="FF0000"/>
                                      <w:lang w:val="en-US" w:eastAsia="zh-CN"/>
                                    </w:rPr>
                                  </w:pPr>
                                  <w:r>
                                    <w:rPr>
                                      <w:rFonts w:hint="eastAsia" w:ascii="宋体" w:hAnsi="宋体" w:eastAsia="宋体" w:cs="宋体"/>
                                      <w:b/>
                                      <w:bCs/>
                                      <w:color w:val="FF0000"/>
                                    </w:rPr>
                                    <w:t>○</w:t>
                                  </w:r>
                                  <w:r>
                                    <w:rPr>
                                      <w:rFonts w:hint="eastAsia" w:ascii="宋体" w:hAnsi="宋体" w:eastAsia="宋体" w:cs="宋体"/>
                                      <w:b/>
                                      <w:bCs/>
                                      <w:color w:val="FF0000"/>
                                      <w:lang w:val="en-US" w:eastAsia="zh-CN"/>
                                    </w:rPr>
                                    <w:t>G3</w:t>
                                  </w:r>
                                </w:p>
                                <w:p>
                                  <w:pPr>
                                    <w:ind w:left="0" w:leftChars="0" w:firstLine="0" w:firstLineChars="0"/>
                                    <w:rPr>
                                      <w:rFonts w:hint="default"/>
                                      <w:color w:val="FF0000"/>
                                      <w:lang w:val="en-US"/>
                                    </w:rPr>
                                  </w:pPr>
                                  <w:r>
                                    <w:rPr>
                                      <w:rFonts w:hint="eastAsia" w:ascii="Times New Roman" w:hAnsi="Times New Roman" w:eastAsia="宋体" w:cs="Times New Roman"/>
                                      <w:color w:val="FF0000"/>
                                      <w:sz w:val="24"/>
                                      <w:szCs w:val="24"/>
                                      <w:lang w:val="en-US" w:eastAsia="zh-CN"/>
                                    </w:rPr>
                                    <w:t>Q1、Q2</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76672" behindDoc="0" locked="0" layoutInCell="1" allowOverlap="1">
                            <wp:simplePos x="0" y="0"/>
                            <wp:positionH relativeFrom="column">
                              <wp:posOffset>3629660</wp:posOffset>
                            </wp:positionH>
                            <wp:positionV relativeFrom="paragraph">
                              <wp:posOffset>593725</wp:posOffset>
                            </wp:positionV>
                            <wp:extent cx="534670" cy="37147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534670" cy="371475"/>
                                    </a:xfrm>
                                    <a:prstGeom prst="rect">
                                      <a:avLst/>
                                    </a:prstGeom>
                                    <a:noFill/>
                                    <a:ln w="15875">
                                      <a:noFill/>
                                    </a:ln>
                                  </wps:spPr>
                                  <wps:txbx>
                                    <w:txbxContent>
                                      <w:p>
                                        <w:pPr>
                                          <w:ind w:left="0" w:leftChars="0" w:firstLine="0" w:firstLineChars="0"/>
                                          <w:rPr>
                                            <w:rFonts w:hint="default" w:eastAsia="宋体"/>
                                            <w:b/>
                                            <w:bCs/>
                                            <w:color w:val="FF0000"/>
                                            <w:lang w:val="en-US" w:eastAsia="zh-CN"/>
                                          </w:rPr>
                                        </w:pPr>
                                        <w:r>
                                          <w:rPr>
                                            <w:rFonts w:hint="eastAsia" w:ascii="宋体" w:hAnsi="宋体" w:eastAsia="宋体" w:cs="宋体"/>
                                            <w:b/>
                                            <w:bCs/>
                                            <w:color w:val="FF0000"/>
                                          </w:rPr>
                                          <w:t>○</w:t>
                                        </w:r>
                                        <w:r>
                                          <w:rPr>
                                            <w:rFonts w:hint="eastAsia" w:ascii="宋体" w:hAnsi="宋体" w:eastAsia="宋体" w:cs="宋体"/>
                                            <w:b/>
                                            <w:bCs/>
                                            <w:color w:val="FF0000"/>
                                            <w:lang w:val="en-US" w:eastAsia="zh-CN"/>
                                          </w:rPr>
                                          <w:t>G4</w:t>
                                        </w:r>
                                      </w:p>
                                      <w:p>
                                        <w:pPr>
                                          <w:ind w:left="0" w:leftChars="0" w:firstLine="0" w:firstLineChars="0"/>
                                          <w:rPr>
                                            <w:rFonts w:hint="default"/>
                                            <w:color w:val="FF0000"/>
                                            <w:lang w:val="en-US"/>
                                          </w:rPr>
                                        </w:pPr>
                                        <w:r>
                                          <w:rPr>
                                            <w:rFonts w:hint="eastAsia" w:ascii="Times New Roman" w:hAnsi="Times New Roman" w:eastAsia="宋体" w:cs="Times New Roman"/>
                                            <w:color w:val="FF0000"/>
                                            <w:sz w:val="24"/>
                                            <w:szCs w:val="24"/>
                                            <w:lang w:val="en-US" w:eastAsia="zh-CN"/>
                                          </w:rPr>
                                          <w:t>Q1、Q2</w:t>
                                        </w:r>
                                      </w:p>
                                    </w:txbxContent>
                                  </wps:txbx>
                                  <wps:bodyPr upright="1"/>
                                </wps:wsp>
                              </a:graphicData>
                            </a:graphic>
                          </wp:anchor>
                        </w:drawing>
                      </mc:Choice>
                      <mc:Fallback>
                        <w:pict>
                          <v:shape id="_x0000_s1026" o:spid="_x0000_s1026" o:spt="202" type="#_x0000_t202" style="position:absolute;left:0pt;margin-left:285.8pt;margin-top:46.75pt;height:29.25pt;width:42.1pt;z-index:251676672;mso-width-relative:page;mso-height-relative:page;" filled="f" stroked="f" coordsize="21600,21600" o:gfxdata="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jBk53AAAAAoBAAAPAAAAAAAAAAEAIAAAACIAAABkcnMvZG93bnJldi54bWxQSwECFAAU&#10;AAAACACHTuJAP03YY7QBAABZAwAADgAAAAAAAAABACAAAAArAQAAZHJzL2Uyb0RvYy54bWxQSwUG&#10;AAAAAAYABgBZAQAAUQUAAAAA&#10;">
                            <v:fill on="f" focussize="0,0"/>
                            <v:stroke on="f" weight="1.25pt"/>
                            <v:imagedata o:title=""/>
                            <o:lock v:ext="edit" aspectratio="f"/>
                            <v:textbox>
                              <w:txbxContent>
                                <w:p>
                                  <w:pPr>
                                    <w:ind w:left="0" w:leftChars="0" w:firstLine="0" w:firstLineChars="0"/>
                                    <w:rPr>
                                      <w:rFonts w:hint="default" w:eastAsia="宋体"/>
                                      <w:b/>
                                      <w:bCs/>
                                      <w:color w:val="FF0000"/>
                                      <w:lang w:val="en-US" w:eastAsia="zh-CN"/>
                                    </w:rPr>
                                  </w:pPr>
                                  <w:r>
                                    <w:rPr>
                                      <w:rFonts w:hint="eastAsia" w:ascii="宋体" w:hAnsi="宋体" w:eastAsia="宋体" w:cs="宋体"/>
                                      <w:b/>
                                      <w:bCs/>
                                      <w:color w:val="FF0000"/>
                                    </w:rPr>
                                    <w:t>○</w:t>
                                  </w:r>
                                  <w:r>
                                    <w:rPr>
                                      <w:rFonts w:hint="eastAsia" w:ascii="宋体" w:hAnsi="宋体" w:eastAsia="宋体" w:cs="宋体"/>
                                      <w:b/>
                                      <w:bCs/>
                                      <w:color w:val="FF0000"/>
                                      <w:lang w:val="en-US" w:eastAsia="zh-CN"/>
                                    </w:rPr>
                                    <w:t>G4</w:t>
                                  </w:r>
                                </w:p>
                                <w:p>
                                  <w:pPr>
                                    <w:ind w:left="0" w:leftChars="0" w:firstLine="0" w:firstLineChars="0"/>
                                    <w:rPr>
                                      <w:rFonts w:hint="default"/>
                                      <w:color w:val="FF0000"/>
                                      <w:lang w:val="en-US"/>
                                    </w:rPr>
                                  </w:pPr>
                                  <w:r>
                                    <w:rPr>
                                      <w:rFonts w:hint="eastAsia" w:ascii="Times New Roman" w:hAnsi="Times New Roman" w:eastAsia="宋体" w:cs="Times New Roman"/>
                                      <w:color w:val="FF0000"/>
                                      <w:sz w:val="24"/>
                                      <w:szCs w:val="24"/>
                                      <w:lang w:val="en-US" w:eastAsia="zh-CN"/>
                                    </w:rPr>
                                    <w:t>Q1、Q2</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75648" behindDoc="0" locked="0" layoutInCell="1" allowOverlap="1">
                            <wp:simplePos x="0" y="0"/>
                            <wp:positionH relativeFrom="column">
                              <wp:posOffset>2453640</wp:posOffset>
                            </wp:positionH>
                            <wp:positionV relativeFrom="paragraph">
                              <wp:posOffset>2433320</wp:posOffset>
                            </wp:positionV>
                            <wp:extent cx="534670" cy="37147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534670" cy="371475"/>
                                    </a:xfrm>
                                    <a:prstGeom prst="rect">
                                      <a:avLst/>
                                    </a:prstGeom>
                                    <a:noFill/>
                                    <a:ln w="15875">
                                      <a:noFill/>
                                    </a:ln>
                                  </wps:spPr>
                                  <wps:txbx>
                                    <w:txbxContent>
                                      <w:p>
                                        <w:pPr>
                                          <w:ind w:left="0" w:leftChars="0" w:firstLine="0" w:firstLineChars="0"/>
                                          <w:rPr>
                                            <w:rFonts w:hint="default" w:eastAsia="宋体"/>
                                            <w:b/>
                                            <w:bCs/>
                                            <w:color w:val="FF0000"/>
                                            <w:lang w:val="en-US" w:eastAsia="zh-CN"/>
                                          </w:rPr>
                                        </w:pPr>
                                        <w:r>
                                          <w:rPr>
                                            <w:rFonts w:hint="eastAsia" w:ascii="宋体" w:hAnsi="宋体" w:eastAsia="宋体" w:cs="宋体"/>
                                            <w:b/>
                                            <w:bCs/>
                                            <w:color w:val="FF0000"/>
                                          </w:rPr>
                                          <w:t>○</w:t>
                                        </w:r>
                                        <w:r>
                                          <w:rPr>
                                            <w:rFonts w:hint="eastAsia" w:ascii="宋体" w:hAnsi="宋体" w:eastAsia="宋体" w:cs="宋体"/>
                                            <w:b/>
                                            <w:bCs/>
                                            <w:color w:val="FF0000"/>
                                            <w:lang w:val="en-US" w:eastAsia="zh-CN"/>
                                          </w:rPr>
                                          <w:t>G1</w:t>
                                        </w:r>
                                      </w:p>
                                      <w:p>
                                        <w:pPr>
                                          <w:ind w:left="0" w:leftChars="0" w:firstLine="0" w:firstLineChars="0"/>
                                          <w:rPr>
                                            <w:rFonts w:hint="default"/>
                                            <w:color w:val="FF0000"/>
                                            <w:lang w:val="en-US"/>
                                          </w:rPr>
                                        </w:pPr>
                                        <w:r>
                                          <w:rPr>
                                            <w:rFonts w:hint="eastAsia" w:ascii="Times New Roman" w:hAnsi="Times New Roman" w:eastAsia="宋体" w:cs="Times New Roman"/>
                                            <w:color w:val="FF0000"/>
                                            <w:sz w:val="24"/>
                                            <w:szCs w:val="24"/>
                                            <w:lang w:val="en-US" w:eastAsia="zh-CN"/>
                                          </w:rPr>
                                          <w:t>Q1、Q2</w:t>
                                        </w:r>
                                      </w:p>
                                    </w:txbxContent>
                                  </wps:txbx>
                                  <wps:bodyPr upright="1"/>
                                </wps:wsp>
                              </a:graphicData>
                            </a:graphic>
                          </wp:anchor>
                        </w:drawing>
                      </mc:Choice>
                      <mc:Fallback>
                        <w:pict>
                          <v:shape id="_x0000_s1026" o:spid="_x0000_s1026" o:spt="202" type="#_x0000_t202" style="position:absolute;left:0pt;margin-left:193.2pt;margin-top:191.6pt;height:29.25pt;width:42.1pt;z-index:251675648;mso-width-relative:page;mso-height-relative:page;" filled="f" stroked="f" coordsize="21600,21600" o:gfxdata="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GpemtwAAAALAQAADwAAAAAAAAABACAAAAAiAAAAZHJzL2Rvd25yZXYueG1sUEsBAhQA&#10;FAAAAAgAh07iQNMcKbu1AQAAWQMAAA4AAAAAAAAAAQAgAAAAKwEAAGRycy9lMm9Eb2MueG1sUEsF&#10;BgAAAAAGAAYAWQEAAFIFAAAAAA==&#10;">
                            <v:fill on="f" focussize="0,0"/>
                            <v:stroke on="f" weight="1.25pt"/>
                            <v:imagedata o:title=""/>
                            <o:lock v:ext="edit" aspectratio="f"/>
                            <v:textbox>
                              <w:txbxContent>
                                <w:p>
                                  <w:pPr>
                                    <w:ind w:left="0" w:leftChars="0" w:firstLine="0" w:firstLineChars="0"/>
                                    <w:rPr>
                                      <w:rFonts w:hint="default" w:eastAsia="宋体"/>
                                      <w:b/>
                                      <w:bCs/>
                                      <w:color w:val="FF0000"/>
                                      <w:lang w:val="en-US" w:eastAsia="zh-CN"/>
                                    </w:rPr>
                                  </w:pPr>
                                  <w:r>
                                    <w:rPr>
                                      <w:rFonts w:hint="eastAsia" w:ascii="宋体" w:hAnsi="宋体" w:eastAsia="宋体" w:cs="宋体"/>
                                      <w:b/>
                                      <w:bCs/>
                                      <w:color w:val="FF0000"/>
                                    </w:rPr>
                                    <w:t>○</w:t>
                                  </w:r>
                                  <w:r>
                                    <w:rPr>
                                      <w:rFonts w:hint="eastAsia" w:ascii="宋体" w:hAnsi="宋体" w:eastAsia="宋体" w:cs="宋体"/>
                                      <w:b/>
                                      <w:bCs/>
                                      <w:color w:val="FF0000"/>
                                      <w:lang w:val="en-US" w:eastAsia="zh-CN"/>
                                    </w:rPr>
                                    <w:t>G1</w:t>
                                  </w:r>
                                </w:p>
                                <w:p>
                                  <w:pPr>
                                    <w:ind w:left="0" w:leftChars="0" w:firstLine="0" w:firstLineChars="0"/>
                                    <w:rPr>
                                      <w:rFonts w:hint="default"/>
                                      <w:color w:val="FF0000"/>
                                      <w:lang w:val="en-US"/>
                                    </w:rPr>
                                  </w:pPr>
                                  <w:r>
                                    <w:rPr>
                                      <w:rFonts w:hint="eastAsia" w:ascii="Times New Roman" w:hAnsi="Times New Roman" w:eastAsia="宋体" w:cs="Times New Roman"/>
                                      <w:color w:val="FF0000"/>
                                      <w:sz w:val="24"/>
                                      <w:szCs w:val="24"/>
                                      <w:lang w:val="en-US" w:eastAsia="zh-CN"/>
                                    </w:rPr>
                                    <w:t>Q1、Q2</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68480" behindDoc="0" locked="0" layoutInCell="1" allowOverlap="1">
                            <wp:simplePos x="0" y="0"/>
                            <wp:positionH relativeFrom="column">
                              <wp:posOffset>3676650</wp:posOffset>
                            </wp:positionH>
                            <wp:positionV relativeFrom="paragraph">
                              <wp:posOffset>3218180</wp:posOffset>
                            </wp:positionV>
                            <wp:extent cx="190500" cy="76200"/>
                            <wp:effectExtent l="12700" t="12700" r="25400" b="25400"/>
                            <wp:wrapNone/>
                            <wp:docPr id="16" name="矩形 16"/>
                            <wp:cNvGraphicFramePr/>
                            <a:graphic xmlns:a="http://schemas.openxmlformats.org/drawingml/2006/main">
                              <a:graphicData uri="http://schemas.microsoft.com/office/word/2010/wordprocessingShape">
                                <wps:wsp>
                                  <wps:cNvSpPr/>
                                  <wps:spPr>
                                    <a:xfrm flipV="1">
                                      <a:off x="0" y="0"/>
                                      <a:ext cx="190500" cy="76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289.5pt;margin-top:253.4pt;height:6pt;width:15pt;z-index:251668480;v-text-anchor:middle;mso-width-relative:page;mso-height-relative:page;" filled="f" stroked="t" coordsize="21600,21600" o:gfxdata="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4tEgHZAAAACwEAAA8AAAAAAAAAAQAgAAAAIgAAAGRycy9kb3ducmV2LnhtbFBLAQIUABQA&#10;AAAIAIdO4kARh9J4YQIAAL4EAAAOAAAAAAAAAAEAIAAAACgBAABkcnMvZTJvRG9jLnhtbFBLBQYA&#10;AAAABgAGAFkBAAD7BQAAAAA=&#10;">
                            <v:fill on="f" focussize="0,0"/>
                            <v:stroke weight="2pt" color="#FF0000 [3204]" joinstyle="round"/>
                            <v:imagedata o:title=""/>
                            <o:lock v:ext="edit" aspectratio="f"/>
                          </v:rect>
                        </w:pict>
                      </mc:Fallback>
                    </mc:AlternateContent>
                  </w:r>
                  <w:r>
                    <w:rPr>
                      <w:rFonts w:hint="default" w:ascii="Times New Roman" w:hAnsi="Times New Roman" w:cs="Times New Roman"/>
                      <w:color w:val="auto"/>
                    </w:rPr>
                    <mc:AlternateContent>
                      <mc:Choice Requires="wps">
                        <w:drawing>
                          <wp:anchor distT="0" distB="0" distL="114300" distR="114300" simplePos="0" relativeHeight="251667456" behindDoc="0" locked="0" layoutInCell="1" allowOverlap="1">
                            <wp:simplePos x="0" y="0"/>
                            <wp:positionH relativeFrom="column">
                              <wp:posOffset>3575050</wp:posOffset>
                            </wp:positionH>
                            <wp:positionV relativeFrom="paragraph">
                              <wp:posOffset>3081655</wp:posOffset>
                            </wp:positionV>
                            <wp:extent cx="1397635" cy="469900"/>
                            <wp:effectExtent l="0" t="0" r="12065" b="6350"/>
                            <wp:wrapNone/>
                            <wp:docPr id="15" name="文本框 15"/>
                            <wp:cNvGraphicFramePr/>
                            <a:graphic xmlns:a="http://schemas.openxmlformats.org/drawingml/2006/main">
                              <a:graphicData uri="http://schemas.microsoft.com/office/word/2010/wordprocessingShape">
                                <wps:wsp>
                                  <wps:cNvSpPr txBox="1"/>
                                  <wps:spPr>
                                    <a:xfrm>
                                      <a:off x="0" y="0"/>
                                      <a:ext cx="1397635" cy="4699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企业边界</w:t>
                                        </w:r>
                                      </w:p>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default"/>
                                            <w:color w:val="auto"/>
                                            <w:sz w:val="18"/>
                                            <w:szCs w:val="18"/>
                                            <w:lang w:val="en-US" w:eastAsia="zh-CN"/>
                                          </w:rPr>
                                        </w:pPr>
                                        <w:r>
                                          <w:rPr>
                                            <w:rFonts w:hint="default" w:ascii="Times New Roman" w:hAnsi="Times New Roman" w:eastAsia="宋体" w:cs="Times New Roman"/>
                                            <w:color w:val="FF0000"/>
                                            <w:sz w:val="21"/>
                                            <w:szCs w:val="21"/>
                                            <w:highlight w:val="none"/>
                                          </w:rPr>
                                          <w:t>○</w:t>
                                        </w:r>
                                        <w:r>
                                          <w:rPr>
                                            <w:rFonts w:hint="default" w:ascii="Times New Roman" w:hAnsi="Times New Roman" w:eastAsia="宋体" w:cs="Times New Roman"/>
                                            <w:color w:val="FF0000"/>
                                            <w:kern w:val="2"/>
                                            <w:sz w:val="18"/>
                                            <w:szCs w:val="18"/>
                                            <w:lang w:val="en-US" w:eastAsia="zh-CN" w:bidi="ar-SA"/>
                                          </w:rPr>
                                          <w:t>G1-G</w:t>
                                        </w:r>
                                        <w:r>
                                          <w:rPr>
                                            <w:rFonts w:hint="eastAsia" w:ascii="Times New Roman" w:hAnsi="Times New Roman" w:cs="Times New Roman"/>
                                            <w:color w:val="FF0000"/>
                                            <w:kern w:val="2"/>
                                            <w:sz w:val="18"/>
                                            <w:szCs w:val="18"/>
                                            <w:lang w:val="en-US" w:eastAsia="zh-CN" w:bidi="ar-SA"/>
                                          </w:rPr>
                                          <w:t>4</w:t>
                                        </w:r>
                                        <w:r>
                                          <w:rPr>
                                            <w:rFonts w:hint="default" w:ascii="Times New Roman" w:hAnsi="Times New Roman" w:eastAsia="宋体" w:cs="Times New Roman"/>
                                            <w:color w:val="auto"/>
                                            <w:kern w:val="2"/>
                                            <w:sz w:val="18"/>
                                            <w:szCs w:val="18"/>
                                            <w:lang w:val="en-US" w:eastAsia="zh-CN" w:bidi="ar-SA"/>
                                          </w:rPr>
                                          <w:t>为无组织废气测点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1.5pt;margin-top:242.65pt;height:37pt;width:110.05pt;z-index:251667456;mso-width-relative:page;mso-height-relative:page;" fillcolor="#FFFFFF [3212]" filled="t" stroked="f" coordsize="21600,21600" o:gfxdata="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FdbfvXAAAACwEAAA8A&#10;AAAAAAAAAQAgAAAAIgAAAGRycy9kb3ducmV2LnhtbFBLAQIUABQAAAAIAIdO4kBC50QwUQIAAJEE&#10;AAAOAAAAAAAAAAEAIAAAACYBAABkcnMvZTJvRG9jLnhtbFBLBQYAAAAABgAGAFkBAADp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企业边界</w:t>
                                  </w:r>
                                </w:p>
                                <w:p>
                                  <w:pPr>
                                    <w:keepNext w:val="0"/>
                                    <w:keepLines w:val="0"/>
                                    <w:pageBreakBefore w:val="0"/>
                                    <w:widowControl w:val="0"/>
                                    <w:kinsoku/>
                                    <w:wordWrap/>
                                    <w:overflowPunct/>
                                    <w:topLinePunct w:val="0"/>
                                    <w:autoSpaceDE/>
                                    <w:autoSpaceDN/>
                                    <w:bidi w:val="0"/>
                                    <w:adjustRightInd/>
                                    <w:snapToGrid/>
                                    <w:spacing w:line="300" w:lineRule="exact"/>
                                    <w:ind w:left="0" w:leftChars="0" w:firstLine="0" w:firstLineChars="0"/>
                                    <w:textAlignment w:val="auto"/>
                                    <w:rPr>
                                      <w:rFonts w:hint="default"/>
                                      <w:color w:val="auto"/>
                                      <w:sz w:val="18"/>
                                      <w:szCs w:val="18"/>
                                      <w:lang w:val="en-US" w:eastAsia="zh-CN"/>
                                    </w:rPr>
                                  </w:pPr>
                                  <w:r>
                                    <w:rPr>
                                      <w:rFonts w:hint="default" w:ascii="Times New Roman" w:hAnsi="Times New Roman" w:eastAsia="宋体" w:cs="Times New Roman"/>
                                      <w:color w:val="FF0000"/>
                                      <w:sz w:val="21"/>
                                      <w:szCs w:val="21"/>
                                      <w:highlight w:val="none"/>
                                    </w:rPr>
                                    <w:t>○</w:t>
                                  </w:r>
                                  <w:r>
                                    <w:rPr>
                                      <w:rFonts w:hint="default" w:ascii="Times New Roman" w:hAnsi="Times New Roman" w:eastAsia="宋体" w:cs="Times New Roman"/>
                                      <w:color w:val="FF0000"/>
                                      <w:kern w:val="2"/>
                                      <w:sz w:val="18"/>
                                      <w:szCs w:val="18"/>
                                      <w:lang w:val="en-US" w:eastAsia="zh-CN" w:bidi="ar-SA"/>
                                    </w:rPr>
                                    <w:t>G1-G</w:t>
                                  </w:r>
                                  <w:r>
                                    <w:rPr>
                                      <w:rFonts w:hint="eastAsia" w:ascii="Times New Roman" w:hAnsi="Times New Roman" w:cs="Times New Roman"/>
                                      <w:color w:val="FF0000"/>
                                      <w:kern w:val="2"/>
                                      <w:sz w:val="18"/>
                                      <w:szCs w:val="18"/>
                                      <w:lang w:val="en-US" w:eastAsia="zh-CN" w:bidi="ar-SA"/>
                                    </w:rPr>
                                    <w:t>4</w:t>
                                  </w:r>
                                  <w:r>
                                    <w:rPr>
                                      <w:rFonts w:hint="default" w:ascii="Times New Roman" w:hAnsi="Times New Roman" w:eastAsia="宋体" w:cs="Times New Roman"/>
                                      <w:color w:val="auto"/>
                                      <w:kern w:val="2"/>
                                      <w:sz w:val="18"/>
                                      <w:szCs w:val="18"/>
                                      <w:lang w:val="en-US" w:eastAsia="zh-CN" w:bidi="ar-SA"/>
                                    </w:rPr>
                                    <w:t>为无组织废气测点</w:t>
                                  </w:r>
                                </w:p>
                              </w:txbxContent>
                            </v:textbox>
                          </v:shape>
                        </w:pict>
                      </mc:Fallback>
                    </mc:AlternateContent>
                  </w:r>
                  <w:r>
                    <w:drawing>
                      <wp:inline distT="0" distB="0" distL="114300" distR="114300">
                        <wp:extent cx="4796790" cy="3554095"/>
                        <wp:effectExtent l="0" t="0" r="6985" b="825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1"/>
                                <a:srcRect l="22250" t="28099" r="20758"/>
                                <a:stretch>
                                  <a:fillRect/>
                                </a:stretch>
                              </pic:blipFill>
                              <pic:spPr>
                                <a:xfrm>
                                  <a:off x="0" y="0"/>
                                  <a:ext cx="4796790" cy="35540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Borders>
                    <w:tl2br w:val="nil"/>
                    <w:tr2bl w:val="nil"/>
                  </w:tcBorders>
                  <w:vAlign w:val="top"/>
                </w:tcPr>
                <w:p>
                  <w:pPr>
                    <w:spacing w:line="360" w:lineRule="auto"/>
                    <w:ind w:left="0" w:leftChars="0"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rPr>
                    <w:t>图</w:t>
                  </w:r>
                  <w:r>
                    <w:rPr>
                      <w:rFonts w:hint="default" w:ascii="Times New Roman" w:hAnsi="Times New Roman" w:cs="Times New Roman"/>
                      <w:color w:val="auto"/>
                      <w:lang w:val="en-US" w:eastAsia="zh-CN"/>
                    </w:rPr>
                    <w:t>8</w:t>
                  </w:r>
                  <w:r>
                    <w:rPr>
                      <w:rFonts w:hint="default" w:ascii="Times New Roman" w:hAnsi="Times New Roman" w:cs="Times New Roman"/>
                      <w:color w:val="auto"/>
                    </w:rPr>
                    <w:t xml:space="preserve">-1  </w:t>
                  </w:r>
                  <w:r>
                    <w:rPr>
                      <w:rFonts w:hint="default" w:ascii="Times New Roman" w:hAnsi="Times New Roman" w:cs="Times New Roman"/>
                      <w:color w:val="auto"/>
                      <w:lang w:val="en-US" w:eastAsia="zh-CN"/>
                    </w:rPr>
                    <w:t>无组织</w:t>
                  </w:r>
                  <w:r>
                    <w:rPr>
                      <w:rFonts w:hint="default" w:ascii="Times New Roman" w:hAnsi="Times New Roman" w:cs="Times New Roman"/>
                      <w:color w:val="auto"/>
                    </w:rPr>
                    <w:t>废气监测点位图</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月</w:t>
                  </w: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日、</w:t>
                  </w:r>
                  <w:r>
                    <w:rPr>
                      <w:rFonts w:hint="eastAsia" w:ascii="Times New Roman" w:hAnsi="Times New Roman" w:cs="Times New Roman"/>
                      <w:color w:val="auto"/>
                      <w:lang w:val="en-US" w:eastAsia="zh-CN"/>
                    </w:rPr>
                    <w:t>9</w:t>
                  </w:r>
                  <w:r>
                    <w:rPr>
                      <w:rFonts w:hint="default" w:ascii="Times New Roman" w:hAnsi="Times New Roman" w:cs="Times New Roman"/>
                      <w:color w:val="auto"/>
                      <w:lang w:val="en-US" w:eastAsia="zh-CN"/>
                    </w:rPr>
                    <w:t>日）</w:t>
                  </w:r>
                </w:p>
                <w:p>
                  <w:pPr>
                    <w:ind w:left="0" w:leftChars="0" w:firstLine="0" w:firstLineChars="0"/>
                    <w:jc w:val="center"/>
                    <w:rPr>
                      <w:rFonts w:hint="default" w:ascii="Times New Roman" w:hAnsi="Times New Roman" w:cs="Times New Roman"/>
                      <w:color w:val="auto"/>
                    </w:rPr>
                  </w:pPr>
                  <w:r>
                    <w:rPr>
                      <w:color w:val="auto"/>
                      <w:sz w:val="28"/>
                    </w:rPr>
                    <mc:AlternateContent>
                      <mc:Choice Requires="wps">
                        <w:drawing>
                          <wp:anchor distT="0" distB="0" distL="114300" distR="114300" simplePos="0" relativeHeight="251674624" behindDoc="0" locked="0" layoutInCell="1" allowOverlap="1">
                            <wp:simplePos x="0" y="0"/>
                            <wp:positionH relativeFrom="column">
                              <wp:posOffset>6341110</wp:posOffset>
                            </wp:positionH>
                            <wp:positionV relativeFrom="paragraph">
                              <wp:posOffset>4638040</wp:posOffset>
                            </wp:positionV>
                            <wp:extent cx="533400" cy="42862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533400" cy="428625"/>
                                    </a:xfrm>
                                    <a:prstGeom prst="rect">
                                      <a:avLst/>
                                    </a:prstGeom>
                                    <a:noFill/>
                                    <a:ln w="15875">
                                      <a:noFill/>
                                    </a:ln>
                                  </wps:spPr>
                                  <wps:txbx>
                                    <w:txbxContent>
                                      <w:p>
                                        <w:pPr>
                                          <w:rPr>
                                            <w:rFonts w:hint="default" w:eastAsia="宋体"/>
                                            <w:color w:val="FF0000"/>
                                            <w:lang w:val="en-US" w:eastAsia="zh-CN"/>
                                          </w:rPr>
                                        </w:pPr>
                                        <w:r>
                                          <w:rPr>
                                            <w:rFonts w:hint="eastAsia" w:ascii="宋体" w:hAnsi="宋体" w:eastAsia="宋体" w:cs="宋体"/>
                                            <w:color w:val="FF0000"/>
                                          </w:rPr>
                                          <w:t>○</w:t>
                                        </w:r>
                                      </w:p>
                                    </w:txbxContent>
                                  </wps:txbx>
                                  <wps:bodyPr upright="1"/>
                                </wps:wsp>
                              </a:graphicData>
                            </a:graphic>
                          </wp:anchor>
                        </w:drawing>
                      </mc:Choice>
                      <mc:Fallback>
                        <w:pict>
                          <v:shape id="_x0000_s1026" o:spid="_x0000_s1026" o:spt="202" type="#_x0000_t202" style="position:absolute;left:0pt;margin-left:499.3pt;margin-top:365.2pt;height:33.75pt;width:42pt;z-index:251674624;mso-width-relative:page;mso-height-relative:page;" filled="f" stroked="f" coordsize="21600,21600" o:gfxdata="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aw06T3QAAAAwBAAAPAAAAAAAAAAEAIAAAACIAAABkcnMvZG93bnJldi54bWxQSwEC&#10;FAAUAAAACACHTuJAnPiW+7YBAABZAwAADgAAAAAAAAABACAAAAAsAQAAZHJzL2Uyb0RvYy54bWxQ&#10;SwUGAAAAAAYABgBZAQAAVAUAAAAA&#10;">
                            <v:fill on="f" focussize="0,0"/>
                            <v:stroke on="f" weight="1.25pt"/>
                            <v:imagedata o:title=""/>
                            <o:lock v:ext="edit" aspectratio="f"/>
                            <v:textbox>
                              <w:txbxContent>
                                <w:p>
                                  <w:pPr>
                                    <w:rPr>
                                      <w:rFonts w:hint="default" w:eastAsia="宋体"/>
                                      <w:color w:val="FF0000"/>
                                      <w:lang w:val="en-US" w:eastAsia="zh-CN"/>
                                    </w:rPr>
                                  </w:pPr>
                                  <w:r>
                                    <w:rPr>
                                      <w:rFonts w:hint="eastAsia" w:ascii="宋体" w:hAnsi="宋体" w:eastAsia="宋体" w:cs="宋体"/>
                                      <w:color w:val="FF0000"/>
                                    </w:rPr>
                                    <w:t>○</w:t>
                                  </w:r>
                                </w:p>
                              </w:txbxContent>
                            </v:textbox>
                          </v:shap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Borders>
                    <w:tl2br w:val="nil"/>
                    <w:tr2bl w:val="nil"/>
                  </w:tcBorders>
                  <w:vAlign w:val="top"/>
                </w:tcPr>
                <w:p>
                  <w:pPr>
                    <w:ind w:left="0" w:leftChars="0" w:firstLine="0" w:firstLineChars="0"/>
                    <w:jc w:val="center"/>
                    <w:rPr>
                      <w:rFonts w:hint="default" w:ascii="Times New Roman" w:hAnsi="Times New Roman" w:cs="Times New Roman"/>
                      <w:color w:val="auto"/>
                    </w:rPr>
                  </w:pPr>
                  <w:r>
                    <w:drawing>
                      <wp:inline distT="0" distB="0" distL="114300" distR="114300">
                        <wp:extent cx="5137150" cy="3803650"/>
                        <wp:effectExtent l="0" t="0" r="6350" b="635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2"/>
                                <a:stretch>
                                  <a:fillRect/>
                                </a:stretch>
                              </pic:blipFill>
                              <pic:spPr>
                                <a:xfrm>
                                  <a:off x="0" y="0"/>
                                  <a:ext cx="5137150" cy="38036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Borders>
                    <w:tl2br w:val="nil"/>
                    <w:tr2bl w:val="nil"/>
                  </w:tcBorders>
                  <w:vAlign w:val="top"/>
                </w:tcPr>
                <w:p>
                  <w:pPr>
                    <w:spacing w:line="360" w:lineRule="auto"/>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图</w:t>
                  </w:r>
                  <w:r>
                    <w:rPr>
                      <w:rFonts w:hint="default" w:ascii="Times New Roman" w:hAnsi="Times New Roman" w:cs="Times New Roman"/>
                      <w:color w:val="auto"/>
                      <w:lang w:val="en-US" w:eastAsia="zh-CN"/>
                    </w:rPr>
                    <w:t>8</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有组织</w:t>
                  </w:r>
                  <w:r>
                    <w:rPr>
                      <w:rFonts w:hint="default" w:ascii="Times New Roman" w:hAnsi="Times New Roman" w:cs="Times New Roman"/>
                      <w:color w:val="auto"/>
                    </w:rPr>
                    <w:t>废气监测点位图</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月</w:t>
                  </w: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日、</w:t>
                  </w:r>
                  <w:r>
                    <w:rPr>
                      <w:rFonts w:hint="eastAsia" w:ascii="Times New Roman" w:hAnsi="Times New Roman" w:cs="Times New Roman"/>
                      <w:color w:val="auto"/>
                      <w:lang w:val="en-US" w:eastAsia="zh-CN"/>
                    </w:rPr>
                    <w:t>9</w:t>
                  </w:r>
                  <w:r>
                    <w:rPr>
                      <w:rFonts w:hint="default" w:ascii="Times New Roman" w:hAnsi="Times New Roman" w:cs="Times New Roman"/>
                      <w:color w:val="auto"/>
                      <w:lang w:val="en-US" w:eastAsia="zh-CN"/>
                    </w:rPr>
                    <w:t>日</w:t>
                  </w:r>
                  <w:r>
                    <w:rPr>
                      <w:rFonts w:hint="eastAsia" w:ascii="Times New Roman" w:hAnsi="Times New Roman" w:cs="Times New Roman"/>
                      <w:color w:val="auto"/>
                      <w:lang w:val="en-US" w:eastAsia="zh-CN"/>
                    </w:rPr>
                    <w:t>、16日</w:t>
                  </w:r>
                  <w:r>
                    <w:rPr>
                      <w:rFonts w:hint="default" w:ascii="Times New Roman" w:hAnsi="Times New Roman" w:cs="Times New Roman"/>
                      <w:color w:val="auto"/>
                      <w:lang w:val="en-US" w:eastAsia="zh-CN"/>
                    </w:rPr>
                    <w:t>）</w:t>
                  </w:r>
                </w:p>
              </w:tc>
            </w:tr>
          </w:tbl>
          <w:p>
            <w:pPr>
              <w:pStyle w:val="19"/>
              <w:rPr>
                <w:rFonts w:hint="default" w:ascii="Times New Roman" w:hAnsi="Times New Roman" w:cs="Times New Roman"/>
                <w:color w:val="auto"/>
              </w:rPr>
            </w:pP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2、验收监测依据及标准</w:t>
            </w:r>
          </w:p>
          <w:p>
            <w:pPr>
              <w:autoSpaceDE w:val="0"/>
              <w:autoSpaceDN w:val="0"/>
              <w:spacing w:line="360" w:lineRule="auto"/>
              <w:ind w:firstLine="480" w:firstLineChars="2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硫酸回收设备有组织废气</w:t>
            </w:r>
            <w:r>
              <w:rPr>
                <w:rFonts w:hint="eastAsia" w:ascii="Times New Roman" w:hAnsi="Times New Roman" w:cs="Times New Roman"/>
                <w:color w:val="auto"/>
                <w:lang w:val="en-US" w:eastAsia="zh-CN"/>
              </w:rPr>
              <w:t>硫酸雾</w:t>
            </w:r>
            <w:r>
              <w:rPr>
                <w:rFonts w:hint="default" w:ascii="Times New Roman" w:hAnsi="Times New Roman" w:cs="Times New Roman"/>
                <w:color w:val="auto"/>
                <w:lang w:val="en-US" w:eastAsia="zh-CN"/>
              </w:rPr>
              <w:t>执行《大气污染物综合排放标准》（DB32/4041-2021）表1标准</w:t>
            </w:r>
            <w:r>
              <w:rPr>
                <w:rFonts w:hint="eastAsia" w:ascii="Times New Roman" w:hAnsi="Times New Roman" w:cs="Times New Roman"/>
                <w:color w:val="auto"/>
                <w:lang w:eastAsia="zh-CN"/>
              </w:rPr>
              <w:t>；</w:t>
            </w:r>
            <w:r>
              <w:rPr>
                <w:rFonts w:hint="default" w:ascii="Times New Roman" w:hAnsi="Times New Roman" w:cs="Times New Roman"/>
                <w:color w:val="auto"/>
                <w:lang w:val="en-US" w:eastAsia="zh-CN"/>
              </w:rPr>
              <w:t>污泥烘干设备产生</w:t>
            </w:r>
            <w:r>
              <w:rPr>
                <w:rFonts w:hint="eastAsia" w:ascii="Times New Roman" w:hAnsi="Times New Roman" w:cs="Times New Roman"/>
                <w:color w:val="auto"/>
                <w:lang w:val="en-US" w:eastAsia="zh-CN"/>
              </w:rPr>
              <w:t>废气氨和硫化氢</w:t>
            </w:r>
            <w:r>
              <w:rPr>
                <w:rFonts w:hint="default" w:ascii="Times New Roman" w:hAnsi="Times New Roman" w:cs="Times New Roman"/>
                <w:color w:val="auto"/>
                <w:lang w:val="en-US" w:eastAsia="zh-CN"/>
              </w:rPr>
              <w:t>执行《恶臭污染物排放标准》（GB14554-93）</w:t>
            </w:r>
            <w:r>
              <w:rPr>
                <w:rFonts w:hint="eastAsia" w:ascii="Times New Roman" w:hAnsi="Times New Roman" w:cs="Times New Roman"/>
                <w:color w:val="auto"/>
                <w:lang w:val="en-US" w:eastAsia="zh-CN"/>
              </w:rPr>
              <w:t>表2</w:t>
            </w:r>
            <w:r>
              <w:rPr>
                <w:rFonts w:hint="default" w:ascii="Times New Roman" w:hAnsi="Times New Roman" w:cs="Times New Roman"/>
                <w:color w:val="auto"/>
                <w:lang w:val="en-US" w:eastAsia="zh-CN"/>
              </w:rPr>
              <w:t>标准</w:t>
            </w:r>
            <w:r>
              <w:rPr>
                <w:rFonts w:hint="eastAsia" w:ascii="Times New Roman" w:hAnsi="Times New Roman" w:cs="Times New Roman"/>
                <w:color w:val="auto"/>
                <w:lang w:eastAsia="zh-CN"/>
              </w:rPr>
              <w:t>；</w:t>
            </w:r>
            <w:r>
              <w:rPr>
                <w:rFonts w:hint="eastAsia" w:ascii="Times New Roman" w:hAnsi="Times New Roman" w:eastAsia="宋体" w:cs="Times New Roman"/>
                <w:color w:val="auto"/>
                <w:lang w:val="en-US" w:eastAsia="zh-CN"/>
              </w:rPr>
              <w:t>一期101车间、二期201车间和二期301车间天然气改电加热，原排气筒排放废气烟尘、二氧化硫和氮氧化物</w:t>
            </w:r>
            <w:r>
              <w:rPr>
                <w:rFonts w:hint="default" w:ascii="Times New Roman" w:hAnsi="Times New Roman" w:eastAsia="宋体" w:cs="Times New Roman"/>
                <w:color w:val="auto"/>
                <w:lang w:val="en-US" w:eastAsia="zh-CN"/>
              </w:rPr>
              <w:t>执行</w:t>
            </w:r>
            <w:r>
              <w:rPr>
                <w:rFonts w:hint="eastAsia" w:ascii="Times New Roman" w:hAnsi="Times New Roman" w:eastAsia="宋体" w:cs="Times New Roman"/>
                <w:color w:val="auto"/>
                <w:lang w:val="en-US" w:eastAsia="zh-CN"/>
              </w:rPr>
              <w:t>《工业炉窑大气污染物排放标准》（DB 32/ 3728-2019）</w:t>
            </w:r>
            <w:r>
              <w:rPr>
                <w:rFonts w:hint="default" w:ascii="Times New Roman" w:hAnsi="Times New Roman" w:eastAsia="宋体" w:cs="Times New Roman"/>
                <w:color w:val="auto"/>
                <w:lang w:val="en-US" w:eastAsia="zh-CN"/>
              </w:rPr>
              <w:t>表1标准</w:t>
            </w:r>
            <w:r>
              <w:rPr>
                <w:rFonts w:hint="eastAsia" w:ascii="Times New Roman" w:hAnsi="Times New Roman" w:eastAsia="宋体" w:cs="Times New Roman"/>
                <w:color w:val="auto"/>
                <w:lang w:val="en-US" w:eastAsia="zh-CN"/>
              </w:rPr>
              <w:t>；</w:t>
            </w:r>
            <w:r>
              <w:rPr>
                <w:rFonts w:hint="default" w:ascii="Times New Roman" w:hAnsi="Times New Roman" w:cs="Times New Roman"/>
                <w:color w:val="auto"/>
                <w:lang w:val="en-US" w:eastAsia="zh-CN"/>
              </w:rPr>
              <w:t>厂界无组</w:t>
            </w:r>
            <w:r>
              <w:rPr>
                <w:rFonts w:hint="default" w:ascii="Times New Roman" w:hAnsi="Times New Roman" w:eastAsia="宋体" w:cs="Times New Roman"/>
                <w:color w:val="auto"/>
                <w:lang w:val="en-US" w:eastAsia="zh-CN"/>
              </w:rPr>
              <w:t>织</w:t>
            </w:r>
            <w:r>
              <w:rPr>
                <w:rFonts w:hint="eastAsia" w:ascii="Times New Roman" w:hAnsi="Times New Roman" w:eastAsia="宋体" w:cs="Times New Roman"/>
                <w:color w:val="auto"/>
                <w:lang w:val="en-US" w:eastAsia="zh-CN"/>
              </w:rPr>
              <w:t>氨和硫化氢执行</w:t>
            </w:r>
            <w:r>
              <w:rPr>
                <w:rFonts w:hint="default" w:ascii="Times New Roman" w:hAnsi="Times New Roman" w:cs="Times New Roman"/>
                <w:color w:val="auto"/>
                <w:lang w:val="en-US" w:eastAsia="zh-CN"/>
              </w:rPr>
              <w:t>《恶臭污染物排放标准》（GB14554-93）</w:t>
            </w:r>
            <w:r>
              <w:rPr>
                <w:rFonts w:hint="eastAsia" w:ascii="Times New Roman" w:hAnsi="Times New Roman" w:cs="Times New Roman"/>
                <w:color w:val="auto"/>
                <w:lang w:val="en-US" w:eastAsia="zh-CN"/>
              </w:rPr>
              <w:t>表1标准，</w:t>
            </w:r>
            <w:r>
              <w:rPr>
                <w:rFonts w:hint="eastAsia" w:ascii="Times New Roman" w:hAnsi="Times New Roman" w:eastAsia="宋体" w:cs="Times New Roman"/>
                <w:color w:val="auto"/>
                <w:lang w:val="en-US" w:eastAsia="zh-CN"/>
              </w:rPr>
              <w:t>硫酸雾</w:t>
            </w:r>
            <w:r>
              <w:rPr>
                <w:rFonts w:hint="default" w:ascii="Times New Roman" w:hAnsi="Times New Roman" w:eastAsia="宋体" w:cs="Times New Roman"/>
                <w:color w:val="auto"/>
                <w:lang w:val="en-US" w:eastAsia="zh-CN"/>
              </w:rPr>
              <w:t>执</w:t>
            </w:r>
            <w:r>
              <w:rPr>
                <w:rFonts w:hint="default" w:ascii="Times New Roman" w:hAnsi="Times New Roman" w:cs="Times New Roman"/>
                <w:color w:val="auto"/>
                <w:lang w:val="en-US" w:eastAsia="zh-CN"/>
              </w:rPr>
              <w:t>行《大气污染物综合排放标准》（DB32/4041-2021）表3标准，</w:t>
            </w:r>
            <w:r>
              <w:rPr>
                <w:rFonts w:hint="default" w:ascii="Times New Roman" w:hAnsi="Times New Roman" w:cs="Times New Roman"/>
                <w:color w:val="auto"/>
              </w:rPr>
              <w:t>具体取值见表</w:t>
            </w:r>
            <w:r>
              <w:rPr>
                <w:rFonts w:hint="default" w:ascii="Times New Roman" w:hAnsi="Times New Roman" w:cs="Times New Roman"/>
                <w:color w:val="auto"/>
                <w:lang w:val="en-US" w:eastAsia="zh-CN"/>
              </w:rPr>
              <w:t>8</w:t>
            </w:r>
            <w:r>
              <w:rPr>
                <w:rFonts w:hint="default" w:ascii="Times New Roman" w:hAnsi="Times New Roman" w:cs="Times New Roman"/>
                <w:color w:val="auto"/>
              </w:rPr>
              <w:t>-</w:t>
            </w:r>
            <w:r>
              <w:rPr>
                <w:rFonts w:hint="default" w:ascii="Times New Roman" w:hAnsi="Times New Roman" w:cs="Times New Roman"/>
                <w:color w:val="auto"/>
                <w:lang w:val="en-US" w:eastAsia="zh-CN"/>
              </w:rPr>
              <w:t>2。</w:t>
            </w:r>
          </w:p>
          <w:p>
            <w:pPr>
              <w:spacing w:line="360" w:lineRule="auto"/>
              <w:ind w:left="0" w:lef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表8-2  大气污染物排放限值</w:t>
            </w:r>
          </w:p>
          <w:tbl>
            <w:tblPr>
              <w:tblStyle w:val="17"/>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2959"/>
              <w:gridCol w:w="941"/>
              <w:gridCol w:w="1091"/>
              <w:gridCol w:w="1132"/>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Merge w:val="restart"/>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rPr>
                    <w:t>污染物</w:t>
                  </w:r>
                </w:p>
              </w:tc>
              <w:tc>
                <w:tcPr>
                  <w:tcW w:w="2959" w:type="dxa"/>
                  <w:vMerge w:val="restart"/>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rPr>
                    <w:t>标准</w:t>
                  </w:r>
                </w:p>
              </w:tc>
              <w:tc>
                <w:tcPr>
                  <w:tcW w:w="2032" w:type="dxa"/>
                  <w:gridSpan w:val="2"/>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rPr>
                    <w:t>无组织排放</w:t>
                  </w:r>
                </w:p>
              </w:tc>
              <w:tc>
                <w:tcPr>
                  <w:tcW w:w="2365" w:type="dxa"/>
                  <w:gridSpan w:val="2"/>
                  <w:vAlign w:val="top"/>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Merge w:val="continue"/>
                  <w:vAlign w:val="center"/>
                </w:tcPr>
                <w:p>
                  <w:pPr>
                    <w:pStyle w:val="20"/>
                    <w:bidi w:val="0"/>
                    <w:ind w:firstLine="0" w:firstLineChars="0"/>
                    <w:rPr>
                      <w:rFonts w:hint="default" w:ascii="Times New Roman" w:hAnsi="Times New Roman" w:cs="Times New Roman"/>
                      <w:color w:val="auto"/>
                      <w:lang w:val="en-US" w:eastAsia="zh-CN"/>
                    </w:rPr>
                  </w:pPr>
                </w:p>
              </w:tc>
              <w:tc>
                <w:tcPr>
                  <w:tcW w:w="2959" w:type="dxa"/>
                  <w:vMerge w:val="continue"/>
                  <w:vAlign w:val="center"/>
                </w:tcPr>
                <w:p>
                  <w:pPr>
                    <w:pStyle w:val="20"/>
                    <w:bidi w:val="0"/>
                    <w:ind w:firstLine="0" w:firstLineChars="0"/>
                    <w:rPr>
                      <w:rFonts w:hint="default" w:ascii="Times New Roman" w:hAnsi="Times New Roman" w:cs="Times New Roman"/>
                      <w:color w:val="auto"/>
                      <w:lang w:val="en-US" w:eastAsia="zh-CN"/>
                    </w:rPr>
                  </w:pPr>
                </w:p>
              </w:tc>
              <w:tc>
                <w:tcPr>
                  <w:tcW w:w="941"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rPr>
                    <w:t>监控点</w:t>
                  </w:r>
                </w:p>
              </w:tc>
              <w:tc>
                <w:tcPr>
                  <w:tcW w:w="1091"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rPr>
                    <w:t>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1132"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rPr>
                    <w:t>最高允许排放浓度mg/Nm</w:t>
                  </w:r>
                  <w:r>
                    <w:rPr>
                      <w:rFonts w:hint="default" w:ascii="Times New Roman" w:hAnsi="Times New Roman" w:cs="Times New Roman"/>
                      <w:color w:val="auto"/>
                      <w:vertAlign w:val="superscript"/>
                    </w:rPr>
                    <w:t>3</w:t>
                  </w:r>
                </w:p>
              </w:tc>
              <w:tc>
                <w:tcPr>
                  <w:tcW w:w="1233"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rPr>
                    <w:t>最高允许排</w:t>
                  </w:r>
                  <w:r>
                    <w:rPr>
                      <w:rFonts w:hint="default" w:ascii="Times New Roman" w:hAnsi="Times New Roman" w:cs="Times New Roman"/>
                      <w:color w:val="auto"/>
                      <w:lang w:val="en-US" w:eastAsia="zh-CN"/>
                    </w:rPr>
                    <w:t>放</w:t>
                  </w:r>
                  <w:r>
                    <w:rPr>
                      <w:rFonts w:hint="default" w:ascii="Times New Roman" w:hAnsi="Times New Roman" w:cs="Times New Roman"/>
                      <w:color w:val="auto"/>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50" w:type="dxa"/>
                  <w:vAlign w:val="center"/>
                </w:tcPr>
                <w:p>
                  <w:pPr>
                    <w:pStyle w:val="20"/>
                    <w:bidi w:val="0"/>
                    <w:ind w:firstLine="0" w:firstLineChars="0"/>
                    <w:rPr>
                      <w:rFonts w:hint="default" w:ascii="Times New Roman" w:hAnsi="Times New Roman" w:cs="Times New Roman"/>
                      <w:color w:val="auto"/>
                      <w:lang w:val="en-US" w:eastAsia="zh-CN"/>
                    </w:rPr>
                  </w:pPr>
                  <w:r>
                    <w:rPr>
                      <w:rFonts w:hint="eastAsia"/>
                      <w:color w:val="000000"/>
                      <w:kern w:val="0"/>
                      <w:szCs w:val="20"/>
                      <w:lang w:val="en-US" w:eastAsia="zh-CN"/>
                    </w:rPr>
                    <w:t>硫酸雾</w:t>
                  </w:r>
                </w:p>
              </w:tc>
              <w:tc>
                <w:tcPr>
                  <w:tcW w:w="2959"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《大气污染物综合排放标准》（DB32/4041-2021）表1标准</w:t>
                  </w:r>
                </w:p>
              </w:tc>
              <w:tc>
                <w:tcPr>
                  <w:tcW w:w="941"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091"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132" w:type="dxa"/>
                  <w:vAlign w:val="center"/>
                </w:tcPr>
                <w:p>
                  <w:pPr>
                    <w:pStyle w:val="27"/>
                    <w:ind w:firstLine="0" w:firstLineChars="0"/>
                    <w:rPr>
                      <w:rFonts w:hint="default" w:ascii="Times New Roman" w:hAnsi="Times New Roman" w:cs="Times New Roman"/>
                      <w:color w:val="auto"/>
                      <w:lang w:val="en-US" w:eastAsia="zh-CN"/>
                    </w:rPr>
                  </w:pPr>
                  <w:r>
                    <w:rPr>
                      <w:rFonts w:hint="eastAsia"/>
                      <w:color w:val="000000"/>
                      <w:lang w:val="en-US" w:eastAsia="zh-CN"/>
                    </w:rPr>
                    <w:t>5</w:t>
                  </w:r>
                </w:p>
              </w:tc>
              <w:tc>
                <w:tcPr>
                  <w:tcW w:w="1233" w:type="dxa"/>
                  <w:vAlign w:val="center"/>
                </w:tcPr>
                <w:p>
                  <w:pPr>
                    <w:pStyle w:val="27"/>
                    <w:ind w:firstLine="0" w:firstLineChars="0"/>
                    <w:rPr>
                      <w:rFonts w:hint="default" w:ascii="Times New Roman" w:hAnsi="Times New Roman" w:cs="Times New Roman"/>
                      <w:color w:val="auto"/>
                      <w:lang w:val="en-US" w:eastAsia="zh-CN"/>
                    </w:rPr>
                  </w:pPr>
                  <w:r>
                    <w:rPr>
                      <w:rFonts w:hint="eastAsia"/>
                      <w:color w:val="000000"/>
                      <w:kern w:val="0"/>
                      <w:szCs w:val="20"/>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50" w:type="dxa"/>
                  <w:vAlign w:val="center"/>
                </w:tcPr>
                <w:p>
                  <w:pPr>
                    <w:pStyle w:val="27"/>
                    <w:ind w:firstLine="0" w:firstLineChars="0"/>
                    <w:rPr>
                      <w:rFonts w:hint="default" w:ascii="Times New Roman" w:hAnsi="Times New Roman" w:cs="Times New Roman"/>
                      <w:color w:val="auto"/>
                      <w:lang w:val="en-US" w:eastAsia="zh-CN"/>
                    </w:rPr>
                  </w:pPr>
                  <w:r>
                    <w:rPr>
                      <w:rFonts w:hint="eastAsia"/>
                      <w:color w:val="000000"/>
                      <w:kern w:val="0"/>
                      <w:szCs w:val="20"/>
                      <w:lang w:val="en-US" w:eastAsia="zh-CN"/>
                    </w:rPr>
                    <w:t>氨</w:t>
                  </w:r>
                </w:p>
              </w:tc>
              <w:tc>
                <w:tcPr>
                  <w:tcW w:w="2959" w:type="dxa"/>
                  <w:vMerge w:val="restart"/>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《恶臭污染物排放标准》（GB14554-93）</w:t>
                  </w:r>
                  <w:r>
                    <w:rPr>
                      <w:rFonts w:hint="eastAsia" w:ascii="Times New Roman" w:hAnsi="Times New Roman" w:cs="Times New Roman"/>
                      <w:color w:val="auto"/>
                      <w:lang w:val="en-US" w:eastAsia="zh-CN"/>
                    </w:rPr>
                    <w:t>表2标准</w:t>
                  </w:r>
                </w:p>
              </w:tc>
              <w:tc>
                <w:tcPr>
                  <w:tcW w:w="941"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091"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132"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w:t>
                  </w:r>
                </w:p>
              </w:tc>
              <w:tc>
                <w:tcPr>
                  <w:tcW w:w="1233" w:type="dxa"/>
                  <w:vAlign w:val="center"/>
                </w:tcPr>
                <w:p>
                  <w:pPr>
                    <w:pStyle w:val="27"/>
                    <w:ind w:firstLine="0" w:firstLineChars="0"/>
                    <w:rPr>
                      <w:rFonts w:hint="default" w:ascii="Times New Roman" w:hAnsi="Times New Roman" w:cs="Times New Roman"/>
                      <w:color w:val="auto"/>
                      <w:lang w:val="en-US" w:eastAsia="zh-CN"/>
                    </w:rPr>
                  </w:pPr>
                  <w:r>
                    <w:rPr>
                      <w:rFonts w:hint="eastAsia"/>
                      <w:color w:val="000000"/>
                      <w:kern w:val="0"/>
                      <w:szCs w:val="20"/>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50" w:type="dxa"/>
                  <w:vAlign w:val="center"/>
                </w:tcPr>
                <w:p>
                  <w:pPr>
                    <w:pStyle w:val="27"/>
                    <w:ind w:firstLine="0" w:firstLineChars="0"/>
                    <w:rPr>
                      <w:rFonts w:hint="default" w:ascii="Times New Roman" w:hAnsi="Times New Roman" w:cs="Times New Roman"/>
                      <w:color w:val="auto"/>
                      <w:lang w:val="en-US" w:eastAsia="zh-CN"/>
                    </w:rPr>
                  </w:pPr>
                  <w:r>
                    <w:rPr>
                      <w:rFonts w:hint="eastAsia"/>
                      <w:color w:val="000000"/>
                      <w:kern w:val="0"/>
                      <w:szCs w:val="20"/>
                      <w:lang w:val="en-US" w:eastAsia="zh-CN"/>
                    </w:rPr>
                    <w:t>硫化氢</w:t>
                  </w:r>
                </w:p>
              </w:tc>
              <w:tc>
                <w:tcPr>
                  <w:tcW w:w="2959" w:type="dxa"/>
                  <w:vMerge w:val="continue"/>
                  <w:vAlign w:val="center"/>
                </w:tcPr>
                <w:p>
                  <w:pPr>
                    <w:pStyle w:val="20"/>
                    <w:bidi w:val="0"/>
                    <w:ind w:firstLine="0" w:firstLineChars="0"/>
                    <w:rPr>
                      <w:rFonts w:hint="default" w:ascii="Times New Roman" w:hAnsi="Times New Roman" w:cs="Times New Roman"/>
                      <w:color w:val="auto"/>
                      <w:lang w:val="en-US" w:eastAsia="zh-CN"/>
                    </w:rPr>
                  </w:pPr>
                </w:p>
              </w:tc>
              <w:tc>
                <w:tcPr>
                  <w:tcW w:w="941"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091"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132"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w:t>
                  </w:r>
                </w:p>
              </w:tc>
              <w:tc>
                <w:tcPr>
                  <w:tcW w:w="1233" w:type="dxa"/>
                  <w:vAlign w:val="center"/>
                </w:tcPr>
                <w:p>
                  <w:pPr>
                    <w:pStyle w:val="27"/>
                    <w:ind w:firstLine="0" w:firstLineChars="0"/>
                    <w:rPr>
                      <w:rFonts w:hint="default" w:ascii="Times New Roman" w:hAnsi="Times New Roman" w:cs="Times New Roman"/>
                      <w:color w:val="auto"/>
                      <w:lang w:val="en-US" w:eastAsia="zh-CN"/>
                    </w:rPr>
                  </w:pPr>
                  <w:r>
                    <w:rPr>
                      <w:rFonts w:hint="eastAsia"/>
                      <w:color w:val="000000"/>
                      <w:kern w:val="0"/>
                      <w:szCs w:val="20"/>
                      <w:lang w:val="en-US" w:eastAsia="zh-CN"/>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50" w:type="dxa"/>
                  <w:vAlign w:val="center"/>
                </w:tcPr>
                <w:p>
                  <w:pPr>
                    <w:pStyle w:val="27"/>
                    <w:ind w:firstLine="0" w:firstLineChars="0"/>
                    <w:rPr>
                      <w:rFonts w:hint="eastAsia"/>
                      <w:color w:val="000000"/>
                      <w:kern w:val="0"/>
                      <w:szCs w:val="20"/>
                      <w:lang w:val="en-US" w:eastAsia="zh-CN"/>
                    </w:rPr>
                  </w:pPr>
                  <w:r>
                    <w:rPr>
                      <w:rFonts w:hint="eastAsia"/>
                      <w:color w:val="000000"/>
                      <w:kern w:val="0"/>
                      <w:szCs w:val="20"/>
                      <w:lang w:val="en-US" w:eastAsia="zh-CN"/>
                    </w:rPr>
                    <w:t>烟尘</w:t>
                  </w:r>
                </w:p>
              </w:tc>
              <w:tc>
                <w:tcPr>
                  <w:tcW w:w="2959" w:type="dxa"/>
                  <w:vMerge w:val="restart"/>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《工业炉窑大气污染物排放标准》（DB 32/ 3728-2019）</w:t>
                  </w:r>
                  <w:r>
                    <w:rPr>
                      <w:rFonts w:hint="default" w:ascii="Times New Roman" w:hAnsi="Times New Roman" w:cs="Times New Roman"/>
                      <w:color w:val="auto"/>
                      <w:lang w:val="en-US" w:eastAsia="zh-CN"/>
                    </w:rPr>
                    <w:t>表1标准</w:t>
                  </w:r>
                </w:p>
              </w:tc>
              <w:tc>
                <w:tcPr>
                  <w:tcW w:w="941"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w:t>
                  </w:r>
                </w:p>
              </w:tc>
              <w:tc>
                <w:tcPr>
                  <w:tcW w:w="1091"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w:t>
                  </w:r>
                </w:p>
              </w:tc>
              <w:tc>
                <w:tcPr>
                  <w:tcW w:w="1132" w:type="dxa"/>
                  <w:vAlign w:val="center"/>
                </w:tcPr>
                <w:p>
                  <w:pPr>
                    <w:pStyle w:val="27"/>
                    <w:ind w:firstLine="0" w:firstLineChars="0"/>
                    <w:rPr>
                      <w:rFonts w:hint="default" w:ascii="Times" w:hAnsi="Times" w:eastAsia="宋体" w:cs="Times New Roman"/>
                      <w:color w:val="000000"/>
                      <w:kern w:val="0"/>
                      <w:sz w:val="21"/>
                      <w:szCs w:val="20"/>
                      <w:lang w:val="en-US" w:eastAsia="zh-CN" w:bidi="ar-SA"/>
                    </w:rPr>
                  </w:pPr>
                  <w:r>
                    <w:rPr>
                      <w:rFonts w:hint="eastAsia"/>
                      <w:color w:val="000000"/>
                      <w:kern w:val="0"/>
                      <w:szCs w:val="20"/>
                      <w:lang w:val="en-US" w:eastAsia="zh-CN"/>
                    </w:rPr>
                    <w:t>20</w:t>
                  </w:r>
                </w:p>
              </w:tc>
              <w:tc>
                <w:tcPr>
                  <w:tcW w:w="1233" w:type="dxa"/>
                  <w:vAlign w:val="center"/>
                </w:tcPr>
                <w:p>
                  <w:pPr>
                    <w:pStyle w:val="20"/>
                    <w:bidi w:val="0"/>
                    <w:ind w:firstLine="0" w:firstLineChars="0"/>
                    <w:rPr>
                      <w:rFonts w:hint="eastAsia"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50" w:type="dxa"/>
                  <w:vAlign w:val="center"/>
                </w:tcPr>
                <w:p>
                  <w:pPr>
                    <w:pStyle w:val="27"/>
                    <w:ind w:firstLine="0" w:firstLineChars="0"/>
                    <w:rPr>
                      <w:rFonts w:hint="eastAsia"/>
                      <w:color w:val="000000"/>
                      <w:kern w:val="0"/>
                      <w:szCs w:val="20"/>
                      <w:lang w:val="en-US" w:eastAsia="zh-CN"/>
                    </w:rPr>
                  </w:pPr>
                  <w:r>
                    <w:rPr>
                      <w:rFonts w:hint="eastAsia"/>
                      <w:color w:val="000000"/>
                      <w:kern w:val="0"/>
                      <w:szCs w:val="20"/>
                      <w:lang w:val="en-US" w:eastAsia="zh-CN"/>
                    </w:rPr>
                    <w:t>二氧化硫</w:t>
                  </w:r>
                </w:p>
              </w:tc>
              <w:tc>
                <w:tcPr>
                  <w:tcW w:w="2959" w:type="dxa"/>
                  <w:vMerge w:val="continue"/>
                  <w:vAlign w:val="center"/>
                </w:tcPr>
                <w:p>
                  <w:pPr>
                    <w:pStyle w:val="20"/>
                    <w:bidi w:val="0"/>
                    <w:ind w:firstLine="0" w:firstLineChars="0"/>
                    <w:rPr>
                      <w:rFonts w:hint="default" w:ascii="Times New Roman" w:hAnsi="Times New Roman" w:eastAsia="宋体" w:cs="Times New Roman"/>
                      <w:color w:val="auto"/>
                      <w:lang w:val="en-US" w:eastAsia="zh-CN"/>
                    </w:rPr>
                  </w:pPr>
                </w:p>
              </w:tc>
              <w:tc>
                <w:tcPr>
                  <w:tcW w:w="941"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w:t>
                  </w:r>
                </w:p>
              </w:tc>
              <w:tc>
                <w:tcPr>
                  <w:tcW w:w="1091"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w:t>
                  </w:r>
                </w:p>
              </w:tc>
              <w:tc>
                <w:tcPr>
                  <w:tcW w:w="1132" w:type="dxa"/>
                  <w:vAlign w:val="center"/>
                </w:tcPr>
                <w:p>
                  <w:pPr>
                    <w:pStyle w:val="27"/>
                    <w:ind w:firstLine="0" w:firstLineChars="0"/>
                    <w:rPr>
                      <w:rFonts w:hint="default" w:ascii="Times" w:hAnsi="Times" w:eastAsia="宋体" w:cs="Times New Roman"/>
                      <w:color w:val="000000"/>
                      <w:kern w:val="0"/>
                      <w:sz w:val="21"/>
                      <w:szCs w:val="20"/>
                      <w:lang w:val="en-US" w:eastAsia="zh-CN" w:bidi="ar-SA"/>
                    </w:rPr>
                  </w:pPr>
                  <w:r>
                    <w:rPr>
                      <w:rFonts w:hint="eastAsia"/>
                      <w:color w:val="000000"/>
                      <w:kern w:val="0"/>
                      <w:szCs w:val="20"/>
                      <w:lang w:val="en-US" w:eastAsia="zh-CN"/>
                    </w:rPr>
                    <w:t>80</w:t>
                  </w:r>
                </w:p>
              </w:tc>
              <w:tc>
                <w:tcPr>
                  <w:tcW w:w="1233" w:type="dxa"/>
                  <w:vAlign w:val="center"/>
                </w:tcPr>
                <w:p>
                  <w:pPr>
                    <w:pStyle w:val="20"/>
                    <w:bidi w:val="0"/>
                    <w:ind w:firstLine="0" w:firstLineChars="0"/>
                    <w:rPr>
                      <w:rFonts w:hint="eastAsia"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50" w:type="dxa"/>
                  <w:vAlign w:val="center"/>
                </w:tcPr>
                <w:p>
                  <w:pPr>
                    <w:pStyle w:val="27"/>
                    <w:ind w:firstLine="0" w:firstLineChars="0"/>
                    <w:rPr>
                      <w:rFonts w:hint="eastAsia"/>
                      <w:color w:val="000000"/>
                      <w:kern w:val="0"/>
                      <w:szCs w:val="20"/>
                      <w:lang w:val="en-US" w:eastAsia="zh-CN"/>
                    </w:rPr>
                  </w:pPr>
                  <w:r>
                    <w:rPr>
                      <w:rFonts w:hint="eastAsia"/>
                      <w:color w:val="000000"/>
                      <w:kern w:val="0"/>
                      <w:szCs w:val="20"/>
                      <w:lang w:val="en-US" w:eastAsia="zh-CN"/>
                    </w:rPr>
                    <w:t>氮氧化物</w:t>
                  </w:r>
                </w:p>
              </w:tc>
              <w:tc>
                <w:tcPr>
                  <w:tcW w:w="2959" w:type="dxa"/>
                  <w:vMerge w:val="continue"/>
                  <w:vAlign w:val="center"/>
                </w:tcPr>
                <w:p>
                  <w:pPr>
                    <w:pStyle w:val="20"/>
                    <w:bidi w:val="0"/>
                    <w:ind w:firstLine="0" w:firstLineChars="0"/>
                    <w:rPr>
                      <w:rFonts w:hint="default" w:ascii="Times New Roman" w:hAnsi="Times New Roman" w:eastAsia="宋体" w:cs="Times New Roman"/>
                      <w:color w:val="auto"/>
                      <w:lang w:val="en-US" w:eastAsia="zh-CN"/>
                    </w:rPr>
                  </w:pPr>
                </w:p>
              </w:tc>
              <w:tc>
                <w:tcPr>
                  <w:tcW w:w="941"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w:t>
                  </w:r>
                </w:p>
              </w:tc>
              <w:tc>
                <w:tcPr>
                  <w:tcW w:w="1091" w:type="dxa"/>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w:t>
                  </w:r>
                </w:p>
              </w:tc>
              <w:tc>
                <w:tcPr>
                  <w:tcW w:w="1132" w:type="dxa"/>
                  <w:vAlign w:val="center"/>
                </w:tcPr>
                <w:p>
                  <w:pPr>
                    <w:pStyle w:val="27"/>
                    <w:ind w:firstLine="0" w:firstLineChars="0"/>
                    <w:rPr>
                      <w:rFonts w:hint="default" w:ascii="Times" w:hAnsi="Times" w:eastAsia="宋体" w:cs="Times New Roman"/>
                      <w:color w:val="000000"/>
                      <w:kern w:val="0"/>
                      <w:sz w:val="21"/>
                      <w:szCs w:val="20"/>
                      <w:lang w:val="en-US" w:eastAsia="zh-CN" w:bidi="ar-SA"/>
                    </w:rPr>
                  </w:pPr>
                  <w:r>
                    <w:rPr>
                      <w:rFonts w:hint="eastAsia"/>
                      <w:color w:val="000000"/>
                      <w:kern w:val="0"/>
                      <w:szCs w:val="20"/>
                      <w:lang w:val="en-US" w:eastAsia="zh-CN"/>
                    </w:rPr>
                    <w:t>180</w:t>
                  </w:r>
                </w:p>
              </w:tc>
              <w:tc>
                <w:tcPr>
                  <w:tcW w:w="1233" w:type="dxa"/>
                  <w:vAlign w:val="center"/>
                </w:tcPr>
                <w:p>
                  <w:pPr>
                    <w:pStyle w:val="20"/>
                    <w:bidi w:val="0"/>
                    <w:ind w:firstLine="0" w:firstLineChars="0"/>
                    <w:rPr>
                      <w:rFonts w:hint="eastAsia" w:ascii="Times New Roman" w:hAnsi="Times New Roman" w:eastAsia="宋体" w:cs="Times New Roman"/>
                      <w:color w:val="auto"/>
                      <w:kern w:val="0"/>
                      <w:sz w:val="21"/>
                      <w:szCs w:val="20"/>
                      <w:lang w:val="en-US" w:eastAsia="zh-CN" w:bidi="ar-SA"/>
                    </w:rPr>
                  </w:pPr>
                  <w:r>
                    <w:rPr>
                      <w:rFonts w:hint="default" w:ascii="Times New Roman" w:hAnsi="Times New Roman"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50" w:type="dxa"/>
                  <w:vAlign w:val="center"/>
                </w:tcPr>
                <w:p>
                  <w:pPr>
                    <w:pStyle w:val="27"/>
                    <w:ind w:firstLine="0" w:firstLineChars="0"/>
                    <w:rPr>
                      <w:rFonts w:hint="default" w:ascii="Times" w:hAnsi="Times" w:eastAsia="宋体" w:cs="Times New Roman"/>
                      <w:color w:val="000000"/>
                      <w:kern w:val="0"/>
                      <w:sz w:val="21"/>
                      <w:szCs w:val="20"/>
                      <w:lang w:val="en-US" w:eastAsia="zh-CN" w:bidi="ar-SA"/>
                    </w:rPr>
                  </w:pPr>
                  <w:r>
                    <w:rPr>
                      <w:rFonts w:hint="eastAsia" w:ascii="Times New Roman" w:hAnsi="Times New Roman" w:eastAsia="宋体" w:cs="Times New Roman"/>
                      <w:b w:val="0"/>
                      <w:bCs/>
                      <w:sz w:val="21"/>
                      <w:szCs w:val="21"/>
                      <w:lang w:val="en-US" w:eastAsia="zh-CN"/>
                    </w:rPr>
                    <w:t>氨</w:t>
                  </w:r>
                </w:p>
              </w:tc>
              <w:tc>
                <w:tcPr>
                  <w:tcW w:w="2959" w:type="dxa"/>
                  <w:vMerge w:val="restart"/>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《恶臭污染物排放标准》（GB14554-93）</w:t>
                  </w:r>
                  <w:r>
                    <w:rPr>
                      <w:rFonts w:hint="eastAsia" w:ascii="Times New Roman" w:hAnsi="Times New Roman" w:cs="Times New Roman"/>
                      <w:color w:val="auto"/>
                      <w:lang w:val="en-US" w:eastAsia="zh-CN"/>
                    </w:rPr>
                    <w:t>表1标准</w:t>
                  </w:r>
                </w:p>
              </w:tc>
              <w:tc>
                <w:tcPr>
                  <w:tcW w:w="941" w:type="dxa"/>
                  <w:vMerge w:val="restart"/>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边</w:t>
                  </w:r>
                  <w:r>
                    <w:rPr>
                      <w:rFonts w:hint="default" w:ascii="Times New Roman" w:hAnsi="Times New Roman" w:cs="Times New Roman"/>
                      <w:color w:val="auto"/>
                    </w:rPr>
                    <w:t>界外浓度最高点</w:t>
                  </w:r>
                </w:p>
              </w:tc>
              <w:tc>
                <w:tcPr>
                  <w:tcW w:w="1091" w:type="dxa"/>
                  <w:vAlign w:val="center"/>
                </w:tcPr>
                <w:p>
                  <w:pPr>
                    <w:pStyle w:val="27"/>
                    <w:ind w:firstLine="0" w:firstLineChars="0"/>
                    <w:rPr>
                      <w:rFonts w:hint="default" w:ascii="Times New Roman" w:hAnsi="Times New Roman" w:cs="Times New Roman"/>
                      <w:color w:val="auto"/>
                      <w:lang w:val="en-US" w:eastAsia="zh-CN"/>
                    </w:rPr>
                  </w:pPr>
                  <w:r>
                    <w:rPr>
                      <w:rFonts w:hint="eastAsia"/>
                      <w:color w:val="000000"/>
                      <w:kern w:val="0"/>
                      <w:szCs w:val="20"/>
                      <w:lang w:val="en-US" w:eastAsia="zh-CN"/>
                    </w:rPr>
                    <w:t>1.5</w:t>
                  </w:r>
                </w:p>
              </w:tc>
              <w:tc>
                <w:tcPr>
                  <w:tcW w:w="1132"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33"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50" w:type="dxa"/>
                  <w:vAlign w:val="center"/>
                </w:tcPr>
                <w:p>
                  <w:pPr>
                    <w:pStyle w:val="27"/>
                    <w:ind w:firstLine="0" w:firstLineChars="0"/>
                    <w:rPr>
                      <w:rFonts w:hint="default" w:ascii="Times" w:hAnsi="Times" w:eastAsia="宋体" w:cs="Times New Roman"/>
                      <w:color w:val="000000"/>
                      <w:kern w:val="0"/>
                      <w:sz w:val="21"/>
                      <w:szCs w:val="20"/>
                      <w:lang w:val="en-US" w:eastAsia="zh-CN" w:bidi="ar-SA"/>
                    </w:rPr>
                  </w:pPr>
                  <w:r>
                    <w:rPr>
                      <w:rFonts w:hint="eastAsia" w:ascii="Times New Roman" w:hAnsi="Times New Roman" w:eastAsia="宋体" w:cs="Times New Roman"/>
                      <w:b w:val="0"/>
                      <w:bCs/>
                      <w:sz w:val="21"/>
                      <w:szCs w:val="21"/>
                      <w:lang w:val="en-US" w:eastAsia="zh-CN"/>
                    </w:rPr>
                    <w:t>硫化氢</w:t>
                  </w:r>
                </w:p>
              </w:tc>
              <w:tc>
                <w:tcPr>
                  <w:tcW w:w="2959" w:type="dxa"/>
                  <w:vMerge w:val="continue"/>
                  <w:vAlign w:val="center"/>
                </w:tcPr>
                <w:p>
                  <w:pPr>
                    <w:pStyle w:val="20"/>
                    <w:bidi w:val="0"/>
                    <w:ind w:firstLine="0" w:firstLineChars="0"/>
                    <w:rPr>
                      <w:rFonts w:hint="default" w:ascii="Times New Roman" w:hAnsi="Times New Roman" w:cs="Times New Roman"/>
                      <w:color w:val="auto"/>
                      <w:lang w:val="en-US" w:eastAsia="zh-CN"/>
                    </w:rPr>
                  </w:pPr>
                </w:p>
              </w:tc>
              <w:tc>
                <w:tcPr>
                  <w:tcW w:w="941" w:type="dxa"/>
                  <w:vMerge w:val="continue"/>
                  <w:vAlign w:val="center"/>
                </w:tcPr>
                <w:p>
                  <w:pPr>
                    <w:pStyle w:val="20"/>
                    <w:bidi w:val="0"/>
                    <w:ind w:firstLine="0" w:firstLineChars="0"/>
                    <w:rPr>
                      <w:rFonts w:hint="default" w:ascii="Times New Roman" w:hAnsi="Times New Roman" w:cs="Times New Roman"/>
                      <w:color w:val="auto"/>
                      <w:lang w:eastAsia="zh-CN"/>
                    </w:rPr>
                  </w:pPr>
                </w:p>
              </w:tc>
              <w:tc>
                <w:tcPr>
                  <w:tcW w:w="1091" w:type="dxa"/>
                  <w:vAlign w:val="center"/>
                </w:tcPr>
                <w:p>
                  <w:pPr>
                    <w:pStyle w:val="27"/>
                    <w:ind w:firstLine="0" w:firstLineChars="0"/>
                    <w:rPr>
                      <w:rFonts w:hint="default" w:ascii="Times New Roman" w:hAnsi="Times New Roman" w:cs="Times New Roman"/>
                      <w:color w:val="auto"/>
                      <w:lang w:val="en-US" w:eastAsia="zh-CN"/>
                    </w:rPr>
                  </w:pPr>
                  <w:r>
                    <w:rPr>
                      <w:rFonts w:hint="eastAsia"/>
                      <w:color w:val="000000"/>
                      <w:kern w:val="0"/>
                      <w:szCs w:val="20"/>
                      <w:lang w:val="en-US" w:eastAsia="zh-CN"/>
                    </w:rPr>
                    <w:t>0.06</w:t>
                  </w:r>
                </w:p>
              </w:tc>
              <w:tc>
                <w:tcPr>
                  <w:tcW w:w="1132"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33"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50" w:type="dxa"/>
                  <w:vAlign w:val="center"/>
                </w:tcPr>
                <w:p>
                  <w:pPr>
                    <w:pStyle w:val="27"/>
                    <w:ind w:firstLine="0" w:firstLineChars="0"/>
                    <w:rPr>
                      <w:rFonts w:hint="default" w:ascii="Times" w:hAnsi="Times" w:eastAsia="宋体" w:cs="Times New Roman"/>
                      <w:color w:val="000000"/>
                      <w:kern w:val="0"/>
                      <w:sz w:val="21"/>
                      <w:szCs w:val="20"/>
                      <w:lang w:val="en-US" w:eastAsia="zh-CN" w:bidi="ar-SA"/>
                    </w:rPr>
                  </w:pPr>
                  <w:r>
                    <w:rPr>
                      <w:rFonts w:hint="eastAsia" w:ascii="Times New Roman" w:hAnsi="Times New Roman" w:eastAsia="宋体" w:cs="Times New Roman"/>
                      <w:b w:val="0"/>
                      <w:bCs/>
                      <w:sz w:val="21"/>
                      <w:szCs w:val="21"/>
                      <w:lang w:val="en-US" w:eastAsia="zh-CN"/>
                    </w:rPr>
                    <w:t>硫酸雾</w:t>
                  </w:r>
                </w:p>
              </w:tc>
              <w:tc>
                <w:tcPr>
                  <w:tcW w:w="2959"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《大气污染物综合排放标准》（DB32/4041-2021）表3标准</w:t>
                  </w:r>
                </w:p>
              </w:tc>
              <w:tc>
                <w:tcPr>
                  <w:tcW w:w="941" w:type="dxa"/>
                  <w:vMerge w:val="continue"/>
                  <w:vAlign w:val="center"/>
                </w:tcPr>
                <w:p>
                  <w:pPr>
                    <w:pStyle w:val="20"/>
                    <w:bidi w:val="0"/>
                    <w:ind w:firstLine="0" w:firstLineChars="0"/>
                    <w:rPr>
                      <w:rFonts w:hint="default" w:ascii="Times New Roman" w:hAnsi="Times New Roman" w:cs="Times New Roman"/>
                      <w:color w:val="auto"/>
                      <w:lang w:val="en-US" w:eastAsia="zh-CN"/>
                    </w:rPr>
                  </w:pPr>
                </w:p>
              </w:tc>
              <w:tc>
                <w:tcPr>
                  <w:tcW w:w="1091" w:type="dxa"/>
                  <w:vAlign w:val="center"/>
                </w:tcPr>
                <w:p>
                  <w:pPr>
                    <w:pStyle w:val="27"/>
                    <w:ind w:firstLine="0" w:firstLineChars="0"/>
                    <w:rPr>
                      <w:rFonts w:hint="default" w:ascii="Times New Roman" w:hAnsi="Times New Roman" w:cs="Times New Roman"/>
                      <w:color w:val="auto"/>
                      <w:lang w:val="en-US" w:eastAsia="zh-CN"/>
                    </w:rPr>
                  </w:pPr>
                  <w:r>
                    <w:rPr>
                      <w:rFonts w:hint="eastAsia" w:eastAsia="宋体"/>
                      <w:color w:val="000000"/>
                      <w:kern w:val="0"/>
                      <w:sz w:val="21"/>
                      <w:szCs w:val="20"/>
                      <w:lang w:val="en-US" w:eastAsia="zh-CN" w:bidi="ar-SA"/>
                    </w:rPr>
                    <w:t>0.3</w:t>
                  </w:r>
                </w:p>
              </w:tc>
              <w:tc>
                <w:tcPr>
                  <w:tcW w:w="1132"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33" w:type="dxa"/>
                  <w:vAlign w:val="center"/>
                </w:tcPr>
                <w:p>
                  <w:pPr>
                    <w:pStyle w:val="20"/>
                    <w:bidi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bl>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3、监测结果</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硫酸回收设备有组织废气</w:t>
            </w:r>
            <w:r>
              <w:rPr>
                <w:rFonts w:hint="eastAsia" w:ascii="Times New Roman" w:hAnsi="Times New Roman" w:cs="Times New Roman"/>
                <w:color w:val="auto"/>
                <w:lang w:val="en-US" w:eastAsia="zh-CN"/>
              </w:rPr>
              <w:t>硫酸雾</w:t>
            </w:r>
            <w:r>
              <w:rPr>
                <w:rFonts w:hint="default" w:ascii="Times New Roman" w:hAnsi="Times New Roman" w:cs="Times New Roman"/>
                <w:color w:val="auto"/>
                <w:lang w:eastAsia="zh-CN"/>
              </w:rPr>
              <w:t>排放浓度值满足</w:t>
            </w:r>
            <w:r>
              <w:rPr>
                <w:rFonts w:hint="default" w:ascii="Times New Roman" w:hAnsi="Times New Roman" w:cs="Times New Roman"/>
                <w:color w:val="auto"/>
                <w:lang w:val="en-US" w:eastAsia="zh-CN"/>
              </w:rPr>
              <w:t>《大气污染物综合排放标准》（DB32/4041-2021）表1标准</w:t>
            </w:r>
            <w:r>
              <w:rPr>
                <w:rFonts w:hint="default" w:ascii="Times New Roman" w:hAnsi="Times New Roman" w:cs="Times New Roman"/>
                <w:color w:val="auto"/>
                <w:lang w:eastAsia="zh-CN"/>
              </w:rPr>
              <w:t>限值要求。</w:t>
            </w:r>
            <w:r>
              <w:rPr>
                <w:rFonts w:hint="eastAsia" w:ascii="Times New Roman" w:hAnsi="Times New Roman" w:cs="Times New Roman"/>
                <w:color w:val="auto"/>
                <w:lang w:val="en-US" w:eastAsia="zh-CN"/>
              </w:rPr>
              <w:t>硫酸雾</w:t>
            </w:r>
            <w:r>
              <w:rPr>
                <w:rFonts w:hint="default" w:ascii="Times New Roman" w:hAnsi="Times New Roman" w:cs="Times New Roman"/>
                <w:color w:val="auto"/>
                <w:lang w:val="en-US" w:eastAsia="zh-CN"/>
              </w:rPr>
              <w:t>去除效率两天</w:t>
            </w:r>
            <w:r>
              <w:rPr>
                <w:rFonts w:hint="eastAsia" w:ascii="Times New Roman" w:hAnsi="Times New Roman" w:cs="Times New Roman"/>
                <w:color w:val="auto"/>
                <w:lang w:val="en-US" w:eastAsia="zh-CN"/>
              </w:rPr>
              <w:t>分别</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27.7%、</w:t>
            </w:r>
            <w:r>
              <w:rPr>
                <w:rFonts w:hint="default" w:ascii="Times New Roman" w:hAnsi="Times New Roman" w:cs="Times New Roman"/>
                <w:color w:val="auto"/>
                <w:lang w:val="en-US" w:eastAsia="zh-CN"/>
              </w:rPr>
              <w:t>100%。</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污泥烘干设备有组织</w:t>
            </w:r>
            <w:r>
              <w:rPr>
                <w:rFonts w:hint="eastAsia" w:ascii="Times New Roman" w:hAnsi="Times New Roman" w:cs="Times New Roman"/>
                <w:color w:val="auto"/>
                <w:lang w:val="en-US" w:eastAsia="zh-CN"/>
              </w:rPr>
              <w:t>废气氨和硫化氢</w:t>
            </w:r>
            <w:r>
              <w:rPr>
                <w:rFonts w:hint="default" w:ascii="Times New Roman" w:hAnsi="Times New Roman" w:cs="Times New Roman"/>
                <w:color w:val="auto"/>
                <w:lang w:val="en-US" w:eastAsia="zh-CN"/>
              </w:rPr>
              <w:t>排放速率满足《恶臭污染物排放标准》（GB14554-93）</w:t>
            </w:r>
            <w:r>
              <w:rPr>
                <w:rFonts w:hint="eastAsia" w:ascii="Times New Roman" w:hAnsi="Times New Roman" w:cs="Times New Roman"/>
                <w:color w:val="auto"/>
                <w:lang w:val="en-US" w:eastAsia="zh-CN"/>
              </w:rPr>
              <w:t>表2</w:t>
            </w:r>
            <w:r>
              <w:rPr>
                <w:rFonts w:hint="default" w:ascii="Times New Roman" w:hAnsi="Times New Roman" w:cs="Times New Roman"/>
                <w:color w:val="auto"/>
                <w:lang w:val="en-US" w:eastAsia="zh-CN"/>
              </w:rPr>
              <w:t>标准</w:t>
            </w:r>
            <w:r>
              <w:rPr>
                <w:rFonts w:hint="default" w:ascii="Times New Roman" w:hAnsi="Times New Roman" w:cs="Times New Roman"/>
                <w:color w:val="auto"/>
                <w:lang w:eastAsia="zh-CN"/>
              </w:rPr>
              <w:t>限值要求。</w:t>
            </w:r>
            <w:r>
              <w:rPr>
                <w:rFonts w:hint="eastAsia" w:ascii="Times New Roman" w:hAnsi="Times New Roman" w:cs="Times New Roman"/>
                <w:color w:val="auto"/>
                <w:lang w:val="en-US" w:eastAsia="zh-CN"/>
              </w:rPr>
              <w:t>氨</w:t>
            </w:r>
            <w:r>
              <w:rPr>
                <w:rFonts w:hint="default" w:ascii="Times New Roman" w:hAnsi="Times New Roman" w:cs="Times New Roman"/>
                <w:color w:val="auto"/>
                <w:lang w:val="en-US" w:eastAsia="zh-CN"/>
              </w:rPr>
              <w:t>去除效率两天</w:t>
            </w:r>
            <w:r>
              <w:rPr>
                <w:rFonts w:hint="eastAsia" w:ascii="Times New Roman" w:hAnsi="Times New Roman" w:cs="Times New Roman"/>
                <w:color w:val="auto"/>
                <w:lang w:val="en-US" w:eastAsia="zh-CN"/>
              </w:rPr>
              <w:t>分别</w:t>
            </w:r>
            <w:r>
              <w:rPr>
                <w:rFonts w:hint="default" w:ascii="Times New Roman" w:hAnsi="Times New Roman" w:cs="Times New Roman"/>
                <w:color w:val="auto"/>
                <w:lang w:val="en-US" w:eastAsia="zh-CN"/>
              </w:rPr>
              <w:t>为</w:t>
            </w:r>
            <w:r>
              <w:rPr>
                <w:rFonts w:hint="eastAsia" w:ascii="Times New Roman" w:hAnsi="Times New Roman" w:cs="Times New Roman"/>
                <w:color w:val="auto"/>
                <w:lang w:val="en-US" w:eastAsia="zh-CN"/>
              </w:rPr>
              <w:t>54.7%、27.3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，硫化氢</w:t>
            </w:r>
            <w:r>
              <w:rPr>
                <w:rFonts w:hint="default" w:ascii="Times New Roman" w:hAnsi="Times New Roman" w:cs="Times New Roman"/>
                <w:color w:val="auto"/>
                <w:lang w:val="en-US" w:eastAsia="zh-CN"/>
              </w:rPr>
              <w:t>去除效率两天</w:t>
            </w:r>
            <w:r>
              <w:rPr>
                <w:rFonts w:hint="eastAsia" w:ascii="Times New Roman" w:hAnsi="Times New Roman" w:cs="Times New Roman"/>
                <w:color w:val="auto"/>
                <w:lang w:val="en-US" w:eastAsia="zh-CN"/>
              </w:rPr>
              <w:t>均</w:t>
            </w:r>
            <w:r>
              <w:rPr>
                <w:rFonts w:hint="default" w:ascii="Times New Roman" w:hAnsi="Times New Roman" w:cs="Times New Roman"/>
                <w:color w:val="auto"/>
                <w:lang w:val="en-US" w:eastAsia="zh-CN"/>
              </w:rPr>
              <w:t>为100%。</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lang w:val="en-US" w:eastAsia="zh-CN"/>
              </w:rPr>
            </w:pPr>
            <w:r>
              <w:rPr>
                <w:rFonts w:hint="eastAsia" w:ascii="Times New Roman" w:hAnsi="Times New Roman" w:eastAsia="宋体" w:cs="Times New Roman"/>
                <w:color w:val="auto"/>
                <w:lang w:val="en-US" w:eastAsia="zh-CN"/>
              </w:rPr>
              <w:t>一期101车间、二期201车间和二期301车间天然气改电加热，原排气筒排放废气烟尘、二氧化硫和氮氧化物</w:t>
            </w:r>
            <w:r>
              <w:rPr>
                <w:rFonts w:hint="default" w:ascii="Times New Roman" w:hAnsi="Times New Roman" w:cs="Times New Roman"/>
                <w:color w:val="auto"/>
                <w:lang w:val="en-US" w:eastAsia="zh-CN"/>
              </w:rPr>
              <w:t>排放浓度满足</w:t>
            </w:r>
            <w:r>
              <w:rPr>
                <w:rFonts w:hint="eastAsia" w:ascii="Times New Roman" w:hAnsi="Times New Roman" w:eastAsia="宋体" w:cs="Times New Roman"/>
                <w:color w:val="auto"/>
                <w:lang w:val="en-US" w:eastAsia="zh-CN"/>
              </w:rPr>
              <w:t>《工业炉窑大气污染物排放标准》（DB 32/ 3728-2019）</w:t>
            </w:r>
            <w:r>
              <w:rPr>
                <w:rFonts w:hint="default" w:ascii="Times New Roman" w:hAnsi="Times New Roman" w:eastAsia="宋体" w:cs="Times New Roman"/>
                <w:color w:val="auto"/>
                <w:lang w:val="en-US" w:eastAsia="zh-CN"/>
              </w:rPr>
              <w:t>表1标准</w:t>
            </w:r>
            <w:r>
              <w:rPr>
                <w:rFonts w:hint="eastAsia" w:ascii="Times New Roman" w:hAnsi="Times New Roman" w:eastAsia="宋体" w:cs="Times New Roman"/>
                <w:color w:val="auto"/>
                <w:lang w:val="en-US" w:eastAsia="zh-CN"/>
              </w:rPr>
              <w:t>限值要求。</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厂界无组织废</w:t>
            </w:r>
            <w:r>
              <w:rPr>
                <w:rFonts w:hint="default" w:ascii="Times New Roman" w:hAnsi="Times New Roman" w:cs="Times New Roman"/>
                <w:color w:val="auto"/>
                <w:lang w:val="en-US" w:eastAsia="zh-CN"/>
              </w:rPr>
              <w:t>气</w:t>
            </w:r>
            <w:r>
              <w:rPr>
                <w:rFonts w:hint="eastAsia" w:ascii="Times New Roman" w:hAnsi="Times New Roman" w:eastAsia="宋体" w:cs="Times New Roman"/>
                <w:color w:val="auto"/>
                <w:lang w:val="en-US" w:eastAsia="zh-CN"/>
              </w:rPr>
              <w:t>氨和硫化氢</w:t>
            </w:r>
            <w:r>
              <w:rPr>
                <w:rFonts w:hint="default" w:ascii="Times New Roman" w:hAnsi="Times New Roman" w:cs="Times New Roman"/>
                <w:color w:val="auto"/>
                <w:lang w:eastAsia="zh-CN"/>
              </w:rPr>
              <w:t>排放浓度</w:t>
            </w:r>
            <w:r>
              <w:rPr>
                <w:rFonts w:hint="default" w:ascii="Times New Roman" w:hAnsi="Times New Roman" w:cs="Times New Roman"/>
                <w:color w:val="auto"/>
                <w:lang w:val="en-US" w:eastAsia="zh-CN"/>
              </w:rPr>
              <w:t>最大值</w:t>
            </w:r>
            <w:r>
              <w:rPr>
                <w:rFonts w:hint="eastAsia" w:ascii="Times New Roman" w:hAnsi="Times New Roman" w:cs="Times New Roman"/>
                <w:color w:val="auto"/>
                <w:lang w:val="en-US" w:eastAsia="zh-CN"/>
              </w:rPr>
              <w:t>满足</w:t>
            </w:r>
            <w:r>
              <w:rPr>
                <w:rFonts w:hint="default" w:ascii="Times New Roman" w:hAnsi="Times New Roman" w:cs="Times New Roman"/>
                <w:color w:val="auto"/>
                <w:lang w:val="en-US" w:eastAsia="zh-CN"/>
              </w:rPr>
              <w:t>《恶臭污染物排放标准》（GB14554-93）</w:t>
            </w:r>
            <w:r>
              <w:rPr>
                <w:rFonts w:hint="eastAsia" w:ascii="Times New Roman" w:hAnsi="Times New Roman" w:cs="Times New Roman"/>
                <w:color w:val="auto"/>
                <w:lang w:val="en-US" w:eastAsia="zh-CN"/>
              </w:rPr>
              <w:t>表1标准</w:t>
            </w:r>
            <w:r>
              <w:rPr>
                <w:rFonts w:hint="default" w:ascii="Times New Roman" w:hAnsi="Times New Roman" w:cs="Times New Roman"/>
                <w:color w:val="auto"/>
                <w:lang w:val="en-US" w:eastAsia="zh-CN"/>
              </w:rPr>
              <w:t>限值要求</w:t>
            </w:r>
            <w:r>
              <w:rPr>
                <w:rFonts w:hint="eastAsia" w:ascii="Times New Roman" w:hAnsi="Times New Roman" w:cs="Times New Roman"/>
                <w:color w:val="auto"/>
                <w:lang w:val="en-US" w:eastAsia="zh-CN"/>
              </w:rPr>
              <w:t>。硫酸雾</w:t>
            </w:r>
            <w:r>
              <w:rPr>
                <w:rFonts w:hint="default" w:ascii="Times New Roman" w:hAnsi="Times New Roman" w:cs="Times New Roman"/>
                <w:color w:val="auto"/>
                <w:lang w:eastAsia="zh-CN"/>
              </w:rPr>
              <w:t>排放浓度</w:t>
            </w:r>
            <w:r>
              <w:rPr>
                <w:rFonts w:hint="default" w:ascii="Times New Roman" w:hAnsi="Times New Roman" w:cs="Times New Roman"/>
                <w:color w:val="auto"/>
                <w:lang w:val="en-US" w:eastAsia="zh-CN"/>
              </w:rPr>
              <w:t>最大值</w:t>
            </w:r>
            <w:r>
              <w:rPr>
                <w:rFonts w:hint="default" w:ascii="Times New Roman" w:hAnsi="Times New Roman" w:cs="Times New Roman"/>
                <w:color w:val="auto"/>
                <w:lang w:eastAsia="zh-CN"/>
              </w:rPr>
              <w:t>满足</w:t>
            </w:r>
            <w:r>
              <w:rPr>
                <w:rFonts w:hint="default" w:ascii="Times New Roman" w:hAnsi="Times New Roman" w:cs="Times New Roman"/>
                <w:color w:val="auto"/>
                <w:lang w:val="en-US" w:eastAsia="zh-CN"/>
              </w:rPr>
              <w:t>《大气污染物综合排放标准》（DB32/4041-2021）表3标准限值要求</w:t>
            </w:r>
            <w:r>
              <w:rPr>
                <w:rFonts w:hint="default" w:ascii="Times New Roman" w:hAnsi="Times New Roman"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验收监测废气监测结果见表8-3、表8-4。</w:t>
            </w:r>
          </w:p>
          <w:p>
            <w:pPr>
              <w:pStyle w:val="19"/>
              <w:rPr>
                <w:rFonts w:hint="default" w:ascii="Times New Roman" w:hAnsi="Times New Roman" w:eastAsia="宋体" w:cs="Times New Roman"/>
                <w:color w:val="auto"/>
                <w:highlight w:val="none"/>
                <w:lang w:val="en-US" w:eastAsia="zh-CN"/>
              </w:rPr>
            </w:pPr>
          </w:p>
          <w:p>
            <w:pPr>
              <w:pStyle w:val="19"/>
              <w:rPr>
                <w:rFonts w:hint="default" w:ascii="Times New Roman" w:hAnsi="Times New Roman" w:eastAsia="宋体" w:cs="Times New Roman"/>
                <w:color w:val="auto"/>
                <w:highlight w:val="none"/>
                <w:lang w:val="en-US" w:eastAsia="zh-CN"/>
              </w:rPr>
            </w:pPr>
          </w:p>
          <w:p>
            <w:pPr>
              <w:pStyle w:val="19"/>
              <w:rPr>
                <w:rFonts w:hint="default" w:ascii="Times New Roman" w:hAnsi="Times New Roman" w:eastAsia="宋体" w:cs="Times New Roman"/>
                <w:color w:val="auto"/>
                <w:highlight w:val="none"/>
                <w:lang w:val="en-US" w:eastAsia="zh-CN"/>
              </w:rPr>
            </w:pPr>
          </w:p>
        </w:tc>
      </w:tr>
    </w:tbl>
    <w:p>
      <w:pPr>
        <w:jc w:val="left"/>
        <w:rPr>
          <w:rFonts w:hint="default" w:ascii="Times New Roman" w:hAnsi="Times New Roman" w:eastAsia="宋体" w:cs="Times New Roman"/>
          <w:color w:val="auto"/>
          <w:sz w:val="32"/>
          <w:szCs w:val="32"/>
        </w:rPr>
      </w:pPr>
      <w:r>
        <w:rPr>
          <w:rFonts w:hint="default" w:ascii="Times New Roman" w:hAnsi="Times New Roman" w:eastAsia="宋体" w:cs="Times New Roman"/>
          <w:color w:val="auto"/>
          <w:sz w:val="32"/>
          <w:szCs w:val="32"/>
        </w:rPr>
        <w:br w:type="page"/>
      </w:r>
    </w:p>
    <w:p>
      <w:pPr>
        <w:autoSpaceDE w:val="0"/>
        <w:autoSpaceDN w:val="0"/>
        <w:spacing w:line="360" w:lineRule="auto"/>
        <w:ind w:firstLine="480" w:firstLineChars="200"/>
        <w:jc w:val="left"/>
        <w:rPr>
          <w:rFonts w:hint="default" w:ascii="Times New Roman" w:hAnsi="Times New Roman" w:eastAsia="宋体" w:cs="Times New Roman"/>
          <w:color w:val="auto"/>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7" w:hRule="atLeast"/>
        </w:trPr>
        <w:tc>
          <w:tcPr>
            <w:tcW w:w="5000" w:type="pct"/>
          </w:tcPr>
          <w:p>
            <w:pPr>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eastAsia="zh-CN"/>
              </w:rPr>
              <w:t>表</w:t>
            </w:r>
            <w:r>
              <w:rPr>
                <w:rFonts w:hint="default" w:ascii="Times New Roman" w:hAnsi="Times New Roman" w:eastAsia="宋体" w:cs="Times New Roman"/>
                <w:b/>
                <w:bCs/>
                <w:color w:val="auto"/>
                <w:lang w:val="en-US" w:eastAsia="zh-CN"/>
              </w:rPr>
              <w:t>8-</w:t>
            </w:r>
            <w:r>
              <w:rPr>
                <w:rFonts w:hint="eastAsia" w:ascii="Times New Roman" w:hAnsi="Times New Roman" w:cs="Times New Roman"/>
                <w:b/>
                <w:bCs/>
                <w:color w:val="auto"/>
                <w:lang w:val="en-US" w:eastAsia="zh-CN"/>
              </w:rPr>
              <w:t>3</w:t>
            </w:r>
            <w:r>
              <w:rPr>
                <w:rFonts w:hint="default" w:ascii="Times New Roman" w:hAnsi="Times New Roman" w:eastAsia="宋体" w:cs="Times New Roman"/>
                <w:b/>
                <w:bCs/>
                <w:color w:val="auto"/>
              </w:rPr>
              <w:t xml:space="preserve">  </w:t>
            </w:r>
            <w:r>
              <w:rPr>
                <w:rFonts w:hint="default" w:ascii="Times New Roman" w:hAnsi="Times New Roman" w:eastAsia="宋体" w:cs="Times New Roman"/>
                <w:b/>
                <w:bCs/>
                <w:color w:val="auto"/>
                <w:lang w:eastAsia="zh-CN"/>
              </w:rPr>
              <w:t>有组织</w:t>
            </w:r>
            <w:r>
              <w:rPr>
                <w:rFonts w:hint="default" w:ascii="Times New Roman" w:hAnsi="Times New Roman" w:eastAsia="宋体" w:cs="Times New Roman"/>
                <w:b/>
                <w:bCs/>
                <w:color w:val="auto"/>
              </w:rPr>
              <w:t>废气监测结果表</w:t>
            </w:r>
          </w:p>
          <w:tbl>
            <w:tblPr>
              <w:tblStyle w:val="16"/>
              <w:tblW w:w="5000" w:type="pct"/>
              <w:jc w:val="center"/>
              <w:tblLayout w:type="fixed"/>
              <w:tblCellMar>
                <w:top w:w="0" w:type="dxa"/>
                <w:left w:w="0" w:type="dxa"/>
                <w:bottom w:w="0" w:type="dxa"/>
                <w:right w:w="0" w:type="dxa"/>
              </w:tblCellMar>
            </w:tblPr>
            <w:tblGrid>
              <w:gridCol w:w="2101"/>
              <w:gridCol w:w="1091"/>
              <w:gridCol w:w="1100"/>
              <w:gridCol w:w="1072"/>
              <w:gridCol w:w="1011"/>
              <w:gridCol w:w="1293"/>
              <w:gridCol w:w="1075"/>
              <w:gridCol w:w="983"/>
              <w:gridCol w:w="1005"/>
              <w:gridCol w:w="1214"/>
              <w:gridCol w:w="944"/>
              <w:gridCol w:w="1069"/>
            </w:tblGrid>
            <w:tr>
              <w:tblPrEx>
                <w:tblCellMar>
                  <w:top w:w="0" w:type="dxa"/>
                  <w:left w:w="0" w:type="dxa"/>
                  <w:bottom w:w="0" w:type="dxa"/>
                  <w:right w:w="0" w:type="dxa"/>
                </w:tblCellMar>
              </w:tblPrEx>
              <w:trPr>
                <w:trHeight w:val="403" w:hRule="atLeast"/>
                <w:jc w:val="center"/>
              </w:trPr>
              <w:tc>
                <w:tcPr>
                  <w:tcW w:w="1144"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时间</w:t>
                  </w:r>
                </w:p>
              </w:tc>
              <w:tc>
                <w:tcPr>
                  <w:tcW w:w="1603"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6/8</w:t>
                  </w:r>
                </w:p>
              </w:tc>
              <w:tc>
                <w:tcPr>
                  <w:tcW w:w="1532"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114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点位</w:t>
                  </w:r>
                </w:p>
              </w:tc>
              <w:tc>
                <w:tcPr>
                  <w:tcW w:w="3855" w:type="pct"/>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硫酸回收酸雾塔进口</w:t>
                  </w:r>
                  <w:r>
                    <w:rPr>
                      <w:rFonts w:hint="default" w:ascii="Times New Roman" w:hAnsi="Times New Roman" w:eastAsia="宋体" w:cs="Times New Roman"/>
                      <w:b/>
                      <w:bCs/>
                      <w:color w:val="auto"/>
                      <w:kern w:val="0"/>
                      <w:sz w:val="21"/>
                      <w:szCs w:val="21"/>
                      <w:lang w:val="en-US" w:eastAsia="zh-CN" w:bidi="ar-SA"/>
                    </w:rPr>
                    <w:t>Q</w:t>
                  </w:r>
                  <w:r>
                    <w:rPr>
                      <w:rFonts w:hint="eastAsia" w:ascii="Times New Roman" w:hAnsi="Times New Roman" w:eastAsia="宋体" w:cs="Times New Roman"/>
                      <w:b/>
                      <w:bCs/>
                      <w:color w:val="auto"/>
                      <w:kern w:val="0"/>
                      <w:sz w:val="21"/>
                      <w:szCs w:val="21"/>
                      <w:lang w:val="en-US" w:eastAsia="zh-CN" w:bidi="ar-SA"/>
                    </w:rPr>
                    <w:t>1</w:t>
                  </w:r>
                </w:p>
              </w:tc>
            </w:tr>
            <w:tr>
              <w:tblPrEx>
                <w:tblCellMar>
                  <w:top w:w="0" w:type="dxa"/>
                  <w:left w:w="0" w:type="dxa"/>
                  <w:bottom w:w="0" w:type="dxa"/>
                  <w:right w:w="0" w:type="dxa"/>
                </w:tblCellMar>
              </w:tblPrEx>
              <w:trPr>
                <w:trHeight w:val="403" w:hRule="atLeast"/>
                <w:jc w:val="center"/>
              </w:trPr>
              <w:tc>
                <w:tcPr>
                  <w:tcW w:w="753"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项    目</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单位</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标准限值</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达标情况</w:t>
                  </w:r>
                </w:p>
              </w:tc>
            </w:tr>
            <w:tr>
              <w:tblPrEx>
                <w:tblCellMar>
                  <w:top w:w="0" w:type="dxa"/>
                  <w:left w:w="0" w:type="dxa"/>
                  <w:bottom w:w="0" w:type="dxa"/>
                  <w:right w:w="0" w:type="dxa"/>
                </w:tblCellMar>
              </w:tblPrEx>
              <w:trPr>
                <w:trHeight w:val="463" w:hRule="atLeast"/>
                <w:jc w:val="center"/>
              </w:trPr>
              <w:tc>
                <w:tcPr>
                  <w:tcW w:w="753"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烟气标干流量</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m³/h</w:t>
                  </w: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1202</w:t>
                  </w: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1222</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1210</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fldChar w:fldCharType="begin"/>
                  </w:r>
                  <w:r>
                    <w:rPr>
                      <w:rFonts w:hint="default" w:ascii="Times New Roman" w:hAnsi="Times New Roman" w:eastAsia="宋体" w:cs="Times New Roman"/>
                      <w:color w:val="auto"/>
                      <w:kern w:val="0"/>
                      <w:sz w:val="21"/>
                      <w:szCs w:val="21"/>
                      <w:lang w:val="en-US" w:eastAsia="zh-CN" w:bidi="ar-SA"/>
                    </w:rPr>
                    <w:instrText xml:space="preserve"> = average(D11:F11) \* MERGEFORMAT </w:instrText>
                  </w:r>
                  <w:r>
                    <w:rPr>
                      <w:rFonts w:hint="default" w:ascii="Times New Roman" w:hAnsi="Times New Roman" w:eastAsia="宋体" w:cs="Times New Roman"/>
                      <w:color w:val="auto"/>
                      <w:kern w:val="0"/>
                      <w:sz w:val="21"/>
                      <w:szCs w:val="21"/>
                      <w:lang w:val="en-US" w:eastAsia="zh-CN" w:bidi="ar-SA"/>
                    </w:rPr>
                    <w:fldChar w:fldCharType="separate"/>
                  </w:r>
                  <w:r>
                    <w:rPr>
                      <w:rFonts w:hint="default" w:ascii="Times New Roman" w:hAnsi="Times New Roman" w:eastAsia="宋体" w:cs="Times New Roman"/>
                      <w:color w:val="auto"/>
                      <w:kern w:val="0"/>
                      <w:sz w:val="21"/>
                      <w:szCs w:val="21"/>
                      <w:lang w:val="en-US" w:eastAsia="zh-CN" w:bidi="ar-SA"/>
                    </w:rPr>
                    <w:t>1211</w:t>
                  </w:r>
                  <w:r>
                    <w:rPr>
                      <w:rFonts w:hint="default" w:ascii="Times New Roman" w:hAnsi="Times New Roman" w:eastAsia="宋体" w:cs="Times New Roman"/>
                      <w:color w:val="auto"/>
                      <w:kern w:val="0"/>
                      <w:sz w:val="21"/>
                      <w:szCs w:val="21"/>
                      <w:lang w:val="en-US" w:eastAsia="zh-CN" w:bidi="ar-SA"/>
                    </w:rPr>
                    <w:fldChar w:fldCharType="end"/>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ND</w:t>
                  </w:r>
                </w:p>
              </w:tc>
              <w:tc>
                <w:tcPr>
                  <w:tcW w:w="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0.40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0.39</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0.26</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77" w:hRule="atLeast"/>
                <w:jc w:val="center"/>
              </w:trPr>
              <w:tc>
                <w:tcPr>
                  <w:tcW w:w="753"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硫酸雾排放浓度</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0.53</w:t>
                  </w: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0.51</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0.74</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0.59</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4.16×10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4.10×10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4</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2.74×10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4</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53"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硫酸雾排放速率</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6.37×10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4</w:t>
                  </w: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6.23×10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4</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8.95×10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4</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7.14×10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4</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ND</w:t>
                  </w:r>
                </w:p>
              </w:tc>
              <w:tc>
                <w:tcPr>
                  <w:tcW w:w="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0.40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0.39</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0.26</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1144"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点位</w:t>
                  </w:r>
                </w:p>
              </w:tc>
              <w:tc>
                <w:tcPr>
                  <w:tcW w:w="3855" w:type="pct"/>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硫酸回收酸雾塔出口</w:t>
                  </w:r>
                  <w:r>
                    <w:rPr>
                      <w:rFonts w:hint="default" w:ascii="Times New Roman" w:hAnsi="Times New Roman" w:eastAsia="宋体" w:cs="Times New Roman"/>
                      <w:b/>
                      <w:bCs/>
                      <w:color w:val="auto"/>
                      <w:kern w:val="0"/>
                      <w:sz w:val="21"/>
                      <w:szCs w:val="21"/>
                      <w:lang w:val="en-US" w:eastAsia="zh-CN" w:bidi="ar-SA"/>
                    </w:rPr>
                    <w:t>Q</w:t>
                  </w:r>
                  <w:r>
                    <w:rPr>
                      <w:rFonts w:hint="eastAsia" w:ascii="Times New Roman" w:hAnsi="Times New Roman" w:cs="Times New Roman"/>
                      <w:b/>
                      <w:bCs/>
                      <w:color w:val="auto"/>
                      <w:kern w:val="0"/>
                      <w:sz w:val="21"/>
                      <w:szCs w:val="21"/>
                      <w:lang w:val="en-US" w:eastAsia="zh-CN" w:bidi="ar-SA"/>
                    </w:rPr>
                    <w:t>2</w:t>
                  </w:r>
                </w:p>
              </w:tc>
            </w:tr>
            <w:tr>
              <w:tblPrEx>
                <w:tblCellMar>
                  <w:top w:w="0" w:type="dxa"/>
                  <w:left w:w="0" w:type="dxa"/>
                  <w:bottom w:w="0" w:type="dxa"/>
                  <w:right w:w="0" w:type="dxa"/>
                </w:tblCellMar>
              </w:tblPrEx>
              <w:trPr>
                <w:trHeight w:val="403" w:hRule="atLeast"/>
                <w:jc w:val="center"/>
              </w:trPr>
              <w:tc>
                <w:tcPr>
                  <w:tcW w:w="753"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项    目</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单位</w:t>
                  </w:r>
                </w:p>
              </w:tc>
              <w:tc>
                <w:tcPr>
                  <w:tcW w:w="3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第一次</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第二次</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第三次</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测定均值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第一次</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第二次</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第三次</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测定均值</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标准限值</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达标情况</w:t>
                  </w:r>
                </w:p>
              </w:tc>
            </w:tr>
            <w:tr>
              <w:tblPrEx>
                <w:tblCellMar>
                  <w:top w:w="0" w:type="dxa"/>
                  <w:left w:w="0" w:type="dxa"/>
                  <w:bottom w:w="0" w:type="dxa"/>
                  <w:right w:w="0" w:type="dxa"/>
                </w:tblCellMar>
              </w:tblPrEx>
              <w:trPr>
                <w:trHeight w:val="403" w:hRule="atLeast"/>
                <w:jc w:val="center"/>
              </w:trPr>
              <w:tc>
                <w:tcPr>
                  <w:tcW w:w="753"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烟气标干流量</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m³/h</w:t>
                  </w: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1259</w:t>
                  </w: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1255</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1261</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fldChar w:fldCharType="begin"/>
                  </w:r>
                  <w:r>
                    <w:rPr>
                      <w:rFonts w:hint="default" w:ascii="Times New Roman" w:hAnsi="Times New Roman" w:eastAsia="宋体" w:cs="Times New Roman"/>
                      <w:color w:val="auto"/>
                      <w:kern w:val="0"/>
                      <w:sz w:val="21"/>
                      <w:szCs w:val="21"/>
                      <w:lang w:val="en-US" w:eastAsia="zh-CN" w:bidi="ar-SA"/>
                    </w:rPr>
                    <w:instrText xml:space="preserve"> = average(D11:F11) \* MERGEFORMAT </w:instrText>
                  </w:r>
                  <w:r>
                    <w:rPr>
                      <w:rFonts w:hint="default" w:ascii="Times New Roman" w:hAnsi="Times New Roman" w:eastAsia="宋体" w:cs="Times New Roman"/>
                      <w:color w:val="auto"/>
                      <w:kern w:val="0"/>
                      <w:sz w:val="21"/>
                      <w:szCs w:val="21"/>
                      <w:lang w:val="en-US" w:eastAsia="zh-CN" w:bidi="ar-SA"/>
                    </w:rPr>
                    <w:fldChar w:fldCharType="separate"/>
                  </w:r>
                  <w:r>
                    <w:rPr>
                      <w:rFonts w:hint="default" w:ascii="Times New Roman" w:hAnsi="Times New Roman" w:eastAsia="宋体" w:cs="Times New Roman"/>
                      <w:color w:val="auto"/>
                      <w:kern w:val="0"/>
                      <w:sz w:val="21"/>
                      <w:szCs w:val="21"/>
                      <w:lang w:val="en-US" w:eastAsia="zh-CN" w:bidi="ar-SA"/>
                    </w:rPr>
                    <w:t>1258</w:t>
                  </w:r>
                  <w:r>
                    <w:rPr>
                      <w:rFonts w:hint="default" w:ascii="Times New Roman" w:hAnsi="Times New Roman" w:eastAsia="宋体" w:cs="Times New Roman"/>
                      <w:color w:val="auto"/>
                      <w:kern w:val="0"/>
                      <w:sz w:val="21"/>
                      <w:szCs w:val="21"/>
                      <w:lang w:val="en-US" w:eastAsia="zh-CN" w:bidi="ar-SA"/>
                    </w:rPr>
                    <w:fldChar w:fldCharType="end"/>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1135</w:t>
                  </w:r>
                </w:p>
              </w:tc>
              <w:tc>
                <w:tcPr>
                  <w:tcW w:w="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1140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1148</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fldChar w:fldCharType="begin"/>
                  </w:r>
                  <w:r>
                    <w:rPr>
                      <w:rFonts w:hint="default" w:ascii="Times New Roman" w:hAnsi="Times New Roman" w:eastAsia="宋体" w:cs="Times New Roman"/>
                      <w:color w:val="auto"/>
                      <w:kern w:val="0"/>
                      <w:sz w:val="21"/>
                      <w:szCs w:val="21"/>
                      <w:lang w:val="en-US" w:eastAsia="zh-CN" w:bidi="ar-SA"/>
                    </w:rPr>
                    <w:instrText xml:space="preserve"> = average(D11:F11) \* MERGEFORMAT </w:instrText>
                  </w:r>
                  <w:r>
                    <w:rPr>
                      <w:rFonts w:hint="default" w:ascii="Times New Roman" w:hAnsi="Times New Roman" w:eastAsia="宋体" w:cs="Times New Roman"/>
                      <w:color w:val="auto"/>
                      <w:kern w:val="0"/>
                      <w:sz w:val="21"/>
                      <w:szCs w:val="21"/>
                      <w:lang w:val="en-US" w:eastAsia="zh-CN" w:bidi="ar-SA"/>
                    </w:rPr>
                    <w:fldChar w:fldCharType="separate"/>
                  </w:r>
                  <w:r>
                    <w:rPr>
                      <w:rFonts w:hint="default" w:ascii="Times New Roman" w:hAnsi="Times New Roman" w:eastAsia="宋体" w:cs="Times New Roman"/>
                      <w:color w:val="auto"/>
                      <w:kern w:val="0"/>
                      <w:sz w:val="21"/>
                      <w:szCs w:val="21"/>
                      <w:lang w:val="en-US" w:eastAsia="zh-CN" w:bidi="ar-SA"/>
                    </w:rPr>
                    <w:t>1141</w:t>
                  </w:r>
                  <w:r>
                    <w:rPr>
                      <w:rFonts w:hint="default" w:ascii="Times New Roman" w:hAnsi="Times New Roman" w:eastAsia="宋体" w:cs="Times New Roman"/>
                      <w:color w:val="auto"/>
                      <w:kern w:val="0"/>
                      <w:sz w:val="21"/>
                      <w:szCs w:val="21"/>
                      <w:lang w:val="en-US" w:eastAsia="zh-CN" w:bidi="ar-SA"/>
                    </w:rPr>
                    <w:fldChar w:fldCharType="end"/>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49" w:hRule="atLeast"/>
                <w:jc w:val="center"/>
              </w:trPr>
              <w:tc>
                <w:tcPr>
                  <w:tcW w:w="753"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硫酸雾排放浓度</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0.44</w:t>
                  </w: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0.47</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0.32</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fldChar w:fldCharType="begin"/>
                  </w:r>
                  <w:r>
                    <w:rPr>
                      <w:rFonts w:hint="default" w:ascii="Times New Roman" w:hAnsi="Times New Roman" w:eastAsia="宋体" w:cs="Times New Roman"/>
                      <w:color w:val="auto"/>
                      <w:kern w:val="0"/>
                      <w:sz w:val="21"/>
                      <w:szCs w:val="21"/>
                      <w:lang w:val="en-US" w:eastAsia="zh-CN" w:bidi="ar-SA"/>
                    </w:rPr>
                    <w:instrText xml:space="preserve"> = average(D12:F12) \* MERGEFORMAT </w:instrText>
                  </w:r>
                  <w:r>
                    <w:rPr>
                      <w:rFonts w:hint="default" w:ascii="Times New Roman" w:hAnsi="Times New Roman" w:eastAsia="宋体" w:cs="Times New Roman"/>
                      <w:color w:val="auto"/>
                      <w:kern w:val="0"/>
                      <w:sz w:val="21"/>
                      <w:szCs w:val="21"/>
                      <w:lang w:val="en-US" w:eastAsia="zh-CN" w:bidi="ar-SA"/>
                    </w:rPr>
                    <w:fldChar w:fldCharType="separate"/>
                  </w:r>
                  <w:r>
                    <w:rPr>
                      <w:rFonts w:hint="default" w:ascii="Times New Roman" w:hAnsi="Times New Roman" w:eastAsia="宋体" w:cs="Times New Roman"/>
                      <w:color w:val="auto"/>
                      <w:kern w:val="0"/>
                      <w:sz w:val="21"/>
                      <w:szCs w:val="21"/>
                      <w:lang w:val="en-US" w:eastAsia="zh-CN" w:bidi="ar-SA"/>
                    </w:rPr>
                    <w:t>0.41</w:t>
                  </w:r>
                  <w:r>
                    <w:rPr>
                      <w:rFonts w:hint="default" w:ascii="Times New Roman" w:hAnsi="Times New Roman" w:eastAsia="宋体" w:cs="Times New Roman"/>
                      <w:color w:val="auto"/>
                      <w:kern w:val="0"/>
                      <w:sz w:val="21"/>
                      <w:szCs w:val="21"/>
                      <w:lang w:val="en-US" w:eastAsia="zh-CN" w:bidi="ar-SA"/>
                    </w:rPr>
                    <w:fldChar w:fldCharType="end"/>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ND</w:t>
                  </w:r>
                </w:p>
              </w:tc>
              <w:tc>
                <w:tcPr>
                  <w:tcW w:w="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ND</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ND</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达标</w:t>
                  </w:r>
                </w:p>
              </w:tc>
            </w:tr>
            <w:tr>
              <w:tblPrEx>
                <w:tblCellMar>
                  <w:top w:w="0" w:type="dxa"/>
                  <w:left w:w="0" w:type="dxa"/>
                  <w:bottom w:w="0" w:type="dxa"/>
                  <w:right w:w="0" w:type="dxa"/>
                </w:tblCellMar>
              </w:tblPrEx>
              <w:trPr>
                <w:trHeight w:val="403" w:hRule="atLeast"/>
                <w:jc w:val="center"/>
              </w:trPr>
              <w:tc>
                <w:tcPr>
                  <w:tcW w:w="753"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硫酸雾排放速率</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1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5.54×10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4</w:t>
                  </w:r>
                </w:p>
              </w:tc>
              <w:tc>
                <w:tcPr>
                  <w:tcW w:w="10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5.90×10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4</w:t>
                  </w:r>
                </w:p>
              </w:tc>
              <w:tc>
                <w:tcPr>
                  <w:tcW w:w="101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4.04×10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4</w:t>
                  </w:r>
                </w:p>
              </w:tc>
              <w:tc>
                <w:tcPr>
                  <w:tcW w:w="12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5.16×10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4</w:t>
                  </w:r>
                </w:p>
              </w:tc>
              <w:tc>
                <w:tcPr>
                  <w:tcW w:w="10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98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达标</w:t>
                  </w:r>
                </w:p>
              </w:tc>
            </w:tr>
            <w:tr>
              <w:tblPrEx>
                <w:tblCellMar>
                  <w:top w:w="0" w:type="dxa"/>
                  <w:left w:w="0" w:type="dxa"/>
                  <w:bottom w:w="0" w:type="dxa"/>
                  <w:right w:w="0" w:type="dxa"/>
                </w:tblCellMar>
              </w:tblPrEx>
              <w:trPr>
                <w:trHeight w:val="472" w:hRule="atLeast"/>
                <w:jc w:val="center"/>
              </w:trPr>
              <w:tc>
                <w:tcPr>
                  <w:tcW w:w="753"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硫酸雾</w:t>
                  </w:r>
                  <w:r>
                    <w:rPr>
                      <w:rFonts w:hint="default" w:ascii="Times New Roman" w:hAnsi="Times New Roman" w:cs="Times New Roman"/>
                      <w:color w:val="auto"/>
                      <w:kern w:val="0"/>
                      <w:sz w:val="21"/>
                      <w:szCs w:val="21"/>
                      <w:lang w:val="en-US" w:eastAsia="zh-CN" w:bidi="ar-SA"/>
                    </w:rPr>
                    <w:t>去除效率</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w:t>
                  </w:r>
                </w:p>
              </w:tc>
              <w:tc>
                <w:tcPr>
                  <w:tcW w:w="1603"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27.7</w:t>
                  </w:r>
                </w:p>
              </w:tc>
              <w:tc>
                <w:tcPr>
                  <w:tcW w:w="1532"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r>
          </w:tbl>
          <w:p>
            <w:pPr>
              <w:pStyle w:val="19"/>
              <w:jc w:val="both"/>
              <w:rPr>
                <w:rFonts w:hint="default" w:ascii="Times New Roman" w:hAnsi="Times New Roman" w:eastAsia="宋体" w:cs="Times New Roman"/>
                <w:b/>
                <w:bCs/>
                <w:color w:val="auto"/>
              </w:rPr>
            </w:pPr>
            <w:r>
              <w:rPr>
                <w:rFonts w:hint="eastAsia" w:ascii="Times New Roman" w:hAnsi="Times New Roman" w:cs="Times New Roman"/>
                <w:b w:val="0"/>
                <w:bCs w:val="0"/>
                <w:color w:val="auto"/>
                <w:sz w:val="21"/>
                <w:szCs w:val="21"/>
                <w:vertAlign w:val="baseline"/>
                <w:lang w:val="en-US" w:eastAsia="zh-CN"/>
              </w:rPr>
              <w:t>注：ND表示未检出，硫酸雾检出限</w:t>
            </w:r>
            <w:r>
              <w:rPr>
                <w:rFonts w:hint="eastAsia" w:ascii="Times New Roman" w:hAnsi="Times New Roman" w:eastAsia="宋体" w:cs="Times New Roman"/>
                <w:b w:val="0"/>
                <w:bCs w:val="0"/>
                <w:color w:val="auto"/>
                <w:sz w:val="21"/>
                <w:szCs w:val="21"/>
                <w:vertAlign w:val="baseline"/>
                <w:lang w:val="en-US" w:eastAsia="zh-CN"/>
              </w:rPr>
              <w:t>为</w:t>
            </w:r>
            <w:r>
              <w:rPr>
                <w:rFonts w:hint="eastAsia" w:ascii="Times New Roman" w:hAnsi="Times New Roman" w:cs="Times New Roman"/>
                <w:b w:val="0"/>
                <w:bCs/>
                <w:color w:val="auto"/>
                <w:sz w:val="21"/>
                <w:szCs w:val="21"/>
                <w:lang w:val="en-US" w:eastAsia="zh-CN"/>
              </w:rPr>
              <w:t>0.2</w:t>
            </w:r>
            <w:r>
              <w:rPr>
                <w:rFonts w:hint="eastAsia" w:ascii="Times New Roman" w:hAnsi="Times New Roman" w:eastAsia="宋体" w:cs="Times New Roman"/>
                <w:b w:val="0"/>
                <w:bCs w:val="0"/>
                <w:color w:val="auto"/>
                <w:sz w:val="21"/>
                <w:szCs w:val="21"/>
                <w:vertAlign w:val="baseline"/>
                <w:lang w:val="en-US" w:eastAsia="zh-CN"/>
              </w:rPr>
              <w:t>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cs="Times New Roman"/>
                <w:b w:val="0"/>
                <w:bCs w:val="0"/>
                <w:color w:val="auto"/>
                <w:sz w:val="21"/>
                <w:szCs w:val="21"/>
                <w:vertAlign w:val="baseline"/>
                <w:lang w:val="en-US" w:eastAsia="zh-CN"/>
              </w:rPr>
              <w:t>。</w:t>
            </w:r>
          </w:p>
          <w:p>
            <w:pPr>
              <w:rPr>
                <w:rFonts w:hint="default" w:ascii="Times New Roman" w:hAnsi="Times New Roman" w:eastAsia="宋体" w:cs="Times New Roman"/>
                <w:b/>
                <w:bCs/>
                <w:color w:val="auto"/>
              </w:rPr>
            </w:pPr>
          </w:p>
          <w:p>
            <w:pPr>
              <w:pStyle w:val="19"/>
              <w:jc w:val="both"/>
              <w:rPr>
                <w:rFonts w:hint="default" w:ascii="Times New Roman" w:hAnsi="Times New Roman" w:eastAsia="宋体" w:cs="Times New Roman"/>
                <w:b/>
                <w:bCs/>
                <w:color w:val="auto"/>
              </w:rPr>
            </w:pPr>
          </w:p>
          <w:p>
            <w:pPr>
              <w:rPr>
                <w:rFonts w:hint="default" w:ascii="Times New Roman" w:hAnsi="Times New Roman" w:eastAsia="宋体" w:cs="Times New Roman"/>
                <w:b/>
                <w:bCs/>
                <w:color w:val="auto"/>
              </w:rPr>
            </w:pPr>
          </w:p>
          <w:p>
            <w:pPr>
              <w:pStyle w:val="19"/>
              <w:jc w:val="both"/>
              <w:rPr>
                <w:rFonts w:hint="default" w:ascii="Times New Roman" w:hAnsi="Times New Roman" w:eastAsia="宋体" w:cs="Times New Roman"/>
                <w:b/>
                <w:bCs/>
                <w:color w:val="auto"/>
              </w:rPr>
            </w:pPr>
          </w:p>
          <w:p>
            <w:pPr>
              <w:rPr>
                <w:rFonts w:hint="default" w:ascii="Times New Roman" w:hAnsi="Times New Roman" w:eastAsia="宋体" w:cs="Times New Roman"/>
                <w:b/>
                <w:bCs/>
                <w:color w:val="auto"/>
              </w:rPr>
            </w:pPr>
            <w:r>
              <w:rPr>
                <w:rFonts w:hint="eastAsia" w:ascii="Times New Roman" w:hAnsi="Times New Roman" w:cs="Times New Roman"/>
                <w:b/>
                <w:bCs/>
                <w:color w:val="auto"/>
                <w:lang w:val="en-US" w:eastAsia="zh-CN"/>
              </w:rPr>
              <w:t>续</w:t>
            </w:r>
            <w:r>
              <w:rPr>
                <w:rFonts w:hint="default" w:ascii="Times New Roman" w:hAnsi="Times New Roman" w:eastAsia="宋体" w:cs="Times New Roman"/>
                <w:b/>
                <w:bCs/>
                <w:color w:val="auto"/>
                <w:lang w:eastAsia="zh-CN"/>
              </w:rPr>
              <w:t>表</w:t>
            </w:r>
            <w:r>
              <w:rPr>
                <w:rFonts w:hint="default" w:ascii="Times New Roman" w:hAnsi="Times New Roman" w:eastAsia="宋体" w:cs="Times New Roman"/>
                <w:b/>
                <w:bCs/>
                <w:color w:val="auto"/>
                <w:lang w:val="en-US" w:eastAsia="zh-CN"/>
              </w:rPr>
              <w:t>8-</w:t>
            </w:r>
            <w:r>
              <w:rPr>
                <w:rFonts w:hint="eastAsia" w:ascii="Times New Roman" w:hAnsi="Times New Roman" w:cs="Times New Roman"/>
                <w:b/>
                <w:bCs/>
                <w:color w:val="auto"/>
                <w:lang w:val="en-US" w:eastAsia="zh-CN"/>
              </w:rPr>
              <w:t>3</w:t>
            </w:r>
          </w:p>
          <w:tbl>
            <w:tblPr>
              <w:tblStyle w:val="16"/>
              <w:tblW w:w="5000" w:type="pct"/>
              <w:jc w:val="center"/>
              <w:tblLayout w:type="fixed"/>
              <w:tblCellMar>
                <w:top w:w="0" w:type="dxa"/>
                <w:left w:w="0" w:type="dxa"/>
                <w:bottom w:w="0" w:type="dxa"/>
                <w:right w:w="0" w:type="dxa"/>
              </w:tblCellMar>
            </w:tblPr>
            <w:tblGrid>
              <w:gridCol w:w="2090"/>
              <w:gridCol w:w="1092"/>
              <w:gridCol w:w="1097"/>
              <w:gridCol w:w="1072"/>
              <w:gridCol w:w="1011"/>
              <w:gridCol w:w="1295"/>
              <w:gridCol w:w="1075"/>
              <w:gridCol w:w="983"/>
              <w:gridCol w:w="1005"/>
              <w:gridCol w:w="1332"/>
              <w:gridCol w:w="901"/>
              <w:gridCol w:w="1005"/>
            </w:tblGrid>
            <w:tr>
              <w:tblPrEx>
                <w:tblCellMar>
                  <w:top w:w="0" w:type="dxa"/>
                  <w:left w:w="0" w:type="dxa"/>
                  <w:bottom w:w="0" w:type="dxa"/>
                  <w:right w:w="0" w:type="dxa"/>
                </w:tblCellMar>
              </w:tblPrEx>
              <w:trPr>
                <w:trHeight w:val="369" w:hRule="atLeast"/>
                <w:jc w:val="center"/>
              </w:trPr>
              <w:tc>
                <w:tcPr>
                  <w:tcW w:w="1139"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时间</w:t>
                  </w:r>
                </w:p>
              </w:tc>
              <w:tc>
                <w:tcPr>
                  <w:tcW w:w="1603"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6/8</w:t>
                  </w:r>
                </w:p>
              </w:tc>
              <w:tc>
                <w:tcPr>
                  <w:tcW w:w="1574"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6/9</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r>
            <w:tr>
              <w:tblPrEx>
                <w:tblCellMar>
                  <w:top w:w="0" w:type="dxa"/>
                  <w:left w:w="0" w:type="dxa"/>
                  <w:bottom w:w="0" w:type="dxa"/>
                  <w:right w:w="0" w:type="dxa"/>
                </w:tblCellMar>
              </w:tblPrEx>
              <w:trPr>
                <w:trHeight w:val="369" w:hRule="atLeast"/>
                <w:jc w:val="center"/>
              </w:trPr>
              <w:tc>
                <w:tcPr>
                  <w:tcW w:w="113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点位</w:t>
                  </w:r>
                </w:p>
              </w:tc>
              <w:tc>
                <w:tcPr>
                  <w:tcW w:w="3860" w:type="pct"/>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污泥烘干设备进口</w:t>
                  </w:r>
                  <w:r>
                    <w:rPr>
                      <w:rFonts w:hint="default" w:ascii="Times New Roman" w:hAnsi="Times New Roman" w:eastAsia="宋体" w:cs="Times New Roman"/>
                      <w:b/>
                      <w:bCs/>
                      <w:color w:val="auto"/>
                      <w:kern w:val="0"/>
                      <w:sz w:val="21"/>
                      <w:szCs w:val="21"/>
                      <w:lang w:val="en-US" w:eastAsia="zh-CN" w:bidi="ar-SA"/>
                    </w:rPr>
                    <w:t>Q</w:t>
                  </w:r>
                  <w:r>
                    <w:rPr>
                      <w:rFonts w:hint="eastAsia" w:ascii="Times New Roman" w:hAnsi="Times New Roman" w:eastAsia="宋体" w:cs="Times New Roman"/>
                      <w:b/>
                      <w:bCs/>
                      <w:color w:val="auto"/>
                      <w:kern w:val="0"/>
                      <w:sz w:val="21"/>
                      <w:szCs w:val="21"/>
                      <w:lang w:val="en-US" w:eastAsia="zh-CN" w:bidi="ar-SA"/>
                    </w:rPr>
                    <w:t>3</w:t>
                  </w:r>
                </w:p>
              </w:tc>
            </w:tr>
            <w:tr>
              <w:tblPrEx>
                <w:tblCellMar>
                  <w:top w:w="0" w:type="dxa"/>
                  <w:left w:w="0" w:type="dxa"/>
                  <w:bottom w:w="0" w:type="dxa"/>
                  <w:right w:w="0" w:type="dxa"/>
                </w:tblCellMar>
              </w:tblPrEx>
              <w:trPr>
                <w:trHeight w:val="369"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项    目</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单位</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标准限值</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达标情况</w:t>
                  </w:r>
                </w:p>
              </w:tc>
            </w:tr>
            <w:tr>
              <w:tblPrEx>
                <w:tblCellMar>
                  <w:top w:w="0" w:type="dxa"/>
                  <w:left w:w="0" w:type="dxa"/>
                  <w:bottom w:w="0" w:type="dxa"/>
                  <w:right w:w="0" w:type="dxa"/>
                </w:tblCellMar>
              </w:tblPrEx>
              <w:trPr>
                <w:trHeight w:val="369"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烟气标干流量</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m³/h</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3105</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3123</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3090</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fldChar w:fldCharType="begin"/>
                  </w:r>
                  <w:r>
                    <w:rPr>
                      <w:rFonts w:hint="default" w:ascii="Times New Roman" w:hAnsi="Times New Roman" w:eastAsia="宋体" w:cs="Times New Roman"/>
                      <w:color w:val="auto"/>
                      <w:kern w:val="0"/>
                      <w:sz w:val="21"/>
                      <w:szCs w:val="21"/>
                      <w:lang w:val="en-US" w:eastAsia="zh-CN" w:bidi="ar-SA"/>
                    </w:rPr>
                    <w:instrText xml:space="preserve"> = average(D11:F11) \* MERGEFORMAT </w:instrText>
                  </w:r>
                  <w:r>
                    <w:rPr>
                      <w:rFonts w:hint="default" w:ascii="Times New Roman" w:hAnsi="Times New Roman" w:eastAsia="宋体" w:cs="Times New Roman"/>
                      <w:color w:val="auto"/>
                      <w:kern w:val="0"/>
                      <w:sz w:val="21"/>
                      <w:szCs w:val="21"/>
                      <w:lang w:val="en-US" w:eastAsia="zh-CN" w:bidi="ar-SA"/>
                    </w:rPr>
                    <w:fldChar w:fldCharType="separate"/>
                  </w:r>
                  <w:r>
                    <w:rPr>
                      <w:rFonts w:hint="default" w:ascii="Times New Roman" w:hAnsi="Times New Roman" w:eastAsia="宋体" w:cs="Times New Roman"/>
                      <w:color w:val="auto"/>
                      <w:kern w:val="0"/>
                      <w:sz w:val="21"/>
                      <w:szCs w:val="21"/>
                      <w:lang w:val="en-US" w:eastAsia="zh-CN" w:bidi="ar-SA"/>
                    </w:rPr>
                    <w:t>3106</w:t>
                  </w:r>
                  <w:r>
                    <w:rPr>
                      <w:rFonts w:hint="default" w:ascii="Times New Roman" w:hAnsi="Times New Roman" w:eastAsia="宋体" w:cs="Times New Roman"/>
                      <w:color w:val="auto"/>
                      <w:kern w:val="0"/>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3331</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3254</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3312</w:t>
                  </w:r>
                </w:p>
              </w:tc>
              <w:tc>
                <w:tcPr>
                  <w:tcW w:w="4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fldChar w:fldCharType="begin"/>
                  </w:r>
                  <w:r>
                    <w:rPr>
                      <w:rFonts w:hint="default" w:ascii="Times New Roman" w:hAnsi="Times New Roman" w:eastAsia="宋体" w:cs="Times New Roman"/>
                      <w:color w:val="auto"/>
                      <w:kern w:val="0"/>
                      <w:sz w:val="21"/>
                      <w:szCs w:val="21"/>
                      <w:lang w:val="en-US" w:eastAsia="zh-CN" w:bidi="ar-SA"/>
                    </w:rPr>
                    <w:instrText xml:space="preserve"> = average(D11:F11) \* MERGEFORMAT </w:instrText>
                  </w:r>
                  <w:r>
                    <w:rPr>
                      <w:rFonts w:hint="default" w:ascii="Times New Roman" w:hAnsi="Times New Roman" w:eastAsia="宋体" w:cs="Times New Roman"/>
                      <w:color w:val="auto"/>
                      <w:kern w:val="0"/>
                      <w:sz w:val="21"/>
                      <w:szCs w:val="21"/>
                      <w:lang w:val="en-US" w:eastAsia="zh-CN" w:bidi="ar-SA"/>
                    </w:rPr>
                    <w:fldChar w:fldCharType="separate"/>
                  </w:r>
                  <w:r>
                    <w:rPr>
                      <w:rFonts w:hint="default" w:ascii="Times New Roman" w:hAnsi="Times New Roman" w:eastAsia="宋体" w:cs="Times New Roman"/>
                      <w:color w:val="auto"/>
                      <w:kern w:val="0"/>
                      <w:sz w:val="21"/>
                      <w:szCs w:val="21"/>
                      <w:lang w:val="en-US" w:eastAsia="zh-CN" w:bidi="ar-SA"/>
                    </w:rPr>
                    <w:t>3299</w:t>
                  </w:r>
                  <w:r>
                    <w:rPr>
                      <w:rFonts w:hint="default" w:ascii="Times New Roman" w:hAnsi="Times New Roman" w:eastAsia="宋体" w:cs="Times New Roman"/>
                      <w:color w:val="auto"/>
                      <w:kern w:val="0"/>
                      <w:sz w:val="21"/>
                      <w:szCs w:val="21"/>
                      <w:lang w:val="en-US" w:eastAsia="zh-CN" w:bidi="ar-SA"/>
                    </w:rPr>
                    <w:fldChar w:fldCharType="end"/>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369"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氨排放浓度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 xml:space="preserve">8.17 </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 xml:space="preserve">7.90 </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 xml:space="preserve">3.96 </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8.17</w:t>
                  </w:r>
                  <w:r>
                    <w:rPr>
                      <w:rFonts w:hint="eastAsia" w:ascii="Times New Roman" w:hAnsi="Times New Roman" w:eastAsia="宋体" w:cs="Times New Roman"/>
                      <w:color w:val="auto"/>
                      <w:kern w:val="0"/>
                      <w:sz w:val="21"/>
                      <w:szCs w:val="21"/>
                      <w:lang w:val="en-US" w:eastAsia="zh-CN" w:bidi="ar-SA"/>
                    </w:rPr>
                    <w:t>（最大值）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1.77</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1.81</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2.45</w:t>
                  </w:r>
                </w:p>
              </w:tc>
              <w:tc>
                <w:tcPr>
                  <w:tcW w:w="4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2.45</w:t>
                  </w:r>
                  <w:r>
                    <w:rPr>
                      <w:rFonts w:hint="eastAsia" w:ascii="Times New Roman" w:hAnsi="Times New Roman" w:eastAsia="宋体" w:cs="Times New Roman"/>
                      <w:color w:val="auto"/>
                      <w:kern w:val="0"/>
                      <w:sz w:val="21"/>
                      <w:szCs w:val="21"/>
                      <w:lang w:val="en-US" w:eastAsia="zh-CN" w:bidi="ar-SA"/>
                    </w:rPr>
                    <w:t>（最大值）</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369"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氨排放速率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2.54×10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2</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2.47×10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2</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1.22×10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2</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2.54×10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2</w:t>
                  </w:r>
                  <w:r>
                    <w:rPr>
                      <w:rFonts w:hint="eastAsia" w:ascii="Times New Roman" w:hAnsi="Times New Roman" w:eastAsia="宋体" w:cs="Times New Roman"/>
                      <w:color w:val="auto"/>
                      <w:kern w:val="0"/>
                      <w:sz w:val="21"/>
                      <w:szCs w:val="21"/>
                      <w:lang w:val="en-US" w:eastAsia="zh-CN" w:bidi="ar-SA"/>
                    </w:rPr>
                    <w:t>（最大值）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5.90×10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3</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5.89×10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3</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8.11×10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8.11×10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3</w:t>
                  </w:r>
                  <w:r>
                    <w:rPr>
                      <w:rFonts w:hint="eastAsia" w:ascii="Times New Roman" w:hAnsi="Times New Roman" w:eastAsia="宋体" w:cs="Times New Roman"/>
                      <w:color w:val="auto"/>
                      <w:kern w:val="0"/>
                      <w:sz w:val="21"/>
                      <w:szCs w:val="21"/>
                      <w:lang w:val="en-US" w:eastAsia="zh-CN" w:bidi="ar-SA"/>
                    </w:rPr>
                    <w:t>（最大值）</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369"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硫化氢排放浓度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ND</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ND</w:t>
                  </w:r>
                  <w:r>
                    <w:rPr>
                      <w:rFonts w:hint="eastAsia" w:ascii="Times New Roman" w:hAnsi="Times New Roman" w:eastAsia="宋体" w:cs="Times New Roman"/>
                      <w:color w:val="auto"/>
                      <w:kern w:val="0"/>
                      <w:sz w:val="21"/>
                      <w:szCs w:val="21"/>
                      <w:lang w:val="en-US" w:eastAsia="zh-CN" w:bidi="ar-SA"/>
                    </w:rPr>
                    <w:t>（最大值）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ND</w:t>
                  </w:r>
                </w:p>
              </w:tc>
              <w:tc>
                <w:tcPr>
                  <w:tcW w:w="4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ND（最大值）</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369"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硫化氢排放速率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（最大值）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-（最大值）</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369" w:hRule="atLeast"/>
                <w:jc w:val="center"/>
              </w:trPr>
              <w:tc>
                <w:tcPr>
                  <w:tcW w:w="113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点位</w:t>
                  </w:r>
                </w:p>
              </w:tc>
              <w:tc>
                <w:tcPr>
                  <w:tcW w:w="3860" w:type="pct"/>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污泥烘干设备出口</w:t>
                  </w:r>
                  <w:r>
                    <w:rPr>
                      <w:rFonts w:hint="default" w:ascii="Times New Roman" w:hAnsi="Times New Roman" w:eastAsia="宋体" w:cs="Times New Roman"/>
                      <w:b/>
                      <w:bCs/>
                      <w:color w:val="auto"/>
                      <w:kern w:val="0"/>
                      <w:sz w:val="21"/>
                      <w:szCs w:val="21"/>
                      <w:lang w:val="en-US" w:eastAsia="zh-CN" w:bidi="ar-SA"/>
                    </w:rPr>
                    <w:t>Q</w:t>
                  </w:r>
                  <w:r>
                    <w:rPr>
                      <w:rFonts w:hint="eastAsia" w:ascii="Times New Roman" w:hAnsi="Times New Roman" w:eastAsia="宋体" w:cs="Times New Roman"/>
                      <w:b/>
                      <w:bCs/>
                      <w:color w:val="auto"/>
                      <w:kern w:val="0"/>
                      <w:sz w:val="21"/>
                      <w:szCs w:val="21"/>
                      <w:lang w:val="en-US" w:eastAsia="zh-CN" w:bidi="ar-SA"/>
                    </w:rPr>
                    <w:t>4</w:t>
                  </w:r>
                </w:p>
              </w:tc>
            </w:tr>
            <w:tr>
              <w:tblPrEx>
                <w:tblCellMar>
                  <w:top w:w="0" w:type="dxa"/>
                  <w:left w:w="0" w:type="dxa"/>
                  <w:bottom w:w="0" w:type="dxa"/>
                  <w:right w:w="0" w:type="dxa"/>
                </w:tblCellMar>
              </w:tblPrEx>
              <w:trPr>
                <w:trHeight w:val="369"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项    目</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单位</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第一次</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第二次</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第三次</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测定均值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第一次</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第二次</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第三次</w:t>
                  </w:r>
                </w:p>
              </w:tc>
              <w:tc>
                <w:tcPr>
                  <w:tcW w:w="4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测定均值</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标准限值</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达标情况</w:t>
                  </w:r>
                </w:p>
              </w:tc>
            </w:tr>
            <w:tr>
              <w:tblPrEx>
                <w:tblCellMar>
                  <w:top w:w="0" w:type="dxa"/>
                  <w:left w:w="0" w:type="dxa"/>
                  <w:bottom w:w="0" w:type="dxa"/>
                  <w:right w:w="0" w:type="dxa"/>
                </w:tblCellMar>
              </w:tblPrEx>
              <w:trPr>
                <w:trHeight w:val="369"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烟气标干流量</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m³/h</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3225</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3184</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3104</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fldChar w:fldCharType="begin"/>
                  </w:r>
                  <w:r>
                    <w:rPr>
                      <w:rFonts w:hint="default" w:ascii="Times New Roman" w:hAnsi="Times New Roman" w:eastAsia="宋体" w:cs="Times New Roman"/>
                      <w:color w:val="auto"/>
                      <w:kern w:val="0"/>
                      <w:sz w:val="21"/>
                      <w:szCs w:val="21"/>
                      <w:lang w:val="en-US" w:eastAsia="zh-CN" w:bidi="ar-SA"/>
                    </w:rPr>
                    <w:instrText xml:space="preserve"> = average(D11:F11) \* MERGEFORMAT </w:instrText>
                  </w:r>
                  <w:r>
                    <w:rPr>
                      <w:rFonts w:hint="default" w:ascii="Times New Roman" w:hAnsi="Times New Roman" w:eastAsia="宋体" w:cs="Times New Roman"/>
                      <w:color w:val="auto"/>
                      <w:kern w:val="0"/>
                      <w:sz w:val="21"/>
                      <w:szCs w:val="21"/>
                      <w:lang w:val="en-US" w:eastAsia="zh-CN" w:bidi="ar-SA"/>
                    </w:rPr>
                    <w:fldChar w:fldCharType="separate"/>
                  </w:r>
                  <w:r>
                    <w:rPr>
                      <w:rFonts w:hint="default" w:ascii="Times New Roman" w:hAnsi="Times New Roman" w:eastAsia="宋体" w:cs="Times New Roman"/>
                      <w:color w:val="auto"/>
                      <w:kern w:val="0"/>
                      <w:sz w:val="21"/>
                      <w:szCs w:val="21"/>
                      <w:lang w:val="en-US" w:eastAsia="zh-CN" w:bidi="ar-SA"/>
                    </w:rPr>
                    <w:t>3171</w:t>
                  </w:r>
                  <w:r>
                    <w:rPr>
                      <w:rFonts w:hint="default" w:ascii="Times New Roman" w:hAnsi="Times New Roman" w:eastAsia="宋体" w:cs="Times New Roman"/>
                      <w:color w:val="auto"/>
                      <w:kern w:val="0"/>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3370</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3214</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3172</w:t>
                  </w:r>
                </w:p>
              </w:tc>
              <w:tc>
                <w:tcPr>
                  <w:tcW w:w="4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fldChar w:fldCharType="begin"/>
                  </w:r>
                  <w:r>
                    <w:rPr>
                      <w:rFonts w:hint="default" w:ascii="Times New Roman" w:hAnsi="Times New Roman" w:eastAsia="宋体" w:cs="Times New Roman"/>
                      <w:color w:val="auto"/>
                      <w:kern w:val="0"/>
                      <w:sz w:val="21"/>
                      <w:szCs w:val="21"/>
                      <w:lang w:val="en-US" w:eastAsia="zh-CN" w:bidi="ar-SA"/>
                    </w:rPr>
                    <w:instrText xml:space="preserve"> = average(D11:F11) \* MERGEFORMAT </w:instrText>
                  </w:r>
                  <w:r>
                    <w:rPr>
                      <w:rFonts w:hint="default" w:ascii="Times New Roman" w:hAnsi="Times New Roman" w:eastAsia="宋体" w:cs="Times New Roman"/>
                      <w:color w:val="auto"/>
                      <w:kern w:val="0"/>
                      <w:sz w:val="21"/>
                      <w:szCs w:val="21"/>
                      <w:lang w:val="en-US" w:eastAsia="zh-CN" w:bidi="ar-SA"/>
                    </w:rPr>
                    <w:fldChar w:fldCharType="separate"/>
                  </w:r>
                  <w:r>
                    <w:rPr>
                      <w:rFonts w:hint="default" w:ascii="Times New Roman" w:hAnsi="Times New Roman" w:eastAsia="宋体" w:cs="Times New Roman"/>
                      <w:color w:val="auto"/>
                      <w:kern w:val="0"/>
                      <w:sz w:val="21"/>
                      <w:szCs w:val="21"/>
                      <w:lang w:val="en-US" w:eastAsia="zh-CN" w:bidi="ar-SA"/>
                    </w:rPr>
                    <w:t>3252</w:t>
                  </w:r>
                  <w:r>
                    <w:rPr>
                      <w:rFonts w:hint="default" w:ascii="Times New Roman" w:hAnsi="Times New Roman" w:eastAsia="宋体" w:cs="Times New Roman"/>
                      <w:color w:val="auto"/>
                      <w:kern w:val="0"/>
                      <w:sz w:val="21"/>
                      <w:szCs w:val="21"/>
                      <w:lang w:val="en-US" w:eastAsia="zh-CN" w:bidi="ar-SA"/>
                    </w:rPr>
                    <w:fldChar w:fldCharType="end"/>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369"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氨排放浓度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2.34</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 xml:space="preserve">2.70 </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3.72</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3.72</w:t>
                  </w:r>
                  <w:r>
                    <w:rPr>
                      <w:rFonts w:hint="eastAsia" w:ascii="Times New Roman" w:hAnsi="Times New Roman" w:eastAsia="宋体" w:cs="Times New Roman"/>
                      <w:color w:val="auto"/>
                      <w:kern w:val="0"/>
                      <w:sz w:val="21"/>
                      <w:szCs w:val="21"/>
                      <w:lang w:val="en-US" w:eastAsia="zh-CN" w:bidi="ar-SA"/>
                    </w:rPr>
                    <w:t>（最大值）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1.75</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1.71</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0.85</w:t>
                  </w:r>
                </w:p>
              </w:tc>
              <w:tc>
                <w:tcPr>
                  <w:tcW w:w="4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1.75</w:t>
                  </w:r>
                  <w:r>
                    <w:rPr>
                      <w:rFonts w:hint="eastAsia" w:ascii="Times New Roman" w:hAnsi="Times New Roman" w:eastAsia="宋体" w:cs="Times New Roman"/>
                      <w:color w:val="auto"/>
                      <w:kern w:val="0"/>
                      <w:sz w:val="21"/>
                      <w:szCs w:val="21"/>
                      <w:lang w:val="en-US" w:eastAsia="zh-CN" w:bidi="ar-SA"/>
                    </w:rPr>
                    <w:t>（最大值）</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369"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氨排放速率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7.55×10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3</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8.60×10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3</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1.15×10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2</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1.15×10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2</w:t>
                  </w:r>
                  <w:r>
                    <w:rPr>
                      <w:rFonts w:hint="eastAsia" w:ascii="Times New Roman" w:hAnsi="Times New Roman" w:eastAsia="宋体" w:cs="Times New Roman"/>
                      <w:color w:val="auto"/>
                      <w:kern w:val="0"/>
                      <w:sz w:val="21"/>
                      <w:szCs w:val="21"/>
                      <w:lang w:val="en-US" w:eastAsia="zh-CN" w:bidi="ar-SA"/>
                    </w:rPr>
                    <w:t>（最大值）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5.90×10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3</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5.50×10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3</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2.70×10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3</w:t>
                  </w:r>
                </w:p>
              </w:tc>
              <w:tc>
                <w:tcPr>
                  <w:tcW w:w="4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5.90×10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3</w:t>
                  </w:r>
                  <w:r>
                    <w:rPr>
                      <w:rFonts w:hint="eastAsia" w:ascii="Times New Roman" w:hAnsi="Times New Roman" w:eastAsia="宋体" w:cs="Times New Roman"/>
                      <w:color w:val="auto"/>
                      <w:kern w:val="0"/>
                      <w:sz w:val="21"/>
                      <w:szCs w:val="21"/>
                      <w:lang w:val="en-US" w:eastAsia="zh-CN" w:bidi="ar-SA"/>
                    </w:rPr>
                    <w:t>（最大值）</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4.9</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达标</w:t>
                  </w:r>
                </w:p>
              </w:tc>
            </w:tr>
            <w:tr>
              <w:tblPrEx>
                <w:tblCellMar>
                  <w:top w:w="0" w:type="dxa"/>
                  <w:left w:w="0" w:type="dxa"/>
                  <w:bottom w:w="0" w:type="dxa"/>
                  <w:right w:w="0" w:type="dxa"/>
                </w:tblCellMar>
              </w:tblPrEx>
              <w:trPr>
                <w:trHeight w:val="369"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硫化氢排放浓度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ND</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ND</w:t>
                  </w:r>
                  <w:r>
                    <w:rPr>
                      <w:rFonts w:hint="eastAsia" w:ascii="Times New Roman" w:hAnsi="Times New Roman" w:eastAsia="宋体" w:cs="Times New Roman"/>
                      <w:color w:val="auto"/>
                      <w:kern w:val="0"/>
                      <w:sz w:val="21"/>
                      <w:szCs w:val="21"/>
                      <w:lang w:val="en-US" w:eastAsia="zh-CN" w:bidi="ar-SA"/>
                    </w:rPr>
                    <w:t>（最大值）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ND</w:t>
                  </w:r>
                </w:p>
              </w:tc>
              <w:tc>
                <w:tcPr>
                  <w:tcW w:w="4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ND（最大值）</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369"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硫化氢排放速率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eastAsia="宋体" w:cs="Times New Roman"/>
                      <w:color w:val="auto"/>
                      <w:kern w:val="0"/>
                      <w:sz w:val="21"/>
                      <w:szCs w:val="21"/>
                      <w:lang w:val="en-US" w:eastAsia="zh-CN" w:bidi="ar-SA"/>
                    </w:rPr>
                    <w:t>（最大值）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4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-（最大值）</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0.33</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达标</w:t>
                  </w:r>
                </w:p>
              </w:tc>
            </w:tr>
            <w:tr>
              <w:tblPrEx>
                <w:tblCellMar>
                  <w:top w:w="0" w:type="dxa"/>
                  <w:left w:w="0" w:type="dxa"/>
                  <w:bottom w:w="0" w:type="dxa"/>
                  <w:right w:w="0" w:type="dxa"/>
                </w:tblCellMar>
              </w:tblPrEx>
              <w:trPr>
                <w:trHeight w:val="369"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氨</w:t>
                  </w:r>
                  <w:r>
                    <w:rPr>
                      <w:rFonts w:hint="default" w:ascii="Times New Roman" w:hAnsi="Times New Roman" w:cs="Times New Roman"/>
                      <w:color w:val="auto"/>
                      <w:kern w:val="0"/>
                      <w:sz w:val="21"/>
                      <w:szCs w:val="21"/>
                      <w:lang w:val="en-US" w:eastAsia="zh-CN" w:bidi="ar-SA"/>
                    </w:rPr>
                    <w:t>去除效率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w:t>
                  </w:r>
                </w:p>
              </w:tc>
              <w:tc>
                <w:tcPr>
                  <w:tcW w:w="1603"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54.7</w:t>
                  </w:r>
                </w:p>
              </w:tc>
              <w:tc>
                <w:tcPr>
                  <w:tcW w:w="1574"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27.3</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w:t>
                  </w:r>
                </w:p>
              </w:tc>
            </w:tr>
            <w:tr>
              <w:tblPrEx>
                <w:tblCellMar>
                  <w:top w:w="0" w:type="dxa"/>
                  <w:left w:w="0" w:type="dxa"/>
                  <w:bottom w:w="0" w:type="dxa"/>
                  <w:right w:w="0" w:type="dxa"/>
                </w:tblCellMar>
              </w:tblPrEx>
              <w:trPr>
                <w:trHeight w:val="369"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硫化氢</w:t>
                  </w:r>
                  <w:r>
                    <w:rPr>
                      <w:rFonts w:hint="default" w:ascii="Times New Roman" w:hAnsi="Times New Roman" w:cs="Times New Roman"/>
                      <w:color w:val="auto"/>
                      <w:kern w:val="0"/>
                      <w:sz w:val="21"/>
                      <w:szCs w:val="21"/>
                      <w:lang w:val="en-US" w:eastAsia="zh-CN" w:bidi="ar-SA"/>
                    </w:rPr>
                    <w:t>去除效率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w:t>
                  </w:r>
                </w:p>
              </w:tc>
              <w:tc>
                <w:tcPr>
                  <w:tcW w:w="1603"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w:t>
                  </w:r>
                </w:p>
              </w:tc>
              <w:tc>
                <w:tcPr>
                  <w:tcW w:w="1574"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3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w:t>
                  </w:r>
                </w:p>
              </w:tc>
            </w:tr>
          </w:tbl>
          <w:p>
            <w:pPr>
              <w:keepNext w:val="0"/>
              <w:keepLines w:val="0"/>
              <w:pageBreakBefore w:val="0"/>
              <w:widowControl w:val="0"/>
              <w:kinsoku/>
              <w:wordWrap/>
              <w:overflowPunct/>
              <w:topLinePunct w:val="0"/>
              <w:autoSpaceDE/>
              <w:autoSpaceDN/>
              <w:bidi w:val="0"/>
              <w:adjustRightInd/>
              <w:spacing w:line="280" w:lineRule="exact"/>
              <w:jc w:val="left"/>
              <w:textAlignment w:val="auto"/>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备注：ND表示未检出，硫化氢的检出限为0.007</w:t>
            </w:r>
            <w:r>
              <w:rPr>
                <w:color w:val="auto"/>
                <w:sz w:val="21"/>
                <w:szCs w:val="21"/>
              </w:rPr>
              <w:t>mg/</w:t>
            </w:r>
            <w:r>
              <w:rPr>
                <w:rFonts w:hint="eastAsia"/>
                <w:color w:val="auto"/>
                <w:sz w:val="21"/>
                <w:szCs w:val="21"/>
                <w:lang w:val="en-US" w:eastAsia="zh-CN"/>
              </w:rPr>
              <w:t>m</w:t>
            </w:r>
            <w:r>
              <w:rPr>
                <w:color w:val="auto"/>
                <w:sz w:val="21"/>
                <w:szCs w:val="21"/>
                <w:vertAlign w:val="superscript"/>
              </w:rPr>
              <w:t>3</w:t>
            </w:r>
            <w:r>
              <w:rPr>
                <w:rFonts w:hint="eastAsia" w:ascii="Times New Roman" w:hAnsi="Times New Roman" w:cs="Times New Roman"/>
                <w:b w:val="0"/>
                <w:bCs/>
                <w:color w:val="auto"/>
                <w:sz w:val="21"/>
                <w:szCs w:val="21"/>
                <w:lang w:val="en-US" w:eastAsia="zh-CN"/>
              </w:rPr>
              <w:t>。</w:t>
            </w:r>
          </w:p>
          <w:p>
            <w:pPr>
              <w:rPr>
                <w:rFonts w:hint="default" w:ascii="Times New Roman" w:hAnsi="Times New Roman" w:eastAsia="宋体" w:cs="Times New Roman"/>
                <w:b/>
                <w:bCs/>
                <w:color w:val="auto"/>
              </w:rPr>
            </w:pPr>
            <w:r>
              <w:rPr>
                <w:rFonts w:hint="eastAsia" w:ascii="Times New Roman" w:hAnsi="Times New Roman" w:cs="Times New Roman"/>
                <w:b/>
                <w:bCs/>
                <w:color w:val="auto"/>
                <w:lang w:val="en-US" w:eastAsia="zh-CN"/>
              </w:rPr>
              <w:t>续</w:t>
            </w:r>
            <w:r>
              <w:rPr>
                <w:rFonts w:hint="default" w:ascii="Times New Roman" w:hAnsi="Times New Roman" w:eastAsia="宋体" w:cs="Times New Roman"/>
                <w:b/>
                <w:bCs/>
                <w:color w:val="auto"/>
                <w:lang w:eastAsia="zh-CN"/>
              </w:rPr>
              <w:t>表</w:t>
            </w:r>
            <w:r>
              <w:rPr>
                <w:rFonts w:hint="default" w:ascii="Times New Roman" w:hAnsi="Times New Roman" w:eastAsia="宋体" w:cs="Times New Roman"/>
                <w:b/>
                <w:bCs/>
                <w:color w:val="auto"/>
                <w:lang w:val="en-US" w:eastAsia="zh-CN"/>
              </w:rPr>
              <w:t>8-</w:t>
            </w:r>
            <w:r>
              <w:rPr>
                <w:rFonts w:hint="eastAsia" w:ascii="Times New Roman" w:hAnsi="Times New Roman" w:cs="Times New Roman"/>
                <w:b/>
                <w:bCs/>
                <w:color w:val="auto"/>
                <w:lang w:val="en-US" w:eastAsia="zh-CN"/>
              </w:rPr>
              <w:t>3</w:t>
            </w:r>
          </w:p>
          <w:tbl>
            <w:tblPr>
              <w:tblStyle w:val="16"/>
              <w:tblW w:w="5000" w:type="pct"/>
              <w:jc w:val="center"/>
              <w:tblLayout w:type="fixed"/>
              <w:tblCellMar>
                <w:top w:w="0" w:type="dxa"/>
                <w:left w:w="0" w:type="dxa"/>
                <w:bottom w:w="0" w:type="dxa"/>
                <w:right w:w="0" w:type="dxa"/>
              </w:tblCellMar>
            </w:tblPr>
            <w:tblGrid>
              <w:gridCol w:w="2090"/>
              <w:gridCol w:w="1092"/>
              <w:gridCol w:w="1097"/>
              <w:gridCol w:w="1072"/>
              <w:gridCol w:w="1011"/>
              <w:gridCol w:w="1295"/>
              <w:gridCol w:w="1075"/>
              <w:gridCol w:w="983"/>
              <w:gridCol w:w="1005"/>
              <w:gridCol w:w="1214"/>
              <w:gridCol w:w="944"/>
              <w:gridCol w:w="1080"/>
            </w:tblGrid>
            <w:tr>
              <w:tblPrEx>
                <w:tblCellMar>
                  <w:top w:w="0" w:type="dxa"/>
                  <w:left w:w="0" w:type="dxa"/>
                  <w:bottom w:w="0" w:type="dxa"/>
                  <w:right w:w="0" w:type="dxa"/>
                </w:tblCellMar>
              </w:tblPrEx>
              <w:trPr>
                <w:trHeight w:val="403" w:hRule="atLeast"/>
                <w:jc w:val="center"/>
              </w:trPr>
              <w:tc>
                <w:tcPr>
                  <w:tcW w:w="1139"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时间</w:t>
                  </w:r>
                </w:p>
              </w:tc>
              <w:tc>
                <w:tcPr>
                  <w:tcW w:w="1603"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6/8</w:t>
                  </w:r>
                </w:p>
              </w:tc>
              <w:tc>
                <w:tcPr>
                  <w:tcW w:w="1532"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1139"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点位</w:t>
                  </w:r>
                </w:p>
              </w:tc>
              <w:tc>
                <w:tcPr>
                  <w:tcW w:w="3860" w:type="pct"/>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一期101车间电镀A线出口Q</w:t>
                  </w:r>
                  <w:r>
                    <w:rPr>
                      <w:rFonts w:hint="eastAsia" w:ascii="Times New Roman" w:hAnsi="Times New Roman" w:cs="Times New Roman"/>
                      <w:b/>
                      <w:bCs/>
                      <w:color w:val="auto"/>
                      <w:kern w:val="0"/>
                      <w:sz w:val="21"/>
                      <w:szCs w:val="21"/>
                      <w:lang w:val="en-US" w:eastAsia="zh-CN" w:bidi="ar-SA"/>
                    </w:rPr>
                    <w:t>5</w:t>
                  </w:r>
                </w:p>
              </w:tc>
            </w:tr>
            <w:tr>
              <w:tblPrEx>
                <w:tblCellMar>
                  <w:top w:w="0" w:type="dxa"/>
                  <w:left w:w="0" w:type="dxa"/>
                  <w:bottom w:w="0" w:type="dxa"/>
                  <w:right w:w="0" w:type="dxa"/>
                </w:tblCellMar>
              </w:tblPrEx>
              <w:trPr>
                <w:trHeight w:val="403"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项    目</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单位</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标准限值</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达标情况</w:t>
                  </w:r>
                </w:p>
              </w:tc>
            </w:tr>
            <w:tr>
              <w:tblPrEx>
                <w:tblCellMar>
                  <w:top w:w="0" w:type="dxa"/>
                  <w:left w:w="0" w:type="dxa"/>
                  <w:bottom w:w="0" w:type="dxa"/>
                  <w:right w:w="0" w:type="dxa"/>
                </w:tblCellMar>
              </w:tblPrEx>
              <w:trPr>
                <w:trHeight w:val="403"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烟气标干流量</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m³/h</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1404</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1439</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1402</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average(D11:F11)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1415</w:t>
                  </w:r>
                  <w:r>
                    <w:rPr>
                      <w:rFonts w:hint="default" w:ascii="Times New Roman" w:hAnsi="Times New Roman" w:eastAsia="宋体" w:cs="Times New Roman"/>
                      <w:color w:val="auto"/>
                      <w:kern w:val="2"/>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1326</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1395</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1398</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average(D11:F11)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1373</w:t>
                  </w:r>
                  <w:r>
                    <w:rPr>
                      <w:rFonts w:hint="default" w:ascii="Times New Roman" w:hAnsi="Times New Roman" w:eastAsia="宋体" w:cs="Times New Roman"/>
                      <w:color w:val="auto"/>
                      <w:kern w:val="2"/>
                      <w:sz w:val="21"/>
                      <w:szCs w:val="21"/>
                      <w:lang w:val="en-US" w:eastAsia="zh-CN" w:bidi="ar-SA"/>
                    </w:rPr>
                    <w:fldChar w:fldCharType="end"/>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90"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含氧量</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16.9</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17.0</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17.0</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17.0</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17.3</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17.9</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18.0</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average(D12:F12)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17.7</w:t>
                  </w:r>
                  <w:r>
                    <w:rPr>
                      <w:rFonts w:hint="default" w:ascii="Times New Roman" w:hAnsi="Times New Roman" w:eastAsia="宋体" w:cs="Times New Roman"/>
                      <w:color w:val="auto"/>
                      <w:kern w:val="2"/>
                      <w:sz w:val="21"/>
                      <w:szCs w:val="21"/>
                      <w:lang w:val="en-US" w:eastAsia="zh-CN" w:bidi="ar-SA"/>
                    </w:rPr>
                    <w:fldChar w:fldCharType="end"/>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average(D13:F13)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1.7</w:t>
                  </w:r>
                  <w:r>
                    <w:rPr>
                      <w:rFonts w:hint="default" w:ascii="Times New Roman" w:hAnsi="Times New Roman" w:eastAsia="宋体" w:cs="Times New Roman"/>
                      <w:color w:val="auto"/>
                      <w:kern w:val="2"/>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4.5</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5.1</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5.2 </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6.6 </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5.8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20</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2.81×10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2.16×10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2.24×10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2.41×10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2.12×10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2.37×10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2.10×10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2.20×10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80</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180</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8"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5.62×10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5.76×10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4.21×10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6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5.66×10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bl>
          <w:p>
            <w:pPr>
              <w:ind w:left="0" w:leftChars="0" w:firstLine="0" w:firstLineChars="0"/>
              <w:outlineLvl w:val="9"/>
              <w:rPr>
                <w:rFonts w:hint="default" w:ascii="Times New Roman" w:hAnsi="Times New Roman" w:eastAsia="宋体" w:cs="Times New Roman"/>
                <w:b/>
                <w:bCs/>
                <w:color w:val="auto"/>
                <w:sz w:val="28"/>
                <w:szCs w:val="28"/>
                <w:vertAlign w:val="baseline"/>
                <w:lang w:val="en-US" w:eastAsia="zh-CN"/>
              </w:rPr>
            </w:pPr>
            <w:r>
              <w:rPr>
                <w:rFonts w:hint="eastAsia" w:ascii="Times New Roman" w:hAnsi="Times New Roman" w:cs="Times New Roman"/>
                <w:b w:val="0"/>
                <w:bCs w:val="0"/>
                <w:color w:val="auto"/>
                <w:sz w:val="21"/>
                <w:szCs w:val="21"/>
                <w:vertAlign w:val="baseline"/>
                <w:lang w:val="en-US" w:eastAsia="zh-CN"/>
              </w:rPr>
              <w:t>注：ND表示未检出，二氧化硫检出限</w:t>
            </w:r>
            <w:r>
              <w:rPr>
                <w:rFonts w:hint="eastAsia" w:ascii="Times New Roman" w:hAnsi="Times New Roman" w:eastAsia="宋体" w:cs="Times New Roman"/>
                <w:b w:val="0"/>
                <w:bCs w:val="0"/>
                <w:color w:val="auto"/>
                <w:sz w:val="21"/>
                <w:szCs w:val="21"/>
                <w:vertAlign w:val="baseline"/>
                <w:lang w:val="en-US" w:eastAsia="zh-CN"/>
              </w:rPr>
              <w:t>为</w:t>
            </w:r>
            <w:r>
              <w:rPr>
                <w:rFonts w:hint="eastAsia" w:ascii="Times New Roman" w:hAnsi="Times New Roman" w:cs="Times New Roman"/>
                <w:b w:val="0"/>
                <w:bCs w:val="0"/>
                <w:color w:val="auto"/>
                <w:sz w:val="21"/>
                <w:szCs w:val="21"/>
                <w:vertAlign w:val="baseline"/>
                <w:lang w:val="en-US" w:eastAsia="zh-CN"/>
              </w:rPr>
              <w:t>3</w:t>
            </w:r>
            <w:r>
              <w:rPr>
                <w:rFonts w:hint="eastAsia" w:ascii="Times New Roman" w:hAnsi="Times New Roman" w:eastAsia="宋体" w:cs="Times New Roman"/>
                <w:b w:val="0"/>
                <w:bCs w:val="0"/>
                <w:color w:val="auto"/>
                <w:sz w:val="21"/>
                <w:szCs w:val="21"/>
                <w:vertAlign w:val="baseline"/>
                <w:lang w:val="en-US" w:eastAsia="zh-CN"/>
              </w:rPr>
              <w:t>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cs="Times New Roman"/>
                <w:b w:val="0"/>
                <w:bCs w:val="0"/>
                <w:color w:val="auto"/>
                <w:sz w:val="21"/>
                <w:szCs w:val="21"/>
                <w:vertAlign w:val="baseline"/>
                <w:lang w:val="en-US" w:eastAsia="zh-CN"/>
              </w:rPr>
              <w:t>，氮氧化物检出限为3</w:t>
            </w:r>
            <w:r>
              <w:rPr>
                <w:rFonts w:hint="eastAsia" w:ascii="Times New Roman" w:hAnsi="Times New Roman" w:eastAsia="宋体" w:cs="Times New Roman"/>
                <w:b w:val="0"/>
                <w:bCs w:val="0"/>
                <w:color w:val="auto"/>
                <w:sz w:val="21"/>
                <w:szCs w:val="21"/>
                <w:vertAlign w:val="baseline"/>
                <w:lang w:val="en-US" w:eastAsia="zh-CN"/>
              </w:rPr>
              <w:t>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cs="Times New Roman"/>
                <w:b w:val="0"/>
                <w:bCs w:val="0"/>
                <w:color w:val="auto"/>
                <w:sz w:val="21"/>
                <w:szCs w:val="21"/>
                <w:vertAlign w:val="baseline"/>
                <w:lang w:val="en-US" w:eastAsia="zh-CN"/>
              </w:rPr>
              <w:t>。</w:t>
            </w:r>
          </w:p>
        </w:tc>
      </w:tr>
    </w:tbl>
    <w:p>
      <w:pPr>
        <w:ind w:left="0" w:leftChars="0" w:firstLine="0" w:firstLineChars="0"/>
        <w:outlineLvl w:val="9"/>
        <w:rPr>
          <w:rFonts w:hint="default" w:ascii="Times New Roman" w:hAnsi="Times New Roman" w:eastAsia="宋体" w:cs="Times New Roman"/>
          <w:b/>
          <w:bCs/>
          <w:color w:val="auto"/>
          <w:sz w:val="28"/>
          <w:szCs w:val="28"/>
          <w:lang w:val="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8" w:hRule="atLeast"/>
        </w:trPr>
        <w:tc>
          <w:tcPr>
            <w:tcW w:w="5000" w:type="pct"/>
          </w:tcPr>
          <w:p>
            <w:pPr>
              <w:rPr>
                <w:rFonts w:hint="default" w:ascii="Times New Roman" w:hAnsi="Times New Roman" w:eastAsia="宋体" w:cs="Times New Roman"/>
                <w:b/>
                <w:bCs/>
                <w:color w:val="auto"/>
              </w:rPr>
            </w:pPr>
            <w:r>
              <w:rPr>
                <w:rFonts w:hint="eastAsia" w:ascii="Times New Roman" w:hAnsi="Times New Roman" w:cs="Times New Roman"/>
                <w:b/>
                <w:bCs/>
                <w:color w:val="auto"/>
                <w:lang w:val="en-US" w:eastAsia="zh-CN"/>
              </w:rPr>
              <w:t>续</w:t>
            </w:r>
            <w:r>
              <w:rPr>
                <w:rFonts w:hint="default" w:ascii="Times New Roman" w:hAnsi="Times New Roman" w:eastAsia="宋体" w:cs="Times New Roman"/>
                <w:b/>
                <w:bCs/>
                <w:color w:val="auto"/>
                <w:lang w:eastAsia="zh-CN"/>
              </w:rPr>
              <w:t>表</w:t>
            </w:r>
            <w:r>
              <w:rPr>
                <w:rFonts w:hint="default" w:ascii="Times New Roman" w:hAnsi="Times New Roman" w:eastAsia="宋体" w:cs="Times New Roman"/>
                <w:b/>
                <w:bCs/>
                <w:color w:val="auto"/>
                <w:lang w:val="en-US" w:eastAsia="zh-CN"/>
              </w:rPr>
              <w:t>8-</w:t>
            </w:r>
            <w:r>
              <w:rPr>
                <w:rFonts w:hint="eastAsia" w:ascii="Times New Roman" w:hAnsi="Times New Roman" w:cs="Times New Roman"/>
                <w:b/>
                <w:bCs/>
                <w:color w:val="auto"/>
                <w:lang w:val="en-US" w:eastAsia="zh-CN"/>
              </w:rPr>
              <w:t>3</w:t>
            </w:r>
          </w:p>
          <w:tbl>
            <w:tblPr>
              <w:tblStyle w:val="16"/>
              <w:tblW w:w="5000" w:type="pct"/>
              <w:jc w:val="center"/>
              <w:tblLayout w:type="autofit"/>
              <w:tblCellMar>
                <w:top w:w="0" w:type="dxa"/>
                <w:left w:w="0" w:type="dxa"/>
                <w:bottom w:w="0" w:type="dxa"/>
                <w:right w:w="0" w:type="dxa"/>
              </w:tblCellMar>
            </w:tblPr>
            <w:tblGrid>
              <w:gridCol w:w="2084"/>
              <w:gridCol w:w="1091"/>
              <w:gridCol w:w="1092"/>
              <w:gridCol w:w="1072"/>
              <w:gridCol w:w="1011"/>
              <w:gridCol w:w="1301"/>
              <w:gridCol w:w="1075"/>
              <w:gridCol w:w="983"/>
              <w:gridCol w:w="1005"/>
              <w:gridCol w:w="1214"/>
              <w:gridCol w:w="944"/>
              <w:gridCol w:w="1086"/>
            </w:tblGrid>
            <w:tr>
              <w:tblPrEx>
                <w:tblCellMar>
                  <w:top w:w="0" w:type="dxa"/>
                  <w:left w:w="0" w:type="dxa"/>
                  <w:bottom w:w="0" w:type="dxa"/>
                  <w:right w:w="0" w:type="dxa"/>
                </w:tblCellMar>
              </w:tblPrEx>
              <w:trPr>
                <w:trHeight w:val="403" w:hRule="atLeast"/>
                <w:jc w:val="center"/>
              </w:trPr>
              <w:tc>
                <w:tcPr>
                  <w:tcW w:w="1138"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时间</w:t>
                  </w:r>
                </w:p>
              </w:tc>
              <w:tc>
                <w:tcPr>
                  <w:tcW w:w="1603"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6/8</w:t>
                  </w:r>
                </w:p>
              </w:tc>
              <w:tc>
                <w:tcPr>
                  <w:tcW w:w="1532"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6/16</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113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点位</w:t>
                  </w:r>
                </w:p>
              </w:tc>
              <w:tc>
                <w:tcPr>
                  <w:tcW w:w="3861" w:type="pct"/>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一期101车间电镀B线出口Q</w:t>
                  </w:r>
                  <w:r>
                    <w:rPr>
                      <w:rFonts w:hint="eastAsia" w:ascii="Times New Roman" w:hAnsi="Times New Roman" w:eastAsia="宋体" w:cs="Times New Roman"/>
                      <w:b/>
                      <w:bCs/>
                      <w:color w:val="auto"/>
                      <w:kern w:val="0"/>
                      <w:sz w:val="21"/>
                      <w:szCs w:val="21"/>
                      <w:lang w:val="en-US" w:eastAsia="zh-CN" w:bidi="ar-SA"/>
                    </w:rPr>
                    <w:t>6</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项    目</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单位</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标准限值</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达标情况</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烟气标干流量</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m³/h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1736</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1860</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1817</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average(D11:F11)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1804</w:t>
                  </w:r>
                  <w:r>
                    <w:rPr>
                      <w:rFonts w:hint="default" w:ascii="Times New Roman" w:hAnsi="Times New Roman" w:eastAsia="宋体" w:cs="Times New Roman"/>
                      <w:color w:val="auto"/>
                      <w:kern w:val="2"/>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1802</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1694</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1797</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average(D11:F11)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1764</w:t>
                  </w:r>
                  <w:r>
                    <w:rPr>
                      <w:rFonts w:hint="default" w:ascii="Times New Roman" w:hAnsi="Times New Roman" w:eastAsia="宋体" w:cs="Times New Roman"/>
                      <w:color w:val="auto"/>
                      <w:kern w:val="2"/>
                      <w:sz w:val="21"/>
                      <w:szCs w:val="21"/>
                      <w:lang w:val="en-US" w:eastAsia="zh-CN" w:bidi="ar-SA"/>
                    </w:rPr>
                    <w:fldChar w:fldCharType="end"/>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90"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含氧量</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16.5</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16.4</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16.7</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average(D12:F12)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16.5</w:t>
                  </w:r>
                  <w:r>
                    <w:rPr>
                      <w:rFonts w:hint="default" w:ascii="Times New Roman" w:hAnsi="Times New Roman" w:eastAsia="宋体" w:cs="Times New Roman"/>
                      <w:color w:val="auto"/>
                      <w:kern w:val="2"/>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16.3</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16.5</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16.5</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average(D12:F12)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16.4</w:t>
                  </w:r>
                  <w:r>
                    <w:rPr>
                      <w:rFonts w:hint="default" w:ascii="Times New Roman" w:hAnsi="Times New Roman" w:eastAsia="宋体" w:cs="Times New Roman"/>
                      <w:color w:val="auto"/>
                      <w:kern w:val="2"/>
                      <w:sz w:val="21"/>
                      <w:szCs w:val="21"/>
                      <w:lang w:val="en-US" w:eastAsia="zh-CN" w:bidi="ar-SA"/>
                    </w:rPr>
                    <w:fldChar w:fldCharType="end"/>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average(D13:F13)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1.9</w:t>
                  </w:r>
                  <w:r>
                    <w:rPr>
                      <w:rFonts w:hint="default" w:ascii="Times New Roman" w:hAnsi="Times New Roman" w:eastAsia="宋体" w:cs="Times New Roman"/>
                      <w:color w:val="auto"/>
                      <w:kern w:val="2"/>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6.4 </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4.2 </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5.0 </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5.1 </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5.6 </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4.5 </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4.8 </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5.0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4.17×10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2.98×10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3.27×10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3.43×10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3.96×10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2.88×10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3.23×10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3.35×10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80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16 </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16 </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16 </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8 </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 </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11 </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10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180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1.04×10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1.12×10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9.09×10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1.08×10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5.41×10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8.47×10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7.19×10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7.06×10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bl>
          <w:p>
            <w:pPr>
              <w:pStyle w:val="19"/>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注：ND表示未检出，二氧化硫检出限</w:t>
            </w:r>
            <w:r>
              <w:rPr>
                <w:rFonts w:hint="eastAsia" w:ascii="Times New Roman" w:hAnsi="Times New Roman" w:eastAsia="宋体" w:cs="Times New Roman"/>
                <w:b w:val="0"/>
                <w:bCs w:val="0"/>
                <w:color w:val="auto"/>
                <w:sz w:val="21"/>
                <w:szCs w:val="21"/>
                <w:vertAlign w:val="baseline"/>
                <w:lang w:val="en-US" w:eastAsia="zh-CN"/>
              </w:rPr>
              <w:t>为</w:t>
            </w:r>
            <w:r>
              <w:rPr>
                <w:rFonts w:hint="eastAsia" w:ascii="Times New Roman" w:hAnsi="Times New Roman" w:cs="Times New Roman"/>
                <w:b w:val="0"/>
                <w:bCs w:val="0"/>
                <w:color w:val="auto"/>
                <w:sz w:val="21"/>
                <w:szCs w:val="21"/>
                <w:vertAlign w:val="baseline"/>
                <w:lang w:val="en-US" w:eastAsia="zh-CN"/>
              </w:rPr>
              <w:t>3</w:t>
            </w:r>
            <w:r>
              <w:rPr>
                <w:rFonts w:hint="eastAsia" w:ascii="Times New Roman" w:hAnsi="Times New Roman" w:eastAsia="宋体" w:cs="Times New Roman"/>
                <w:b w:val="0"/>
                <w:bCs w:val="0"/>
                <w:color w:val="auto"/>
                <w:sz w:val="21"/>
                <w:szCs w:val="21"/>
                <w:vertAlign w:val="baseline"/>
                <w:lang w:val="en-US" w:eastAsia="zh-CN"/>
              </w:rPr>
              <w:t>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cs="Times New Roman"/>
                <w:b w:val="0"/>
                <w:bCs w:val="0"/>
                <w:color w:val="auto"/>
                <w:sz w:val="21"/>
                <w:szCs w:val="21"/>
                <w:vertAlign w:val="baseline"/>
                <w:lang w:val="en-US" w:eastAsia="zh-CN"/>
              </w:rPr>
              <w:t>，氮氧化物检出限为3</w:t>
            </w:r>
            <w:r>
              <w:rPr>
                <w:rFonts w:hint="eastAsia" w:ascii="Times New Roman" w:hAnsi="Times New Roman" w:eastAsia="宋体" w:cs="Times New Roman"/>
                <w:b w:val="0"/>
                <w:bCs w:val="0"/>
                <w:color w:val="auto"/>
                <w:sz w:val="21"/>
                <w:szCs w:val="21"/>
                <w:vertAlign w:val="baseline"/>
                <w:lang w:val="en-US" w:eastAsia="zh-CN"/>
              </w:rPr>
              <w:t>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w:t>
            </w:r>
          </w:p>
          <w:p>
            <w:pPr>
              <w:rPr>
                <w:rFonts w:hint="eastAsia" w:ascii="Times New Roman" w:hAnsi="Times New Roman" w:eastAsia="宋体" w:cs="Times New Roman"/>
                <w:b w:val="0"/>
                <w:bCs w:val="0"/>
                <w:color w:val="auto"/>
                <w:sz w:val="21"/>
                <w:szCs w:val="21"/>
                <w:vertAlign w:val="baseline"/>
                <w:lang w:val="en-US" w:eastAsia="zh-CN"/>
              </w:rPr>
            </w:pPr>
          </w:p>
          <w:p>
            <w:pPr>
              <w:rPr>
                <w:rFonts w:hint="default" w:ascii="Times New Roman" w:hAnsi="Times New Roman" w:eastAsia="宋体" w:cs="Times New Roman"/>
                <w:b/>
                <w:bCs/>
                <w:color w:val="auto"/>
              </w:rPr>
            </w:pPr>
            <w:r>
              <w:rPr>
                <w:rFonts w:hint="eastAsia" w:ascii="Times New Roman" w:hAnsi="Times New Roman" w:cs="Times New Roman"/>
                <w:b/>
                <w:bCs/>
                <w:color w:val="auto"/>
                <w:lang w:val="en-US" w:eastAsia="zh-CN"/>
              </w:rPr>
              <w:t>续</w:t>
            </w:r>
            <w:r>
              <w:rPr>
                <w:rFonts w:hint="default" w:ascii="Times New Roman" w:hAnsi="Times New Roman" w:eastAsia="宋体" w:cs="Times New Roman"/>
                <w:b/>
                <w:bCs/>
                <w:color w:val="auto"/>
                <w:lang w:eastAsia="zh-CN"/>
              </w:rPr>
              <w:t>表</w:t>
            </w:r>
            <w:r>
              <w:rPr>
                <w:rFonts w:hint="default" w:ascii="Times New Roman" w:hAnsi="Times New Roman" w:eastAsia="宋体" w:cs="Times New Roman"/>
                <w:b/>
                <w:bCs/>
                <w:color w:val="auto"/>
                <w:lang w:val="en-US" w:eastAsia="zh-CN"/>
              </w:rPr>
              <w:t>8-</w:t>
            </w:r>
            <w:r>
              <w:rPr>
                <w:rFonts w:hint="eastAsia" w:ascii="Times New Roman" w:hAnsi="Times New Roman" w:cs="Times New Roman"/>
                <w:b/>
                <w:bCs/>
                <w:color w:val="auto"/>
                <w:lang w:val="en-US" w:eastAsia="zh-CN"/>
              </w:rPr>
              <w:t>3</w:t>
            </w:r>
          </w:p>
          <w:tbl>
            <w:tblPr>
              <w:tblStyle w:val="16"/>
              <w:tblW w:w="5000" w:type="pct"/>
              <w:jc w:val="center"/>
              <w:tblLayout w:type="autofit"/>
              <w:tblCellMar>
                <w:top w:w="0" w:type="dxa"/>
                <w:left w:w="0" w:type="dxa"/>
                <w:bottom w:w="0" w:type="dxa"/>
                <w:right w:w="0" w:type="dxa"/>
              </w:tblCellMar>
            </w:tblPr>
            <w:tblGrid>
              <w:gridCol w:w="2084"/>
              <w:gridCol w:w="1091"/>
              <w:gridCol w:w="1092"/>
              <w:gridCol w:w="1072"/>
              <w:gridCol w:w="1011"/>
              <w:gridCol w:w="1301"/>
              <w:gridCol w:w="1075"/>
              <w:gridCol w:w="983"/>
              <w:gridCol w:w="1005"/>
              <w:gridCol w:w="1214"/>
              <w:gridCol w:w="944"/>
              <w:gridCol w:w="1086"/>
            </w:tblGrid>
            <w:tr>
              <w:tblPrEx>
                <w:tblCellMar>
                  <w:top w:w="0" w:type="dxa"/>
                  <w:left w:w="0" w:type="dxa"/>
                  <w:bottom w:w="0" w:type="dxa"/>
                  <w:right w:w="0" w:type="dxa"/>
                </w:tblCellMar>
              </w:tblPrEx>
              <w:trPr>
                <w:trHeight w:val="403" w:hRule="atLeast"/>
                <w:jc w:val="center"/>
              </w:trPr>
              <w:tc>
                <w:tcPr>
                  <w:tcW w:w="1138"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时间</w:t>
                  </w:r>
                </w:p>
              </w:tc>
              <w:tc>
                <w:tcPr>
                  <w:tcW w:w="1603"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6/8</w:t>
                  </w:r>
                </w:p>
              </w:tc>
              <w:tc>
                <w:tcPr>
                  <w:tcW w:w="1532"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113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点位</w:t>
                  </w:r>
                </w:p>
              </w:tc>
              <w:tc>
                <w:tcPr>
                  <w:tcW w:w="3861" w:type="pct"/>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201电镀C线加热炉排放口FQ035</w:t>
                  </w:r>
                  <w:r>
                    <w:rPr>
                      <w:rFonts w:hint="eastAsia" w:ascii="Times New Roman" w:hAnsi="Times New Roman" w:eastAsia="宋体" w:cs="Times New Roman"/>
                      <w:b/>
                      <w:bCs/>
                      <w:color w:val="auto"/>
                      <w:kern w:val="0"/>
                      <w:sz w:val="21"/>
                      <w:szCs w:val="21"/>
                      <w:lang w:val="en-US" w:eastAsia="zh-CN" w:bidi="ar-SA"/>
                    </w:rPr>
                    <w:t xml:space="preserve">  </w:t>
                  </w:r>
                  <w:r>
                    <w:rPr>
                      <w:rFonts w:hint="default" w:ascii="Times New Roman" w:hAnsi="Times New Roman" w:eastAsia="宋体" w:cs="Times New Roman"/>
                      <w:b/>
                      <w:bCs/>
                      <w:color w:val="auto"/>
                      <w:kern w:val="0"/>
                      <w:sz w:val="21"/>
                      <w:szCs w:val="21"/>
                      <w:lang w:val="en-US" w:eastAsia="zh-CN" w:bidi="ar-SA"/>
                    </w:rPr>
                    <w:t>Q</w:t>
                  </w:r>
                  <w:r>
                    <w:rPr>
                      <w:rFonts w:hint="eastAsia" w:ascii="Times New Roman" w:hAnsi="Times New Roman" w:eastAsia="宋体" w:cs="Times New Roman"/>
                      <w:b/>
                      <w:bCs/>
                      <w:color w:val="auto"/>
                      <w:kern w:val="0"/>
                      <w:sz w:val="21"/>
                      <w:szCs w:val="21"/>
                      <w:lang w:val="en-US" w:eastAsia="zh-CN" w:bidi="ar-SA"/>
                    </w:rPr>
                    <w:t>7</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项    目</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单位</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标准限值</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达标情况</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烟气标干流量</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m³/h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2016</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1914</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2007</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average(D11:F11)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1979</w:t>
                  </w:r>
                  <w:r>
                    <w:rPr>
                      <w:rFonts w:hint="default" w:ascii="Times New Roman" w:hAnsi="Times New Roman" w:eastAsia="宋体" w:cs="Times New Roman"/>
                      <w:color w:val="auto"/>
                      <w:kern w:val="2"/>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2636</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2657</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2667</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average(D11:F11)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2653</w:t>
                  </w:r>
                  <w:r>
                    <w:rPr>
                      <w:rFonts w:hint="default" w:ascii="Times New Roman" w:hAnsi="Times New Roman" w:eastAsia="宋体" w:cs="Times New Roman"/>
                      <w:color w:val="auto"/>
                      <w:kern w:val="2"/>
                      <w:sz w:val="21"/>
                      <w:szCs w:val="21"/>
                      <w:lang w:val="en-US" w:eastAsia="zh-CN" w:bidi="ar-SA"/>
                    </w:rPr>
                    <w:fldChar w:fldCharType="end"/>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90"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含氧量</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18.4</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18.4</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18.4</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average(D12:F12)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18.4</w:t>
                  </w:r>
                  <w:r>
                    <w:rPr>
                      <w:rFonts w:hint="default" w:ascii="Times New Roman" w:hAnsi="Times New Roman" w:eastAsia="宋体" w:cs="Times New Roman"/>
                      <w:color w:val="auto"/>
                      <w:kern w:val="2"/>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15.5</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16.9</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16.1</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average(D12:F12)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16.</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fldChar w:fldCharType="end"/>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average(D13:F13)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7</w:t>
                  </w:r>
                  <w:r>
                    <w:rPr>
                      <w:rFonts w:hint="default" w:ascii="Times New Roman" w:hAnsi="Times New Roman" w:eastAsia="宋体" w:cs="Times New Roman"/>
                      <w:color w:val="auto"/>
                      <w:kern w:val="2"/>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7.4 </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6.9 </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8.8 </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7.8 </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3.9 </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5.0 </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3.9 </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4.3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3.23×10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2.87×10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3.81×10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3.36×10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4.74×10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4.52×10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4.27×10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4.51×10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80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28 </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23 </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23 </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23 </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11 </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15 </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180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1.21×10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9.57×10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9.90×10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1.32×10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1.06×10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1.60×10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1.33×10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bl>
          <w:p>
            <w:pPr>
              <w:pStyle w:val="19"/>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注：ND表示未检出，二氧化硫检出限</w:t>
            </w:r>
            <w:r>
              <w:rPr>
                <w:rFonts w:hint="eastAsia" w:ascii="Times New Roman" w:hAnsi="Times New Roman" w:eastAsia="宋体" w:cs="Times New Roman"/>
                <w:b w:val="0"/>
                <w:bCs w:val="0"/>
                <w:color w:val="auto"/>
                <w:sz w:val="21"/>
                <w:szCs w:val="21"/>
                <w:vertAlign w:val="baseline"/>
                <w:lang w:val="en-US" w:eastAsia="zh-CN"/>
              </w:rPr>
              <w:t>为</w:t>
            </w:r>
            <w:r>
              <w:rPr>
                <w:rFonts w:hint="eastAsia" w:ascii="Times New Roman" w:hAnsi="Times New Roman" w:cs="Times New Roman"/>
                <w:b w:val="0"/>
                <w:bCs w:val="0"/>
                <w:color w:val="auto"/>
                <w:sz w:val="21"/>
                <w:szCs w:val="21"/>
                <w:vertAlign w:val="baseline"/>
                <w:lang w:val="en-US" w:eastAsia="zh-CN"/>
              </w:rPr>
              <w:t>3</w:t>
            </w:r>
            <w:r>
              <w:rPr>
                <w:rFonts w:hint="eastAsia" w:ascii="Times New Roman" w:hAnsi="Times New Roman" w:eastAsia="宋体" w:cs="Times New Roman"/>
                <w:b w:val="0"/>
                <w:bCs w:val="0"/>
                <w:color w:val="auto"/>
                <w:sz w:val="21"/>
                <w:szCs w:val="21"/>
                <w:vertAlign w:val="baseline"/>
                <w:lang w:val="en-US" w:eastAsia="zh-CN"/>
              </w:rPr>
              <w:t>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cs="Times New Roman"/>
                <w:b w:val="0"/>
                <w:bCs w:val="0"/>
                <w:color w:val="auto"/>
                <w:sz w:val="21"/>
                <w:szCs w:val="21"/>
                <w:vertAlign w:val="baseline"/>
                <w:lang w:val="en-US" w:eastAsia="zh-CN"/>
              </w:rPr>
              <w:t>，氮氧化物检出限为3</w:t>
            </w:r>
            <w:r>
              <w:rPr>
                <w:rFonts w:hint="eastAsia" w:ascii="Times New Roman" w:hAnsi="Times New Roman" w:eastAsia="宋体" w:cs="Times New Roman"/>
                <w:b w:val="0"/>
                <w:bCs w:val="0"/>
                <w:color w:val="auto"/>
                <w:sz w:val="21"/>
                <w:szCs w:val="21"/>
                <w:vertAlign w:val="baseline"/>
                <w:lang w:val="en-US" w:eastAsia="zh-CN"/>
              </w:rPr>
              <w:t>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w:t>
            </w:r>
          </w:p>
          <w:p>
            <w:pPr>
              <w:rPr>
                <w:rFonts w:hint="eastAsia" w:ascii="Times New Roman" w:hAnsi="Times New Roman" w:cs="Times New Roman"/>
                <w:b/>
                <w:bCs/>
                <w:color w:val="auto"/>
                <w:lang w:val="en-US" w:eastAsia="zh-CN"/>
              </w:rPr>
            </w:pPr>
          </w:p>
          <w:p>
            <w:pPr>
              <w:rPr>
                <w:rFonts w:hint="default" w:ascii="Times New Roman" w:hAnsi="Times New Roman" w:eastAsia="宋体" w:cs="Times New Roman"/>
                <w:b/>
                <w:bCs/>
                <w:color w:val="auto"/>
              </w:rPr>
            </w:pPr>
            <w:r>
              <w:rPr>
                <w:rFonts w:hint="eastAsia" w:ascii="Times New Roman" w:hAnsi="Times New Roman" w:cs="Times New Roman"/>
                <w:b/>
                <w:bCs/>
                <w:color w:val="auto"/>
                <w:lang w:val="en-US" w:eastAsia="zh-CN"/>
              </w:rPr>
              <w:t>续</w:t>
            </w:r>
            <w:r>
              <w:rPr>
                <w:rFonts w:hint="default" w:ascii="Times New Roman" w:hAnsi="Times New Roman" w:eastAsia="宋体" w:cs="Times New Roman"/>
                <w:b/>
                <w:bCs/>
                <w:color w:val="auto"/>
                <w:lang w:eastAsia="zh-CN"/>
              </w:rPr>
              <w:t>表</w:t>
            </w:r>
            <w:r>
              <w:rPr>
                <w:rFonts w:hint="default" w:ascii="Times New Roman" w:hAnsi="Times New Roman" w:eastAsia="宋体" w:cs="Times New Roman"/>
                <w:b/>
                <w:bCs/>
                <w:color w:val="auto"/>
                <w:lang w:val="en-US" w:eastAsia="zh-CN"/>
              </w:rPr>
              <w:t>8-</w:t>
            </w:r>
            <w:r>
              <w:rPr>
                <w:rFonts w:hint="eastAsia" w:ascii="Times New Roman" w:hAnsi="Times New Roman" w:cs="Times New Roman"/>
                <w:b/>
                <w:bCs/>
                <w:color w:val="auto"/>
                <w:lang w:val="en-US" w:eastAsia="zh-CN"/>
              </w:rPr>
              <w:t>3</w:t>
            </w:r>
          </w:p>
          <w:tbl>
            <w:tblPr>
              <w:tblStyle w:val="16"/>
              <w:tblW w:w="5000" w:type="pct"/>
              <w:jc w:val="center"/>
              <w:tblLayout w:type="autofit"/>
              <w:tblCellMar>
                <w:top w:w="0" w:type="dxa"/>
                <w:left w:w="0" w:type="dxa"/>
                <w:bottom w:w="0" w:type="dxa"/>
                <w:right w:w="0" w:type="dxa"/>
              </w:tblCellMar>
            </w:tblPr>
            <w:tblGrid>
              <w:gridCol w:w="2084"/>
              <w:gridCol w:w="1091"/>
              <w:gridCol w:w="1092"/>
              <w:gridCol w:w="1072"/>
              <w:gridCol w:w="1011"/>
              <w:gridCol w:w="1301"/>
              <w:gridCol w:w="1075"/>
              <w:gridCol w:w="983"/>
              <w:gridCol w:w="1005"/>
              <w:gridCol w:w="1214"/>
              <w:gridCol w:w="944"/>
              <w:gridCol w:w="1086"/>
            </w:tblGrid>
            <w:tr>
              <w:tblPrEx>
                <w:tblCellMar>
                  <w:top w:w="0" w:type="dxa"/>
                  <w:left w:w="0" w:type="dxa"/>
                  <w:bottom w:w="0" w:type="dxa"/>
                  <w:right w:w="0" w:type="dxa"/>
                </w:tblCellMar>
              </w:tblPrEx>
              <w:trPr>
                <w:trHeight w:val="403" w:hRule="atLeast"/>
                <w:jc w:val="center"/>
              </w:trPr>
              <w:tc>
                <w:tcPr>
                  <w:tcW w:w="1138"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时间</w:t>
                  </w:r>
                </w:p>
              </w:tc>
              <w:tc>
                <w:tcPr>
                  <w:tcW w:w="1603"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6/8</w:t>
                  </w:r>
                </w:p>
              </w:tc>
              <w:tc>
                <w:tcPr>
                  <w:tcW w:w="1532"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113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点位</w:t>
                  </w:r>
                </w:p>
              </w:tc>
              <w:tc>
                <w:tcPr>
                  <w:tcW w:w="3861" w:type="pct"/>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201 电镀D线加热炉排放口FQ036</w:t>
                  </w:r>
                  <w:r>
                    <w:rPr>
                      <w:rFonts w:hint="eastAsia" w:ascii="Times New Roman" w:hAnsi="Times New Roman" w:eastAsia="宋体" w:cs="Times New Roman"/>
                      <w:b/>
                      <w:bCs/>
                      <w:color w:val="auto"/>
                      <w:kern w:val="0"/>
                      <w:sz w:val="21"/>
                      <w:szCs w:val="21"/>
                      <w:lang w:val="en-US" w:eastAsia="zh-CN" w:bidi="ar-SA"/>
                    </w:rPr>
                    <w:t xml:space="preserve">  </w:t>
                  </w:r>
                  <w:r>
                    <w:rPr>
                      <w:rFonts w:hint="default" w:ascii="Times New Roman" w:hAnsi="Times New Roman" w:eastAsia="宋体" w:cs="Times New Roman"/>
                      <w:b/>
                      <w:bCs/>
                      <w:color w:val="auto"/>
                      <w:kern w:val="0"/>
                      <w:sz w:val="21"/>
                      <w:szCs w:val="21"/>
                      <w:lang w:val="en-US" w:eastAsia="zh-CN" w:bidi="ar-SA"/>
                    </w:rPr>
                    <w:t>Q</w:t>
                  </w:r>
                  <w:r>
                    <w:rPr>
                      <w:rFonts w:hint="eastAsia" w:ascii="Times New Roman" w:hAnsi="Times New Roman" w:eastAsia="宋体" w:cs="Times New Roman"/>
                      <w:b/>
                      <w:bCs/>
                      <w:color w:val="auto"/>
                      <w:kern w:val="0"/>
                      <w:sz w:val="21"/>
                      <w:szCs w:val="21"/>
                      <w:lang w:val="en-US" w:eastAsia="zh-CN" w:bidi="ar-SA"/>
                    </w:rPr>
                    <w:t>8</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项    目</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单位</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标准限值</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达标情况</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烟气标干流量</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m³/h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2610</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2648</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2595</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average(D11:F11)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261</w:t>
                  </w:r>
                  <w:r>
                    <w:rPr>
                      <w:rFonts w:hint="eastAsia" w:ascii="Times New Roman" w:hAnsi="Times New Roman" w:eastAsia="宋体" w:cs="Times New Roman"/>
                      <w:color w:val="auto"/>
                      <w:kern w:val="2"/>
                      <w:sz w:val="21"/>
                      <w:szCs w:val="21"/>
                      <w:lang w:val="en-US" w:eastAsia="zh-CN" w:bidi="ar-SA"/>
                    </w:rPr>
                    <w:t>8</w:t>
                  </w:r>
                  <w:r>
                    <w:rPr>
                      <w:rFonts w:hint="default" w:ascii="Times New Roman" w:hAnsi="Times New Roman" w:eastAsia="宋体" w:cs="Times New Roman"/>
                      <w:color w:val="auto"/>
                      <w:kern w:val="2"/>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2598</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2446</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2515</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average(D11:F11)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25</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fldChar w:fldCharType="end"/>
                  </w:r>
                  <w:r>
                    <w:rPr>
                      <w:rFonts w:hint="eastAsia" w:ascii="Times New Roman" w:hAnsi="Times New Roman" w:eastAsia="宋体" w:cs="Times New Roman"/>
                      <w:color w:val="auto"/>
                      <w:kern w:val="2"/>
                      <w:sz w:val="21"/>
                      <w:szCs w:val="21"/>
                      <w:lang w:val="en-US" w:eastAsia="zh-CN" w:bidi="ar-SA"/>
                    </w:rPr>
                    <w:t>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90"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含氧量</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15.9</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15.8</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15.8</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15.8</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15.7</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15.8</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15.8</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15.8</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2.2</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average(D13:F13)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9</w:t>
                  </w:r>
                  <w:r>
                    <w:rPr>
                      <w:rFonts w:hint="default" w:ascii="Times New Roman" w:hAnsi="Times New Roman" w:eastAsia="宋体" w:cs="Times New Roman"/>
                      <w:color w:val="auto"/>
                      <w:kern w:val="2"/>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4.0 </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5.1 </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3.9 </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4.4 </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4.1 </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4.4 </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3.9 </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4.2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4.44×10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5.83×10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4.41×10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4.97×10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4.68×10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4.65×10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4.28×10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4.54×10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80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6</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16 </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16 </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180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1.83×10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2.12×10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2.08×10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2.09×10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1.56×10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1.47×10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1.76×10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1.51×10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bl>
          <w:p>
            <w:pP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注：ND表示未检出，二氧化硫检出限</w:t>
            </w:r>
            <w:r>
              <w:rPr>
                <w:rFonts w:hint="eastAsia" w:ascii="Times New Roman" w:hAnsi="Times New Roman" w:eastAsia="宋体" w:cs="Times New Roman"/>
                <w:b w:val="0"/>
                <w:bCs w:val="0"/>
                <w:color w:val="auto"/>
                <w:sz w:val="21"/>
                <w:szCs w:val="21"/>
                <w:vertAlign w:val="baseline"/>
                <w:lang w:val="en-US" w:eastAsia="zh-CN"/>
              </w:rPr>
              <w:t>为</w:t>
            </w:r>
            <w:r>
              <w:rPr>
                <w:rFonts w:hint="eastAsia" w:ascii="Times New Roman" w:hAnsi="Times New Roman" w:cs="Times New Roman"/>
                <w:b w:val="0"/>
                <w:bCs w:val="0"/>
                <w:color w:val="auto"/>
                <w:sz w:val="21"/>
                <w:szCs w:val="21"/>
                <w:vertAlign w:val="baseline"/>
                <w:lang w:val="en-US" w:eastAsia="zh-CN"/>
              </w:rPr>
              <w:t>3</w:t>
            </w:r>
            <w:r>
              <w:rPr>
                <w:rFonts w:hint="eastAsia" w:ascii="Times New Roman" w:hAnsi="Times New Roman" w:eastAsia="宋体" w:cs="Times New Roman"/>
                <w:b w:val="0"/>
                <w:bCs w:val="0"/>
                <w:color w:val="auto"/>
                <w:sz w:val="21"/>
                <w:szCs w:val="21"/>
                <w:vertAlign w:val="baseline"/>
                <w:lang w:val="en-US" w:eastAsia="zh-CN"/>
              </w:rPr>
              <w:t>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cs="Times New Roman"/>
                <w:b w:val="0"/>
                <w:bCs w:val="0"/>
                <w:color w:val="auto"/>
                <w:sz w:val="21"/>
                <w:szCs w:val="21"/>
                <w:vertAlign w:val="baseline"/>
                <w:lang w:val="en-US" w:eastAsia="zh-CN"/>
              </w:rPr>
              <w:t>，氮氧化物检出限为3</w:t>
            </w:r>
            <w:r>
              <w:rPr>
                <w:rFonts w:hint="eastAsia" w:ascii="Times New Roman" w:hAnsi="Times New Roman" w:eastAsia="宋体" w:cs="Times New Roman"/>
                <w:b w:val="0"/>
                <w:bCs w:val="0"/>
                <w:color w:val="auto"/>
                <w:sz w:val="21"/>
                <w:szCs w:val="21"/>
                <w:vertAlign w:val="baseline"/>
                <w:lang w:val="en-US" w:eastAsia="zh-CN"/>
              </w:rPr>
              <w:t>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w:t>
            </w:r>
          </w:p>
          <w:p>
            <w:pPr>
              <w:rPr>
                <w:rFonts w:hint="eastAsia" w:ascii="Times New Roman" w:hAnsi="Times New Roman" w:cs="Times New Roman"/>
                <w:b/>
                <w:bCs/>
                <w:color w:val="auto"/>
                <w:lang w:val="en-US" w:eastAsia="zh-CN"/>
              </w:rPr>
            </w:pPr>
          </w:p>
          <w:p>
            <w:pPr>
              <w:rPr>
                <w:rFonts w:hint="default" w:ascii="Times New Roman" w:hAnsi="Times New Roman" w:eastAsia="宋体" w:cs="Times New Roman"/>
                <w:b/>
                <w:bCs/>
                <w:color w:val="auto"/>
              </w:rPr>
            </w:pPr>
            <w:r>
              <w:rPr>
                <w:rFonts w:hint="eastAsia" w:ascii="Times New Roman" w:hAnsi="Times New Roman" w:cs="Times New Roman"/>
                <w:b/>
                <w:bCs/>
                <w:color w:val="auto"/>
                <w:lang w:val="en-US" w:eastAsia="zh-CN"/>
              </w:rPr>
              <w:t>续</w:t>
            </w:r>
            <w:r>
              <w:rPr>
                <w:rFonts w:hint="default" w:ascii="Times New Roman" w:hAnsi="Times New Roman" w:eastAsia="宋体" w:cs="Times New Roman"/>
                <w:b/>
                <w:bCs/>
                <w:color w:val="auto"/>
                <w:lang w:eastAsia="zh-CN"/>
              </w:rPr>
              <w:t>表</w:t>
            </w:r>
            <w:r>
              <w:rPr>
                <w:rFonts w:hint="default" w:ascii="Times New Roman" w:hAnsi="Times New Roman" w:eastAsia="宋体" w:cs="Times New Roman"/>
                <w:b/>
                <w:bCs/>
                <w:color w:val="auto"/>
                <w:lang w:val="en-US" w:eastAsia="zh-CN"/>
              </w:rPr>
              <w:t>8-</w:t>
            </w:r>
            <w:r>
              <w:rPr>
                <w:rFonts w:hint="eastAsia" w:ascii="Times New Roman" w:hAnsi="Times New Roman" w:cs="Times New Roman"/>
                <w:b/>
                <w:bCs/>
                <w:color w:val="auto"/>
                <w:lang w:val="en-US" w:eastAsia="zh-CN"/>
              </w:rPr>
              <w:t>3</w:t>
            </w:r>
          </w:p>
          <w:tbl>
            <w:tblPr>
              <w:tblStyle w:val="16"/>
              <w:tblW w:w="5000" w:type="pct"/>
              <w:jc w:val="center"/>
              <w:tblLayout w:type="autofit"/>
              <w:tblCellMar>
                <w:top w:w="0" w:type="dxa"/>
                <w:left w:w="0" w:type="dxa"/>
                <w:bottom w:w="0" w:type="dxa"/>
                <w:right w:w="0" w:type="dxa"/>
              </w:tblCellMar>
            </w:tblPr>
            <w:tblGrid>
              <w:gridCol w:w="2084"/>
              <w:gridCol w:w="1091"/>
              <w:gridCol w:w="1092"/>
              <w:gridCol w:w="1072"/>
              <w:gridCol w:w="1011"/>
              <w:gridCol w:w="1301"/>
              <w:gridCol w:w="1075"/>
              <w:gridCol w:w="983"/>
              <w:gridCol w:w="1005"/>
              <w:gridCol w:w="1214"/>
              <w:gridCol w:w="944"/>
              <w:gridCol w:w="1086"/>
            </w:tblGrid>
            <w:tr>
              <w:tblPrEx>
                <w:tblCellMar>
                  <w:top w:w="0" w:type="dxa"/>
                  <w:left w:w="0" w:type="dxa"/>
                  <w:bottom w:w="0" w:type="dxa"/>
                  <w:right w:w="0" w:type="dxa"/>
                </w:tblCellMar>
              </w:tblPrEx>
              <w:trPr>
                <w:trHeight w:val="403" w:hRule="atLeast"/>
                <w:jc w:val="center"/>
              </w:trPr>
              <w:tc>
                <w:tcPr>
                  <w:tcW w:w="1138"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时间</w:t>
                  </w:r>
                </w:p>
              </w:tc>
              <w:tc>
                <w:tcPr>
                  <w:tcW w:w="1603"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6/8</w:t>
                  </w:r>
                </w:p>
              </w:tc>
              <w:tc>
                <w:tcPr>
                  <w:tcW w:w="1532"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113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点位</w:t>
                  </w:r>
                </w:p>
              </w:tc>
              <w:tc>
                <w:tcPr>
                  <w:tcW w:w="3861" w:type="pct"/>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 xml:space="preserve"> 201 电镀E线加热炉排放口FQ037</w:t>
                  </w:r>
                  <w:r>
                    <w:rPr>
                      <w:rFonts w:hint="eastAsia" w:ascii="Times New Roman" w:hAnsi="Times New Roman" w:eastAsia="宋体" w:cs="Times New Roman"/>
                      <w:b/>
                      <w:bCs/>
                      <w:color w:val="auto"/>
                      <w:kern w:val="0"/>
                      <w:sz w:val="21"/>
                      <w:szCs w:val="21"/>
                      <w:lang w:val="en-US" w:eastAsia="zh-CN" w:bidi="ar-SA"/>
                    </w:rPr>
                    <w:t xml:space="preserve">   </w:t>
                  </w:r>
                  <w:r>
                    <w:rPr>
                      <w:rFonts w:hint="default" w:ascii="Times New Roman" w:hAnsi="Times New Roman" w:eastAsia="宋体" w:cs="Times New Roman"/>
                      <w:b/>
                      <w:bCs/>
                      <w:color w:val="auto"/>
                      <w:kern w:val="0"/>
                      <w:sz w:val="21"/>
                      <w:szCs w:val="21"/>
                      <w:lang w:val="en-US" w:eastAsia="zh-CN" w:bidi="ar-SA"/>
                    </w:rPr>
                    <w:t>Q</w:t>
                  </w:r>
                  <w:r>
                    <w:rPr>
                      <w:rFonts w:hint="eastAsia" w:ascii="Times New Roman" w:hAnsi="Times New Roman" w:eastAsia="宋体" w:cs="Times New Roman"/>
                      <w:b/>
                      <w:bCs/>
                      <w:color w:val="auto"/>
                      <w:kern w:val="0"/>
                      <w:sz w:val="21"/>
                      <w:szCs w:val="21"/>
                      <w:lang w:val="en-US" w:eastAsia="zh-CN" w:bidi="ar-SA"/>
                    </w:rPr>
                    <w:t>9</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项    目</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单位</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标准限值</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达标情况</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烟气标干流量</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m³/h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2393</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2435</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2436</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average(D11:F11)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2421</w:t>
                  </w:r>
                  <w:r>
                    <w:rPr>
                      <w:rFonts w:hint="default" w:ascii="Times New Roman" w:hAnsi="Times New Roman" w:eastAsia="宋体" w:cs="Times New Roman"/>
                      <w:color w:val="auto"/>
                      <w:kern w:val="2"/>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2318</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2558</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2533</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average(D11:F11)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24</w:t>
                  </w:r>
                  <w:r>
                    <w:rPr>
                      <w:rFonts w:hint="eastAsia" w:ascii="Times New Roman" w:hAnsi="Times New Roman" w:eastAsia="宋体" w:cs="Times New Roman"/>
                      <w:color w:val="auto"/>
                      <w:kern w:val="2"/>
                      <w:sz w:val="21"/>
                      <w:szCs w:val="21"/>
                      <w:lang w:val="en-US" w:eastAsia="zh-CN" w:bidi="ar-SA"/>
                    </w:rPr>
                    <w:t>7</w:t>
                  </w:r>
                  <w:r>
                    <w:rPr>
                      <w:rFonts w:hint="default" w:ascii="Times New Roman" w:hAnsi="Times New Roman" w:eastAsia="宋体" w:cs="Times New Roman"/>
                      <w:color w:val="auto"/>
                      <w:kern w:val="2"/>
                      <w:sz w:val="21"/>
                      <w:szCs w:val="21"/>
                      <w:lang w:val="en-US" w:eastAsia="zh-CN" w:bidi="ar-SA"/>
                    </w:rPr>
                    <w:fldChar w:fldCharType="end"/>
                  </w:r>
                  <w:r>
                    <w:rPr>
                      <w:rFonts w:hint="eastAsia" w:ascii="Times New Roman" w:hAnsi="Times New Roman" w:eastAsia="宋体" w:cs="Times New Roman"/>
                      <w:color w:val="auto"/>
                      <w:kern w:val="2"/>
                      <w:sz w:val="21"/>
                      <w:szCs w:val="21"/>
                      <w:lang w:val="en-US" w:eastAsia="zh-CN" w:bidi="ar-SA"/>
                    </w:rPr>
                    <w:t>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rPr>
                <w:trHeight w:val="90"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含氧量</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15.7</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16.0</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16.4</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average(D12:F12)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16.0</w:t>
                  </w:r>
                  <w:r>
                    <w:rPr>
                      <w:rFonts w:hint="default" w:ascii="Times New Roman" w:hAnsi="Times New Roman" w:eastAsia="宋体" w:cs="Times New Roman"/>
                      <w:color w:val="auto"/>
                      <w:kern w:val="2"/>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16.1</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16.3</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16.0</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average(D12:F12)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16.1</w:t>
                  </w:r>
                  <w:r>
                    <w:rPr>
                      <w:rFonts w:hint="default" w:ascii="Times New Roman" w:hAnsi="Times New Roman" w:eastAsia="宋体" w:cs="Times New Roman"/>
                      <w:color w:val="auto"/>
                      <w:kern w:val="2"/>
                      <w:sz w:val="21"/>
                      <w:szCs w:val="21"/>
                      <w:lang w:val="en-US" w:eastAsia="zh-CN" w:bidi="ar-SA"/>
                    </w:rPr>
                    <w:fldChar w:fldCharType="end"/>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average(D13:F13)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1.9</w:t>
                  </w:r>
                  <w:r>
                    <w:rPr>
                      <w:rFonts w:hint="default" w:ascii="Times New Roman" w:hAnsi="Times New Roman" w:eastAsia="宋体" w:cs="Times New Roman"/>
                      <w:color w:val="auto"/>
                      <w:kern w:val="2"/>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5.8 </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4.7 </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4.6 </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4.7 </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4.1 </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4.2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3.83×10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5.84×10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4.38×10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4.60×10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4.40×10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4.09×10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3.80×10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4.20×10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80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20 </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19 </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22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180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3.11×10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2.68×10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2.68×10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2.91×10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2.32×10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2.05×10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2.03×10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2.22×10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2</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bl>
          <w:p>
            <w:pPr>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注：ND表示未检出，二氧化硫检出限</w:t>
            </w:r>
            <w:r>
              <w:rPr>
                <w:rFonts w:hint="eastAsia" w:ascii="Times New Roman" w:hAnsi="Times New Roman" w:eastAsia="宋体" w:cs="Times New Roman"/>
                <w:b w:val="0"/>
                <w:bCs w:val="0"/>
                <w:color w:val="auto"/>
                <w:sz w:val="21"/>
                <w:szCs w:val="21"/>
                <w:vertAlign w:val="baseline"/>
                <w:lang w:val="en-US" w:eastAsia="zh-CN"/>
              </w:rPr>
              <w:t>为</w:t>
            </w:r>
            <w:r>
              <w:rPr>
                <w:rFonts w:hint="eastAsia" w:ascii="Times New Roman" w:hAnsi="Times New Roman" w:cs="Times New Roman"/>
                <w:b w:val="0"/>
                <w:bCs w:val="0"/>
                <w:color w:val="auto"/>
                <w:sz w:val="21"/>
                <w:szCs w:val="21"/>
                <w:vertAlign w:val="baseline"/>
                <w:lang w:val="en-US" w:eastAsia="zh-CN"/>
              </w:rPr>
              <w:t>3</w:t>
            </w:r>
            <w:r>
              <w:rPr>
                <w:rFonts w:hint="eastAsia" w:ascii="Times New Roman" w:hAnsi="Times New Roman" w:eastAsia="宋体" w:cs="Times New Roman"/>
                <w:b w:val="0"/>
                <w:bCs w:val="0"/>
                <w:color w:val="auto"/>
                <w:sz w:val="21"/>
                <w:szCs w:val="21"/>
                <w:vertAlign w:val="baseline"/>
                <w:lang w:val="en-US" w:eastAsia="zh-CN"/>
              </w:rPr>
              <w:t>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cs="Times New Roman"/>
                <w:b w:val="0"/>
                <w:bCs w:val="0"/>
                <w:color w:val="auto"/>
                <w:sz w:val="21"/>
                <w:szCs w:val="21"/>
                <w:vertAlign w:val="baseline"/>
                <w:lang w:val="en-US" w:eastAsia="zh-CN"/>
              </w:rPr>
              <w:t>，氮氧化物检出限为3</w:t>
            </w:r>
            <w:r>
              <w:rPr>
                <w:rFonts w:hint="eastAsia" w:ascii="Times New Roman" w:hAnsi="Times New Roman" w:eastAsia="宋体" w:cs="Times New Roman"/>
                <w:b w:val="0"/>
                <w:bCs w:val="0"/>
                <w:color w:val="auto"/>
                <w:sz w:val="21"/>
                <w:szCs w:val="21"/>
                <w:vertAlign w:val="baseline"/>
                <w:lang w:val="en-US" w:eastAsia="zh-CN"/>
              </w:rPr>
              <w:t>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w:t>
            </w:r>
          </w:p>
          <w:p>
            <w:pPr>
              <w:rPr>
                <w:rFonts w:hint="eastAsia" w:ascii="Times New Roman" w:hAnsi="Times New Roman" w:cs="Times New Roman"/>
                <w:b/>
                <w:bCs/>
                <w:color w:val="auto"/>
                <w:lang w:val="en-US" w:eastAsia="zh-CN"/>
              </w:rPr>
            </w:pPr>
          </w:p>
          <w:p>
            <w:pPr>
              <w:rPr>
                <w:rFonts w:hint="default" w:ascii="Times New Roman" w:hAnsi="Times New Roman" w:eastAsia="宋体" w:cs="Times New Roman"/>
                <w:b/>
                <w:bCs/>
                <w:color w:val="auto"/>
              </w:rPr>
            </w:pPr>
            <w:r>
              <w:rPr>
                <w:rFonts w:hint="eastAsia" w:ascii="Times New Roman" w:hAnsi="Times New Roman" w:cs="Times New Roman"/>
                <w:b/>
                <w:bCs/>
                <w:color w:val="auto"/>
                <w:lang w:val="en-US" w:eastAsia="zh-CN"/>
              </w:rPr>
              <w:t>续</w:t>
            </w:r>
            <w:r>
              <w:rPr>
                <w:rFonts w:hint="default" w:ascii="Times New Roman" w:hAnsi="Times New Roman" w:eastAsia="宋体" w:cs="Times New Roman"/>
                <w:b/>
                <w:bCs/>
                <w:color w:val="auto"/>
                <w:lang w:eastAsia="zh-CN"/>
              </w:rPr>
              <w:t>表</w:t>
            </w:r>
            <w:r>
              <w:rPr>
                <w:rFonts w:hint="default" w:ascii="Times New Roman" w:hAnsi="Times New Roman" w:eastAsia="宋体" w:cs="Times New Roman"/>
                <w:b/>
                <w:bCs/>
                <w:color w:val="auto"/>
                <w:lang w:val="en-US" w:eastAsia="zh-CN"/>
              </w:rPr>
              <w:t>8-</w:t>
            </w:r>
            <w:r>
              <w:rPr>
                <w:rFonts w:hint="eastAsia" w:ascii="Times New Roman" w:hAnsi="Times New Roman" w:cs="Times New Roman"/>
                <w:b/>
                <w:bCs/>
                <w:color w:val="auto"/>
                <w:lang w:val="en-US" w:eastAsia="zh-CN"/>
              </w:rPr>
              <w:t>3</w:t>
            </w:r>
          </w:p>
          <w:tbl>
            <w:tblPr>
              <w:tblStyle w:val="16"/>
              <w:tblW w:w="5000" w:type="pct"/>
              <w:jc w:val="center"/>
              <w:tblLayout w:type="autofit"/>
              <w:tblCellMar>
                <w:top w:w="0" w:type="dxa"/>
                <w:left w:w="0" w:type="dxa"/>
                <w:bottom w:w="0" w:type="dxa"/>
                <w:right w:w="0" w:type="dxa"/>
              </w:tblCellMar>
            </w:tblPr>
            <w:tblGrid>
              <w:gridCol w:w="2084"/>
              <w:gridCol w:w="1091"/>
              <w:gridCol w:w="1092"/>
              <w:gridCol w:w="1072"/>
              <w:gridCol w:w="1011"/>
              <w:gridCol w:w="1301"/>
              <w:gridCol w:w="1075"/>
              <w:gridCol w:w="983"/>
              <w:gridCol w:w="1005"/>
              <w:gridCol w:w="1214"/>
              <w:gridCol w:w="944"/>
              <w:gridCol w:w="1086"/>
            </w:tblGrid>
            <w:tr>
              <w:tblPrEx>
                <w:tblCellMar>
                  <w:top w:w="0" w:type="dxa"/>
                  <w:left w:w="0" w:type="dxa"/>
                  <w:bottom w:w="0" w:type="dxa"/>
                  <w:right w:w="0" w:type="dxa"/>
                </w:tblCellMar>
              </w:tblPrEx>
              <w:trPr>
                <w:trHeight w:val="403" w:hRule="atLeast"/>
                <w:jc w:val="center"/>
              </w:trPr>
              <w:tc>
                <w:tcPr>
                  <w:tcW w:w="1138"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时间</w:t>
                  </w:r>
                </w:p>
              </w:tc>
              <w:tc>
                <w:tcPr>
                  <w:tcW w:w="1603"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6/8</w:t>
                  </w:r>
                </w:p>
              </w:tc>
              <w:tc>
                <w:tcPr>
                  <w:tcW w:w="1532"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113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点位</w:t>
                  </w:r>
                </w:p>
              </w:tc>
              <w:tc>
                <w:tcPr>
                  <w:tcW w:w="3861" w:type="pct"/>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 xml:space="preserve">二期301车间电镀F线出口   </w:t>
                  </w:r>
                  <w:r>
                    <w:rPr>
                      <w:rFonts w:hint="default" w:ascii="Times New Roman" w:hAnsi="Times New Roman" w:eastAsia="宋体" w:cs="Times New Roman"/>
                      <w:b/>
                      <w:bCs/>
                      <w:color w:val="auto"/>
                      <w:kern w:val="0"/>
                      <w:sz w:val="21"/>
                      <w:szCs w:val="21"/>
                      <w:lang w:val="en-US" w:eastAsia="zh-CN" w:bidi="ar-SA"/>
                    </w:rPr>
                    <w:t>Q</w:t>
                  </w:r>
                  <w:r>
                    <w:rPr>
                      <w:rFonts w:hint="eastAsia" w:ascii="Times New Roman" w:hAnsi="Times New Roman" w:eastAsia="宋体" w:cs="Times New Roman"/>
                      <w:b/>
                      <w:bCs/>
                      <w:color w:val="auto"/>
                      <w:kern w:val="0"/>
                      <w:sz w:val="21"/>
                      <w:szCs w:val="21"/>
                      <w:lang w:val="en-US" w:eastAsia="zh-CN" w:bidi="ar-SA"/>
                    </w:rPr>
                    <w:t>10</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项    目</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单位</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标准限值</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达标情况</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烟气标干流量</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m³/h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1322</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1318</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1404</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average(D11:F11)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1348</w:t>
                  </w:r>
                  <w:r>
                    <w:rPr>
                      <w:rFonts w:hint="default" w:ascii="Times New Roman" w:hAnsi="Times New Roman" w:eastAsia="宋体" w:cs="Times New Roman"/>
                      <w:color w:val="auto"/>
                      <w:kern w:val="2"/>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1407</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1404</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1402</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average(D11:F11)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1404</w:t>
                  </w:r>
                  <w:r>
                    <w:rPr>
                      <w:rFonts w:hint="default" w:ascii="Times New Roman" w:hAnsi="Times New Roman" w:eastAsia="宋体" w:cs="Times New Roman"/>
                      <w:color w:val="auto"/>
                      <w:kern w:val="2"/>
                      <w:sz w:val="21"/>
                      <w:szCs w:val="21"/>
                      <w:lang w:val="en-US" w:eastAsia="zh-CN" w:bidi="ar-SA"/>
                    </w:rPr>
                    <w:fldChar w:fldCharType="end"/>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90"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含氧量</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15.3</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15.4</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14.5</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average(D12:F12)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15.</w:t>
                  </w:r>
                  <w:r>
                    <w:rPr>
                      <w:rFonts w:hint="eastAsia" w:ascii="Times New Roman" w:hAnsi="Times New Roman" w:eastAsia="宋体" w:cs="Times New Roman"/>
                      <w:color w:val="auto"/>
                      <w:kern w:val="2"/>
                      <w:sz w:val="21"/>
                      <w:szCs w:val="21"/>
                      <w:lang w:val="en-US" w:eastAsia="zh-CN" w:bidi="ar-SA"/>
                    </w:rPr>
                    <w:t>1</w:t>
                  </w:r>
                  <w:r>
                    <w:rPr>
                      <w:rFonts w:hint="default" w:ascii="Times New Roman" w:hAnsi="Times New Roman" w:eastAsia="宋体" w:cs="Times New Roman"/>
                      <w:color w:val="auto"/>
                      <w:kern w:val="2"/>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17.0</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17.0</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16.9</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17.0</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average(D13:F13)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1.6</w:t>
                  </w:r>
                  <w:r>
                    <w:rPr>
                      <w:rFonts w:hint="default" w:ascii="Times New Roman" w:hAnsi="Times New Roman" w:eastAsia="宋体" w:cs="Times New Roman"/>
                      <w:color w:val="auto"/>
                      <w:kern w:val="2"/>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3.4 </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3.9 </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2.8 </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3.3 </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5.4 </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5.1 </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4.7 </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5.1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2.12×10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2.37×10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2.11×10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2.16×10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2.53×10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2.39×10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2.24×10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2.39×10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80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 </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180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2.64×10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bl>
          <w:p>
            <w:pPr>
              <w:pStyle w:val="19"/>
              <w:jc w:val="both"/>
              <w:rPr>
                <w:rFonts w:hint="eastAsia"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注：ND表示未检出，二氧化硫检出限</w:t>
            </w:r>
            <w:r>
              <w:rPr>
                <w:rFonts w:hint="eastAsia" w:ascii="Times New Roman" w:hAnsi="Times New Roman" w:eastAsia="宋体" w:cs="Times New Roman"/>
                <w:b w:val="0"/>
                <w:bCs w:val="0"/>
                <w:color w:val="auto"/>
                <w:sz w:val="21"/>
                <w:szCs w:val="21"/>
                <w:vertAlign w:val="baseline"/>
                <w:lang w:val="en-US" w:eastAsia="zh-CN"/>
              </w:rPr>
              <w:t>为</w:t>
            </w:r>
            <w:r>
              <w:rPr>
                <w:rFonts w:hint="eastAsia" w:ascii="Times New Roman" w:hAnsi="Times New Roman" w:cs="Times New Roman"/>
                <w:b w:val="0"/>
                <w:bCs w:val="0"/>
                <w:color w:val="auto"/>
                <w:sz w:val="21"/>
                <w:szCs w:val="21"/>
                <w:vertAlign w:val="baseline"/>
                <w:lang w:val="en-US" w:eastAsia="zh-CN"/>
              </w:rPr>
              <w:t>3</w:t>
            </w:r>
            <w:r>
              <w:rPr>
                <w:rFonts w:hint="eastAsia" w:ascii="Times New Roman" w:hAnsi="Times New Roman" w:eastAsia="宋体" w:cs="Times New Roman"/>
                <w:b w:val="0"/>
                <w:bCs w:val="0"/>
                <w:color w:val="auto"/>
                <w:sz w:val="21"/>
                <w:szCs w:val="21"/>
                <w:vertAlign w:val="baseline"/>
                <w:lang w:val="en-US" w:eastAsia="zh-CN"/>
              </w:rPr>
              <w:t>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cs="Times New Roman"/>
                <w:b w:val="0"/>
                <w:bCs w:val="0"/>
                <w:color w:val="auto"/>
                <w:sz w:val="21"/>
                <w:szCs w:val="21"/>
                <w:vertAlign w:val="baseline"/>
                <w:lang w:val="en-US" w:eastAsia="zh-CN"/>
              </w:rPr>
              <w:t>，氮氧化物检出限为3</w:t>
            </w:r>
            <w:r>
              <w:rPr>
                <w:rFonts w:hint="eastAsia" w:ascii="Times New Roman" w:hAnsi="Times New Roman" w:eastAsia="宋体" w:cs="Times New Roman"/>
                <w:b w:val="0"/>
                <w:bCs w:val="0"/>
                <w:color w:val="auto"/>
                <w:sz w:val="21"/>
                <w:szCs w:val="21"/>
                <w:vertAlign w:val="baseline"/>
                <w:lang w:val="en-US" w:eastAsia="zh-CN"/>
              </w:rPr>
              <w:t>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w:t>
            </w:r>
          </w:p>
          <w:p>
            <w:pPr>
              <w:rPr>
                <w:rFonts w:hint="eastAsia" w:ascii="Times New Roman" w:hAnsi="Times New Roman" w:cs="Times New Roman"/>
                <w:b/>
                <w:bCs/>
                <w:color w:val="auto"/>
                <w:lang w:val="en-US" w:eastAsia="zh-CN"/>
              </w:rPr>
            </w:pPr>
          </w:p>
          <w:p>
            <w:pPr>
              <w:rPr>
                <w:rFonts w:hint="default" w:ascii="Times New Roman" w:hAnsi="Times New Roman" w:eastAsia="宋体" w:cs="Times New Roman"/>
                <w:b/>
                <w:bCs/>
                <w:color w:val="auto"/>
              </w:rPr>
            </w:pPr>
            <w:r>
              <w:rPr>
                <w:rFonts w:hint="eastAsia" w:ascii="Times New Roman" w:hAnsi="Times New Roman" w:cs="Times New Roman"/>
                <w:b/>
                <w:bCs/>
                <w:color w:val="auto"/>
                <w:lang w:val="en-US" w:eastAsia="zh-CN"/>
              </w:rPr>
              <w:t>续</w:t>
            </w:r>
            <w:r>
              <w:rPr>
                <w:rFonts w:hint="default" w:ascii="Times New Roman" w:hAnsi="Times New Roman" w:eastAsia="宋体" w:cs="Times New Roman"/>
                <w:b/>
                <w:bCs/>
                <w:color w:val="auto"/>
                <w:lang w:eastAsia="zh-CN"/>
              </w:rPr>
              <w:t>表</w:t>
            </w:r>
            <w:r>
              <w:rPr>
                <w:rFonts w:hint="default" w:ascii="Times New Roman" w:hAnsi="Times New Roman" w:eastAsia="宋体" w:cs="Times New Roman"/>
                <w:b/>
                <w:bCs/>
                <w:color w:val="auto"/>
                <w:lang w:val="en-US" w:eastAsia="zh-CN"/>
              </w:rPr>
              <w:t>8-</w:t>
            </w:r>
            <w:r>
              <w:rPr>
                <w:rFonts w:hint="eastAsia" w:ascii="Times New Roman" w:hAnsi="Times New Roman" w:cs="Times New Roman"/>
                <w:b/>
                <w:bCs/>
                <w:color w:val="auto"/>
                <w:lang w:val="en-US" w:eastAsia="zh-CN"/>
              </w:rPr>
              <w:t>3</w:t>
            </w:r>
          </w:p>
          <w:tbl>
            <w:tblPr>
              <w:tblStyle w:val="16"/>
              <w:tblW w:w="5000" w:type="pct"/>
              <w:jc w:val="center"/>
              <w:tblLayout w:type="autofit"/>
              <w:tblCellMar>
                <w:top w:w="0" w:type="dxa"/>
                <w:left w:w="0" w:type="dxa"/>
                <w:bottom w:w="0" w:type="dxa"/>
                <w:right w:w="0" w:type="dxa"/>
              </w:tblCellMar>
            </w:tblPr>
            <w:tblGrid>
              <w:gridCol w:w="2084"/>
              <w:gridCol w:w="1091"/>
              <w:gridCol w:w="1092"/>
              <w:gridCol w:w="1072"/>
              <w:gridCol w:w="1011"/>
              <w:gridCol w:w="1301"/>
              <w:gridCol w:w="1075"/>
              <w:gridCol w:w="983"/>
              <w:gridCol w:w="1005"/>
              <w:gridCol w:w="1214"/>
              <w:gridCol w:w="944"/>
              <w:gridCol w:w="1086"/>
            </w:tblGrid>
            <w:tr>
              <w:tblPrEx>
                <w:tblCellMar>
                  <w:top w:w="0" w:type="dxa"/>
                  <w:left w:w="0" w:type="dxa"/>
                  <w:bottom w:w="0" w:type="dxa"/>
                  <w:right w:w="0" w:type="dxa"/>
                </w:tblCellMar>
              </w:tblPrEx>
              <w:trPr>
                <w:trHeight w:val="403" w:hRule="atLeast"/>
                <w:jc w:val="center"/>
              </w:trPr>
              <w:tc>
                <w:tcPr>
                  <w:tcW w:w="1138"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时间</w:t>
                  </w:r>
                </w:p>
              </w:tc>
              <w:tc>
                <w:tcPr>
                  <w:tcW w:w="1603"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6/8</w:t>
                  </w:r>
                </w:p>
              </w:tc>
              <w:tc>
                <w:tcPr>
                  <w:tcW w:w="1532"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202</w:t>
                  </w:r>
                  <w:r>
                    <w:rPr>
                      <w:rFonts w:hint="eastAsia" w:ascii="Times New Roman" w:hAnsi="Times New Roman" w:cs="Times New Roman"/>
                      <w:b/>
                      <w:bCs/>
                      <w:color w:val="auto"/>
                      <w:kern w:val="0"/>
                      <w:sz w:val="21"/>
                      <w:szCs w:val="21"/>
                      <w:lang w:val="en-US" w:eastAsia="zh-CN" w:bidi="ar-SA"/>
                    </w:rPr>
                    <w:t>3</w:t>
                  </w:r>
                  <w:r>
                    <w:rPr>
                      <w:rFonts w:hint="default" w:ascii="Times New Roman" w:hAnsi="Times New Roman" w:eastAsia="宋体" w:cs="Times New Roman"/>
                      <w:b/>
                      <w:bCs/>
                      <w:color w:val="auto"/>
                      <w:kern w:val="0"/>
                      <w:sz w:val="21"/>
                      <w:szCs w:val="21"/>
                      <w:lang w:val="en-US" w:eastAsia="zh-CN" w:bidi="ar-SA"/>
                    </w:rPr>
                    <w:t>/</w:t>
                  </w:r>
                  <w:r>
                    <w:rPr>
                      <w:rFonts w:hint="eastAsia" w:ascii="Times New Roman" w:hAnsi="Times New Roman" w:cs="Times New Roman"/>
                      <w:b/>
                      <w:bCs/>
                      <w:color w:val="auto"/>
                      <w:kern w:val="0"/>
                      <w:sz w:val="21"/>
                      <w:szCs w:val="21"/>
                      <w:lang w:val="en-US" w:eastAsia="zh-CN" w:bidi="ar-SA"/>
                    </w:rPr>
                    <w:t>6/9</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113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点位</w:t>
                  </w:r>
                </w:p>
              </w:tc>
              <w:tc>
                <w:tcPr>
                  <w:tcW w:w="3861" w:type="pct"/>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 xml:space="preserve">二期301车间电镀G线出口   </w:t>
                  </w:r>
                  <w:r>
                    <w:rPr>
                      <w:rFonts w:hint="default" w:ascii="Times New Roman" w:hAnsi="Times New Roman" w:eastAsia="宋体" w:cs="Times New Roman"/>
                      <w:b/>
                      <w:bCs/>
                      <w:color w:val="auto"/>
                      <w:kern w:val="0"/>
                      <w:sz w:val="21"/>
                      <w:szCs w:val="21"/>
                      <w:lang w:val="en-US" w:eastAsia="zh-CN" w:bidi="ar-SA"/>
                    </w:rPr>
                    <w:t>Q</w:t>
                  </w:r>
                  <w:r>
                    <w:rPr>
                      <w:rFonts w:hint="eastAsia" w:ascii="Times New Roman" w:hAnsi="Times New Roman" w:eastAsia="宋体" w:cs="Times New Roman"/>
                      <w:b/>
                      <w:bCs/>
                      <w:color w:val="auto"/>
                      <w:kern w:val="0"/>
                      <w:sz w:val="21"/>
                      <w:szCs w:val="21"/>
                      <w:lang w:val="en-US" w:eastAsia="zh-CN" w:bidi="ar-SA"/>
                    </w:rPr>
                    <w:t>11</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项    目</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单位</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第一次</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第二次</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第三次</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测定均值</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kern w:val="0"/>
                      <w:sz w:val="21"/>
                      <w:szCs w:val="21"/>
                      <w:lang w:val="en-US" w:eastAsia="zh-CN" w:bidi="ar-SA"/>
                    </w:rPr>
                    <w:t>标准限值</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达标情况</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烟气标干流量</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m³/h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1669</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1671</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1589</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fldChar w:fldCharType="begin"/>
                  </w:r>
                  <w:r>
                    <w:rPr>
                      <w:rFonts w:hint="eastAsia" w:ascii="Times New Roman" w:hAnsi="Times New Roman" w:eastAsia="宋体" w:cs="Times New Roman"/>
                      <w:color w:val="auto"/>
                      <w:kern w:val="2"/>
                      <w:sz w:val="21"/>
                      <w:szCs w:val="21"/>
                      <w:lang w:val="en-US" w:eastAsia="zh-CN" w:bidi="ar-SA"/>
                    </w:rPr>
                    <w:instrText xml:space="preserve"> = average(D11:F11) \* MERGEFORMAT </w:instrText>
                  </w:r>
                  <w:r>
                    <w:rPr>
                      <w:rFonts w:hint="eastAsia" w:ascii="Times New Roman" w:hAnsi="Times New Roman" w:eastAsia="宋体" w:cs="Times New Roman"/>
                      <w:color w:val="auto"/>
                      <w:kern w:val="2"/>
                      <w:sz w:val="21"/>
                      <w:szCs w:val="21"/>
                      <w:lang w:val="en-US" w:eastAsia="zh-CN" w:bidi="ar-SA"/>
                    </w:rPr>
                    <w:fldChar w:fldCharType="separate"/>
                  </w:r>
                  <w:r>
                    <w:rPr>
                      <w:rFonts w:hint="eastAsia" w:ascii="Times New Roman" w:hAnsi="Times New Roman" w:eastAsia="宋体" w:cs="Times New Roman"/>
                      <w:color w:val="auto"/>
                      <w:kern w:val="2"/>
                      <w:sz w:val="21"/>
                      <w:szCs w:val="21"/>
                      <w:lang w:val="en-US" w:eastAsia="zh-CN" w:bidi="ar-SA"/>
                    </w:rPr>
                    <w:t>1643</w:t>
                  </w:r>
                  <w:r>
                    <w:rPr>
                      <w:rFonts w:hint="eastAsia" w:ascii="Times New Roman" w:hAnsi="Times New Roman" w:eastAsia="宋体" w:cs="Times New Roman"/>
                      <w:color w:val="auto"/>
                      <w:kern w:val="2"/>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1505</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1468</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1587</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fldChar w:fldCharType="begin"/>
                  </w:r>
                  <w:r>
                    <w:rPr>
                      <w:rFonts w:hint="eastAsia" w:ascii="Times New Roman" w:hAnsi="Times New Roman" w:eastAsia="宋体" w:cs="Times New Roman"/>
                      <w:color w:val="auto"/>
                      <w:kern w:val="2"/>
                      <w:sz w:val="21"/>
                      <w:szCs w:val="21"/>
                      <w:lang w:val="en-US" w:eastAsia="zh-CN" w:bidi="ar-SA"/>
                    </w:rPr>
                    <w:instrText xml:space="preserve"> = average(D11:F11) \* MERGEFORMAT </w:instrText>
                  </w:r>
                  <w:r>
                    <w:rPr>
                      <w:rFonts w:hint="eastAsia" w:ascii="Times New Roman" w:hAnsi="Times New Roman" w:eastAsia="宋体" w:cs="Times New Roman"/>
                      <w:color w:val="auto"/>
                      <w:kern w:val="2"/>
                      <w:sz w:val="21"/>
                      <w:szCs w:val="21"/>
                      <w:lang w:val="en-US" w:eastAsia="zh-CN" w:bidi="ar-SA"/>
                    </w:rPr>
                    <w:fldChar w:fldCharType="separate"/>
                  </w:r>
                  <w:r>
                    <w:rPr>
                      <w:rFonts w:hint="eastAsia" w:ascii="Times New Roman" w:hAnsi="Times New Roman" w:eastAsia="宋体" w:cs="Times New Roman"/>
                      <w:color w:val="auto"/>
                      <w:kern w:val="2"/>
                      <w:sz w:val="21"/>
                      <w:szCs w:val="21"/>
                      <w:lang w:val="en-US" w:eastAsia="zh-CN" w:bidi="ar-SA"/>
                    </w:rPr>
                    <w:t>1520</w:t>
                  </w:r>
                  <w:r>
                    <w:rPr>
                      <w:rFonts w:hint="eastAsia" w:ascii="Times New Roman" w:hAnsi="Times New Roman" w:eastAsia="宋体" w:cs="Times New Roman"/>
                      <w:color w:val="auto"/>
                      <w:kern w:val="2"/>
                      <w:sz w:val="21"/>
                      <w:szCs w:val="21"/>
                      <w:lang w:val="en-US" w:eastAsia="zh-CN" w:bidi="ar-SA"/>
                    </w:rPr>
                    <w:fldChar w:fldCharType="end"/>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90"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含氧量</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15.3</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15.3</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15.3</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15.3</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17.2</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17.1</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17.0</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17.1</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fldChar w:fldCharType="begin"/>
                  </w:r>
                  <w:r>
                    <w:rPr>
                      <w:rFonts w:hint="default" w:ascii="Times New Roman" w:hAnsi="Times New Roman" w:eastAsia="宋体" w:cs="Times New Roman"/>
                      <w:color w:val="auto"/>
                      <w:kern w:val="2"/>
                      <w:sz w:val="21"/>
                      <w:szCs w:val="21"/>
                      <w:lang w:val="en-US" w:eastAsia="zh-CN" w:bidi="ar-SA"/>
                    </w:rPr>
                    <w:instrText xml:space="preserve"> = average(D13:F13) \* MERGEFORMAT </w:instrText>
                  </w:r>
                  <w:r>
                    <w:rPr>
                      <w:rFonts w:hint="default" w:ascii="Times New Roman" w:hAnsi="Times New Roman" w:eastAsia="宋体" w:cs="Times New Roman"/>
                      <w:color w:val="auto"/>
                      <w:kern w:val="2"/>
                      <w:sz w:val="21"/>
                      <w:szCs w:val="21"/>
                      <w:lang w:val="en-US" w:eastAsia="zh-CN" w:bidi="ar-SA"/>
                    </w:rPr>
                    <w:fldChar w:fldCharType="separate"/>
                  </w:r>
                  <w:r>
                    <w:rPr>
                      <w:rFonts w:hint="default" w:ascii="Times New Roman" w:hAnsi="Times New Roman" w:eastAsia="宋体"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fldChar w:fldCharType="end"/>
                  </w:r>
                  <w:r>
                    <w:rPr>
                      <w:rFonts w:hint="eastAsia" w:ascii="Times New Roman" w:hAnsi="Times New Roman" w:eastAsia="宋体" w:cs="Times New Roman"/>
                      <w:color w:val="auto"/>
                      <w:kern w:val="2"/>
                      <w:sz w:val="21"/>
                      <w:szCs w:val="21"/>
                      <w:lang w:val="en-US" w:eastAsia="zh-CN" w:bidi="ar-SA"/>
                    </w:rPr>
                    <w:t>7</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1.7</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3.8 </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5.4 </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4.6 </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5.4 </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5.2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20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颗粒物</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2.84×10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2.51×10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2.86×10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2.79×10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2.56×10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2.20×10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2.86×10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2.58×10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ND</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80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二氧化硫</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氮氧化物实测</w:t>
                  </w:r>
                  <w:r>
                    <w:rPr>
                      <w:rFonts w:hint="default" w:ascii="Times New Roman" w:hAnsi="Times New Roman" w:eastAsia="宋体" w:cs="Times New Roman"/>
                      <w:color w:val="auto"/>
                      <w:kern w:val="0"/>
                      <w:sz w:val="21"/>
                      <w:szCs w:val="21"/>
                      <w:lang w:val="en-US" w:eastAsia="zh-CN" w:bidi="ar-SA"/>
                    </w:rPr>
                    <w:t>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w:t>
                  </w:r>
                  <w:r>
                    <w:rPr>
                      <w:rFonts w:hint="default" w:ascii="Times New Roman" w:hAnsi="Times New Roman" w:eastAsia="宋体" w:cs="Times New Roman"/>
                      <w:color w:val="auto"/>
                      <w:kern w:val="0"/>
                      <w:sz w:val="21"/>
                      <w:szCs w:val="21"/>
                      <w:lang w:val="en-US" w:eastAsia="zh-CN" w:bidi="ar-SA"/>
                    </w:rPr>
                    <w:t>排放浓度</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ND</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13 </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9 </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180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cs="Times New Roman"/>
                      <w:b/>
                      <w:bCs/>
                      <w:color w:val="auto"/>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47"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氮氧化物</w:t>
                  </w:r>
                  <w:r>
                    <w:rPr>
                      <w:rFonts w:hint="default" w:ascii="Times New Roman" w:hAnsi="Times New Roman" w:eastAsia="宋体" w:cs="Times New Roman"/>
                      <w:color w:val="auto"/>
                      <w:kern w:val="0"/>
                      <w:sz w:val="21"/>
                      <w:szCs w:val="21"/>
                      <w:lang w:val="en-US" w:eastAsia="zh-CN" w:bidi="ar-SA"/>
                    </w:rPr>
                    <w:t>排放速率</w:t>
                  </w:r>
                </w:p>
              </w:tc>
              <w:tc>
                <w:tcPr>
                  <w:tcW w:w="391"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kg/h</w:t>
                  </w:r>
                </w:p>
              </w:tc>
              <w:tc>
                <w:tcPr>
                  <w:tcW w:w="3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46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6.02×10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4.40×10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6.35×10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6.08×10</w:t>
                  </w:r>
                  <w:r>
                    <w:rPr>
                      <w:rFonts w:hint="default" w:ascii="Times New Roman" w:hAnsi="Times New Roman" w:eastAsia="宋体" w:cs="Times New Roman"/>
                      <w:i w:val="0"/>
                      <w:iCs w:val="0"/>
                      <w:color w:val="auto"/>
                      <w:kern w:val="0"/>
                      <w:sz w:val="21"/>
                      <w:szCs w:val="21"/>
                      <w:u w:val="none"/>
                      <w:vertAlign w:val="superscript"/>
                      <w:lang w:val="en-US" w:eastAsia="zh-CN" w:bidi="ar"/>
                    </w:rPr>
                    <w:t>-</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r>
          </w:tbl>
          <w:p>
            <w:pPr>
              <w:rPr>
                <w:rFonts w:hint="default"/>
                <w:vertAlign w:val="baseline"/>
                <w:lang w:val="en-US" w:eastAsia="zh-CN"/>
              </w:rPr>
            </w:pPr>
            <w:r>
              <w:rPr>
                <w:rFonts w:hint="eastAsia" w:ascii="Times New Roman" w:hAnsi="Times New Roman" w:cs="Times New Roman"/>
                <w:b w:val="0"/>
                <w:bCs w:val="0"/>
                <w:color w:val="auto"/>
                <w:sz w:val="21"/>
                <w:szCs w:val="21"/>
                <w:vertAlign w:val="baseline"/>
                <w:lang w:val="en-US" w:eastAsia="zh-CN"/>
              </w:rPr>
              <w:t>注：ND表示未检出，二氧化硫检出限</w:t>
            </w:r>
            <w:r>
              <w:rPr>
                <w:rFonts w:hint="eastAsia" w:ascii="Times New Roman" w:hAnsi="Times New Roman" w:eastAsia="宋体" w:cs="Times New Roman"/>
                <w:b w:val="0"/>
                <w:bCs w:val="0"/>
                <w:color w:val="auto"/>
                <w:sz w:val="21"/>
                <w:szCs w:val="21"/>
                <w:vertAlign w:val="baseline"/>
                <w:lang w:val="en-US" w:eastAsia="zh-CN"/>
              </w:rPr>
              <w:t>为</w:t>
            </w:r>
            <w:r>
              <w:rPr>
                <w:rFonts w:hint="eastAsia" w:ascii="Times New Roman" w:hAnsi="Times New Roman" w:cs="Times New Roman"/>
                <w:b w:val="0"/>
                <w:bCs w:val="0"/>
                <w:color w:val="auto"/>
                <w:sz w:val="21"/>
                <w:szCs w:val="21"/>
                <w:vertAlign w:val="baseline"/>
                <w:lang w:val="en-US" w:eastAsia="zh-CN"/>
              </w:rPr>
              <w:t>3</w:t>
            </w:r>
            <w:r>
              <w:rPr>
                <w:rFonts w:hint="eastAsia" w:ascii="Times New Roman" w:hAnsi="Times New Roman" w:eastAsia="宋体" w:cs="Times New Roman"/>
                <w:b w:val="0"/>
                <w:bCs w:val="0"/>
                <w:color w:val="auto"/>
                <w:sz w:val="21"/>
                <w:szCs w:val="21"/>
                <w:vertAlign w:val="baseline"/>
                <w:lang w:val="en-US" w:eastAsia="zh-CN"/>
              </w:rPr>
              <w:t>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cs="Times New Roman"/>
                <w:b w:val="0"/>
                <w:bCs w:val="0"/>
                <w:color w:val="auto"/>
                <w:sz w:val="21"/>
                <w:szCs w:val="21"/>
                <w:vertAlign w:val="baseline"/>
                <w:lang w:val="en-US" w:eastAsia="zh-CN"/>
              </w:rPr>
              <w:t>，氮氧化物检出限为3</w:t>
            </w:r>
            <w:r>
              <w:rPr>
                <w:rFonts w:hint="eastAsia" w:ascii="Times New Roman" w:hAnsi="Times New Roman" w:eastAsia="宋体" w:cs="Times New Roman"/>
                <w:b w:val="0"/>
                <w:bCs w:val="0"/>
                <w:color w:val="auto"/>
                <w:sz w:val="21"/>
                <w:szCs w:val="21"/>
                <w:vertAlign w:val="baseline"/>
                <w:lang w:val="en-US" w:eastAsia="zh-CN"/>
              </w:rPr>
              <w:t>mg/m</w:t>
            </w:r>
            <w:r>
              <w:rPr>
                <w:rFonts w:hint="eastAsia" w:ascii="Times New Roman" w:hAnsi="Times New Roman" w:eastAsia="宋体" w:cs="Times New Roman"/>
                <w:b w:val="0"/>
                <w:bCs w:val="0"/>
                <w:color w:val="auto"/>
                <w:sz w:val="21"/>
                <w:szCs w:val="21"/>
                <w:vertAlign w:val="superscript"/>
                <w:lang w:val="en-US" w:eastAsia="zh-CN"/>
              </w:rPr>
              <w:t>3</w:t>
            </w:r>
            <w:r>
              <w:rPr>
                <w:rFonts w:hint="eastAsia" w:ascii="Times New Roman" w:hAnsi="Times New Roman" w:eastAsia="宋体" w:cs="Times New Roman"/>
                <w:b w:val="0"/>
                <w:bCs w:val="0"/>
                <w:color w:val="auto"/>
                <w:sz w:val="21"/>
                <w:szCs w:val="21"/>
                <w:vertAlign w:val="baseline"/>
                <w:lang w:val="en-US" w:eastAsia="zh-CN"/>
              </w:rPr>
              <w:t>。</w:t>
            </w:r>
          </w:p>
        </w:tc>
      </w:tr>
    </w:tbl>
    <w:p>
      <w:pPr>
        <w:rPr>
          <w:color w:val="auto"/>
        </w:rPr>
      </w:pPr>
    </w:p>
    <w:p>
      <w:pPr>
        <w:rPr>
          <w:rFonts w:hint="default"/>
          <w:color w:val="auto"/>
          <w:lang w:val="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1" w:hRule="atLeast"/>
        </w:trPr>
        <w:tc>
          <w:tcPr>
            <w:tcW w:w="8522" w:type="dxa"/>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zh-CN"/>
              </w:rPr>
              <w:t>表</w:t>
            </w:r>
            <w:r>
              <w:rPr>
                <w:rFonts w:hint="default" w:ascii="Times New Roman" w:hAnsi="Times New Roman" w:eastAsia="宋体" w:cs="Times New Roman"/>
                <w:b/>
                <w:bCs/>
                <w:color w:val="auto"/>
                <w:sz w:val="24"/>
                <w:lang w:val="en-US" w:eastAsia="zh-CN"/>
              </w:rPr>
              <w:t>8</w:t>
            </w:r>
            <w:r>
              <w:rPr>
                <w:rFonts w:hint="default" w:ascii="Times New Roman" w:hAnsi="Times New Roman" w:eastAsia="宋体" w:cs="Times New Roman"/>
                <w:b/>
                <w:bCs/>
                <w:color w:val="auto"/>
                <w:sz w:val="24"/>
              </w:rPr>
              <w:t>-</w:t>
            </w:r>
            <w:r>
              <w:rPr>
                <w:rFonts w:hint="eastAsia" w:ascii="Times New Roman" w:hAnsi="Times New Roman" w:cs="Times New Roman"/>
                <w:b/>
                <w:bCs/>
                <w:color w:val="auto"/>
                <w:sz w:val="24"/>
                <w:lang w:val="en-US" w:eastAsia="zh-CN"/>
              </w:rPr>
              <w:t>4</w:t>
            </w:r>
            <w:r>
              <w:rPr>
                <w:rFonts w:hint="default" w:ascii="Times New Roman" w:hAnsi="Times New Roman" w:eastAsia="宋体" w:cs="Times New Roman"/>
                <w:b/>
                <w:bCs/>
                <w:color w:val="auto"/>
                <w:sz w:val="24"/>
              </w:rPr>
              <w:t xml:space="preserve">  无组织排放监测结果表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1745"/>
              <w:gridCol w:w="1876"/>
              <w:gridCol w:w="1630"/>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kern w:val="0"/>
                      <w:sz w:val="21"/>
                      <w:szCs w:val="20"/>
                      <w:lang w:val="en-US" w:eastAsia="zh-CN" w:bidi="ar-SA"/>
                    </w:rPr>
                    <w:t>采样时间</w:t>
                  </w:r>
                </w:p>
              </w:tc>
              <w:tc>
                <w:tcPr>
                  <w:tcW w:w="4149" w:type="pct"/>
                  <w:gridSpan w:val="4"/>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kern w:val="0"/>
                      <w:sz w:val="21"/>
                      <w:szCs w:val="20"/>
                      <w:lang w:val="en-US" w:eastAsia="zh-CN" w:bidi="ar-SA"/>
                    </w:rPr>
                    <w:t>2023年6月8日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采样地点</w:t>
                  </w:r>
                </w:p>
              </w:tc>
              <w:tc>
                <w:tcPr>
                  <w:tcW w:w="1051" w:type="pct"/>
                  <w:vMerge w:val="restart"/>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监测频次</w:t>
                  </w:r>
                </w:p>
              </w:tc>
              <w:tc>
                <w:tcPr>
                  <w:tcW w:w="3097" w:type="pct"/>
                  <w:gridSpan w:val="3"/>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监测项目   单位：mg/m³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Merge w:val="continue"/>
                  <w:vAlign w:val="center"/>
                </w:tcPr>
                <w:p>
                  <w:pPr>
                    <w:pStyle w:val="20"/>
                    <w:bidi w:val="0"/>
                    <w:rPr>
                      <w:rFonts w:hint="default" w:ascii="Times New Roman" w:hAnsi="Times New Roman" w:eastAsia="宋体" w:cs="Times New Roman"/>
                      <w:color w:val="auto"/>
                      <w:lang w:val="en-US" w:eastAsia="zh-CN"/>
                    </w:rPr>
                  </w:pPr>
                </w:p>
              </w:tc>
              <w:tc>
                <w:tcPr>
                  <w:tcW w:w="1130" w:type="pct"/>
                  <w:vAlign w:val="center"/>
                </w:tcPr>
                <w:p>
                  <w:pPr>
                    <w:pStyle w:val="19"/>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spacing w:val="0"/>
                      <w:sz w:val="21"/>
                      <w:szCs w:val="21"/>
                      <w:lang w:val="en-US" w:eastAsia="zh-CN"/>
                    </w:rPr>
                    <w:t>氨</w:t>
                  </w:r>
                </w:p>
              </w:tc>
              <w:tc>
                <w:tcPr>
                  <w:tcW w:w="982" w:type="pct"/>
                  <w:vAlign w:val="center"/>
                </w:tcPr>
                <w:p>
                  <w:pPr>
                    <w:pStyle w:val="19"/>
                    <w:jc w:val="center"/>
                    <w:rPr>
                      <w:rFonts w:hint="default" w:ascii="Times New Roman" w:hAnsi="Times New Roman" w:eastAsia="宋体" w:cs="Times New Roman"/>
                      <w:color w:val="auto"/>
                      <w:lang w:val="en-US" w:eastAsia="zh-CN"/>
                    </w:rPr>
                  </w:pPr>
                  <w:r>
                    <w:rPr>
                      <w:rFonts w:hint="eastAsia"/>
                      <w:color w:val="auto"/>
                      <w:kern w:val="0"/>
                      <w:sz w:val="21"/>
                      <w:szCs w:val="21"/>
                      <w:highlight w:val="none"/>
                      <w:lang w:val="en-US" w:eastAsia="zh-CN"/>
                    </w:rPr>
                    <w:t>硫化氢</w:t>
                  </w:r>
                </w:p>
              </w:tc>
              <w:tc>
                <w:tcPr>
                  <w:tcW w:w="983" w:type="pct"/>
                  <w:vAlign w:val="center"/>
                </w:tcPr>
                <w:p>
                  <w:pPr>
                    <w:pStyle w:val="19"/>
                    <w:jc w:val="center"/>
                    <w:rPr>
                      <w:rFonts w:hint="default" w:ascii="Times New Roman" w:hAnsi="Times New Roman" w:eastAsia="宋体" w:cs="Times New Roman"/>
                      <w:color w:val="auto"/>
                      <w:lang w:val="en-US" w:eastAsia="zh-CN"/>
                    </w:rPr>
                  </w:pPr>
                  <w:r>
                    <w:rPr>
                      <w:rFonts w:hint="eastAsia"/>
                      <w:color w:val="auto"/>
                      <w:kern w:val="0"/>
                      <w:sz w:val="21"/>
                      <w:szCs w:val="21"/>
                      <w:highlight w:val="none"/>
                      <w:lang w:val="en-US" w:eastAsia="zh-CN"/>
                    </w:rPr>
                    <w:t>硫酸雾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上风向G1</w:t>
                  </w: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第一次</w:t>
                  </w:r>
                </w:p>
              </w:tc>
              <w:tc>
                <w:tcPr>
                  <w:tcW w:w="1130"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cs="Times New Roman"/>
                      <w:color w:val="auto"/>
                      <w:spacing w:val="0"/>
                      <w:sz w:val="21"/>
                      <w:szCs w:val="21"/>
                      <w:lang w:val="en-US" w:eastAsia="zh-CN"/>
                    </w:rPr>
                    <w:t>0.06</w:t>
                  </w:r>
                </w:p>
              </w:tc>
              <w:tc>
                <w:tcPr>
                  <w:tcW w:w="982"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ND</w:t>
                  </w:r>
                </w:p>
              </w:tc>
              <w:tc>
                <w:tcPr>
                  <w:tcW w:w="983"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第二次</w:t>
                  </w:r>
                </w:p>
              </w:tc>
              <w:tc>
                <w:tcPr>
                  <w:tcW w:w="1130"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cs="Times New Roman"/>
                      <w:color w:val="auto"/>
                      <w:spacing w:val="0"/>
                      <w:sz w:val="21"/>
                      <w:szCs w:val="21"/>
                      <w:lang w:val="en-US" w:eastAsia="zh-CN"/>
                    </w:rPr>
                    <w:t>0.07</w:t>
                  </w:r>
                </w:p>
              </w:tc>
              <w:tc>
                <w:tcPr>
                  <w:tcW w:w="982" w:type="pct"/>
                  <w:vAlign w:val="center"/>
                </w:tcPr>
                <w:p>
                  <w:pPr>
                    <w:pStyle w:val="19"/>
                    <w:jc w:val="center"/>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ND</w:t>
                  </w:r>
                </w:p>
              </w:tc>
              <w:tc>
                <w:tcPr>
                  <w:tcW w:w="983"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第三次</w:t>
                  </w:r>
                </w:p>
              </w:tc>
              <w:tc>
                <w:tcPr>
                  <w:tcW w:w="1130"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cs="Times New Roman"/>
                      <w:color w:val="auto"/>
                      <w:spacing w:val="0"/>
                      <w:sz w:val="21"/>
                      <w:szCs w:val="21"/>
                      <w:lang w:val="en-US" w:eastAsia="zh-CN"/>
                    </w:rPr>
                    <w:t>0.07</w:t>
                  </w:r>
                </w:p>
              </w:tc>
              <w:tc>
                <w:tcPr>
                  <w:tcW w:w="982" w:type="pct"/>
                  <w:vAlign w:val="center"/>
                </w:tcPr>
                <w:p>
                  <w:pPr>
                    <w:pStyle w:val="19"/>
                    <w:jc w:val="center"/>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ND</w:t>
                  </w:r>
                </w:p>
              </w:tc>
              <w:tc>
                <w:tcPr>
                  <w:tcW w:w="983"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第四次</w:t>
                  </w:r>
                </w:p>
              </w:tc>
              <w:tc>
                <w:tcPr>
                  <w:tcW w:w="1130"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cs="Times New Roman"/>
                      <w:color w:val="auto"/>
                      <w:spacing w:val="0"/>
                      <w:sz w:val="21"/>
                      <w:szCs w:val="21"/>
                      <w:lang w:val="en-US" w:eastAsia="zh-CN"/>
                    </w:rPr>
                    <w:t>0.10</w:t>
                  </w:r>
                </w:p>
              </w:tc>
              <w:tc>
                <w:tcPr>
                  <w:tcW w:w="982" w:type="pct"/>
                  <w:vAlign w:val="center"/>
                </w:tcPr>
                <w:p>
                  <w:pPr>
                    <w:pStyle w:val="19"/>
                    <w:jc w:val="center"/>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ND</w:t>
                  </w:r>
                </w:p>
              </w:tc>
              <w:tc>
                <w:tcPr>
                  <w:tcW w:w="983"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下风向G2</w:t>
                  </w: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第一次</w:t>
                  </w:r>
                </w:p>
              </w:tc>
              <w:tc>
                <w:tcPr>
                  <w:tcW w:w="1130" w:type="pct"/>
                  <w:vAlign w:val="center"/>
                </w:tcPr>
                <w:p>
                  <w:pPr>
                    <w:pStyle w:val="19"/>
                    <w:jc w:val="center"/>
                    <w:rPr>
                      <w:rFonts w:hint="default" w:ascii="Times New Roman" w:hAnsi="Times New Roman" w:cs="Times New Roman" w:eastAsiaTheme="minorHAnsi"/>
                      <w:color w:val="auto"/>
                      <w:spacing w:val="0"/>
                      <w:sz w:val="21"/>
                      <w:szCs w:val="21"/>
                      <w:lang w:val="en-US" w:eastAsia="zh-CN" w:bidi="ar-SA"/>
                    </w:rPr>
                  </w:pPr>
                  <w:r>
                    <w:rPr>
                      <w:rFonts w:hint="default" w:ascii="Times New Roman" w:hAnsi="Times New Roman" w:cs="Times New Roman"/>
                      <w:color w:val="auto"/>
                      <w:spacing w:val="0"/>
                      <w:sz w:val="21"/>
                      <w:szCs w:val="21"/>
                      <w:lang w:val="en-US" w:eastAsia="zh-CN"/>
                    </w:rPr>
                    <w:t>0.25</w:t>
                  </w:r>
                </w:p>
              </w:tc>
              <w:tc>
                <w:tcPr>
                  <w:tcW w:w="982" w:type="pct"/>
                  <w:vAlign w:val="center"/>
                </w:tcPr>
                <w:p>
                  <w:pPr>
                    <w:pStyle w:val="19"/>
                    <w:jc w:val="center"/>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ND</w:t>
                  </w:r>
                </w:p>
              </w:tc>
              <w:tc>
                <w:tcPr>
                  <w:tcW w:w="983" w:type="pct"/>
                  <w:vAlign w:val="center"/>
                </w:tcPr>
                <w:p>
                  <w:pPr>
                    <w:pStyle w:val="19"/>
                    <w:jc w:val="center"/>
                    <w:rPr>
                      <w:rFonts w:hint="default" w:ascii="Times New Roman" w:hAnsi="Times New Roman" w:cs="Times New Roman" w:eastAsiaTheme="minorHAnsi"/>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第二次</w:t>
                  </w:r>
                </w:p>
              </w:tc>
              <w:tc>
                <w:tcPr>
                  <w:tcW w:w="1130" w:type="pct"/>
                  <w:vAlign w:val="center"/>
                </w:tcPr>
                <w:p>
                  <w:pPr>
                    <w:pStyle w:val="19"/>
                    <w:jc w:val="center"/>
                    <w:rPr>
                      <w:rFonts w:hint="default" w:ascii="Times New Roman" w:hAnsi="Times New Roman" w:cs="Times New Roman" w:eastAsiaTheme="minorHAnsi"/>
                      <w:color w:val="auto"/>
                      <w:spacing w:val="0"/>
                      <w:sz w:val="21"/>
                      <w:szCs w:val="21"/>
                      <w:lang w:val="en-US" w:eastAsia="zh-CN" w:bidi="ar-SA"/>
                    </w:rPr>
                  </w:pPr>
                  <w:r>
                    <w:rPr>
                      <w:rFonts w:hint="default" w:ascii="Times New Roman" w:hAnsi="Times New Roman" w:cs="Times New Roman"/>
                      <w:color w:val="auto"/>
                      <w:spacing w:val="0"/>
                      <w:sz w:val="21"/>
                      <w:szCs w:val="21"/>
                      <w:lang w:val="en-US" w:eastAsia="zh-CN"/>
                    </w:rPr>
                    <w:t>0.25</w:t>
                  </w:r>
                </w:p>
              </w:tc>
              <w:tc>
                <w:tcPr>
                  <w:tcW w:w="982" w:type="pct"/>
                  <w:vAlign w:val="center"/>
                </w:tcPr>
                <w:p>
                  <w:pPr>
                    <w:pStyle w:val="19"/>
                    <w:jc w:val="center"/>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ND</w:t>
                  </w:r>
                </w:p>
              </w:tc>
              <w:tc>
                <w:tcPr>
                  <w:tcW w:w="983" w:type="pct"/>
                  <w:vAlign w:val="center"/>
                </w:tcPr>
                <w:p>
                  <w:pPr>
                    <w:pStyle w:val="19"/>
                    <w:jc w:val="center"/>
                    <w:rPr>
                      <w:rFonts w:hint="default" w:ascii="Times New Roman" w:hAnsi="Times New Roman" w:cs="Times New Roman" w:eastAsiaTheme="minorHAnsi"/>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第三次</w:t>
                  </w:r>
                </w:p>
              </w:tc>
              <w:tc>
                <w:tcPr>
                  <w:tcW w:w="1130" w:type="pct"/>
                  <w:vAlign w:val="center"/>
                </w:tcPr>
                <w:p>
                  <w:pPr>
                    <w:pStyle w:val="19"/>
                    <w:jc w:val="center"/>
                    <w:rPr>
                      <w:rFonts w:hint="default" w:ascii="Times New Roman" w:hAnsi="Times New Roman" w:cs="Times New Roman" w:eastAsiaTheme="minorHAnsi"/>
                      <w:color w:val="auto"/>
                      <w:spacing w:val="0"/>
                      <w:sz w:val="21"/>
                      <w:szCs w:val="21"/>
                      <w:lang w:val="en-US" w:eastAsia="zh-CN" w:bidi="ar-SA"/>
                    </w:rPr>
                  </w:pPr>
                  <w:r>
                    <w:rPr>
                      <w:rFonts w:hint="default" w:ascii="Times New Roman" w:hAnsi="Times New Roman" w:cs="Times New Roman"/>
                      <w:color w:val="auto"/>
                      <w:spacing w:val="0"/>
                      <w:sz w:val="21"/>
                      <w:szCs w:val="21"/>
                      <w:lang w:val="en-US" w:eastAsia="zh-CN"/>
                    </w:rPr>
                    <w:t>0.18</w:t>
                  </w:r>
                </w:p>
              </w:tc>
              <w:tc>
                <w:tcPr>
                  <w:tcW w:w="982" w:type="pct"/>
                  <w:vAlign w:val="center"/>
                </w:tcPr>
                <w:p>
                  <w:pPr>
                    <w:pStyle w:val="19"/>
                    <w:jc w:val="center"/>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ND</w:t>
                  </w:r>
                </w:p>
              </w:tc>
              <w:tc>
                <w:tcPr>
                  <w:tcW w:w="983" w:type="pct"/>
                  <w:vAlign w:val="center"/>
                </w:tcPr>
                <w:p>
                  <w:pPr>
                    <w:pStyle w:val="19"/>
                    <w:jc w:val="center"/>
                    <w:rPr>
                      <w:rFonts w:hint="default" w:ascii="Times New Roman" w:hAnsi="Times New Roman" w:cs="Times New Roman" w:eastAsiaTheme="minorHAnsi"/>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第四次</w:t>
                  </w:r>
                </w:p>
              </w:tc>
              <w:tc>
                <w:tcPr>
                  <w:tcW w:w="1130" w:type="pct"/>
                  <w:vAlign w:val="center"/>
                </w:tcPr>
                <w:p>
                  <w:pPr>
                    <w:pStyle w:val="19"/>
                    <w:jc w:val="center"/>
                    <w:rPr>
                      <w:rFonts w:hint="default" w:ascii="Times New Roman" w:hAnsi="Times New Roman" w:cs="Times New Roman" w:eastAsiaTheme="minorHAnsi"/>
                      <w:color w:val="auto"/>
                      <w:spacing w:val="0"/>
                      <w:sz w:val="21"/>
                      <w:szCs w:val="21"/>
                      <w:lang w:val="en-US" w:eastAsia="zh-CN" w:bidi="ar-SA"/>
                    </w:rPr>
                  </w:pPr>
                  <w:r>
                    <w:rPr>
                      <w:rFonts w:hint="default" w:ascii="Times New Roman" w:hAnsi="Times New Roman" w:cs="Times New Roman"/>
                      <w:color w:val="auto"/>
                      <w:spacing w:val="0"/>
                      <w:sz w:val="21"/>
                      <w:szCs w:val="21"/>
                      <w:lang w:val="en-US" w:eastAsia="zh-CN"/>
                    </w:rPr>
                    <w:t>0.23</w:t>
                  </w:r>
                </w:p>
              </w:tc>
              <w:tc>
                <w:tcPr>
                  <w:tcW w:w="982" w:type="pct"/>
                  <w:vAlign w:val="center"/>
                </w:tcPr>
                <w:p>
                  <w:pPr>
                    <w:pStyle w:val="19"/>
                    <w:jc w:val="center"/>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ND</w:t>
                  </w:r>
                </w:p>
              </w:tc>
              <w:tc>
                <w:tcPr>
                  <w:tcW w:w="983" w:type="pct"/>
                  <w:vAlign w:val="center"/>
                </w:tcPr>
                <w:p>
                  <w:pPr>
                    <w:pStyle w:val="19"/>
                    <w:jc w:val="center"/>
                    <w:rPr>
                      <w:rFonts w:hint="default" w:ascii="Times New Roman" w:hAnsi="Times New Roman" w:cs="Times New Roman" w:eastAsiaTheme="minorHAnsi"/>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下风向G3</w:t>
                  </w: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第一次</w:t>
                  </w:r>
                </w:p>
              </w:tc>
              <w:tc>
                <w:tcPr>
                  <w:tcW w:w="1130"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cs="Times New Roman"/>
                      <w:color w:val="auto"/>
                      <w:spacing w:val="0"/>
                      <w:sz w:val="21"/>
                      <w:szCs w:val="21"/>
                      <w:lang w:val="en-US" w:eastAsia="zh-CN"/>
                    </w:rPr>
                    <w:t>0.09</w:t>
                  </w:r>
                </w:p>
              </w:tc>
              <w:tc>
                <w:tcPr>
                  <w:tcW w:w="982" w:type="pct"/>
                  <w:vAlign w:val="center"/>
                </w:tcPr>
                <w:p>
                  <w:pPr>
                    <w:pStyle w:val="19"/>
                    <w:jc w:val="center"/>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ND</w:t>
                  </w:r>
                </w:p>
              </w:tc>
              <w:tc>
                <w:tcPr>
                  <w:tcW w:w="983"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第二次</w:t>
                  </w:r>
                </w:p>
              </w:tc>
              <w:tc>
                <w:tcPr>
                  <w:tcW w:w="1130"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cs="Times New Roman"/>
                      <w:color w:val="auto"/>
                      <w:spacing w:val="0"/>
                      <w:sz w:val="21"/>
                      <w:szCs w:val="21"/>
                      <w:lang w:val="en-US" w:eastAsia="zh-CN"/>
                    </w:rPr>
                    <w:t>0.08</w:t>
                  </w:r>
                </w:p>
              </w:tc>
              <w:tc>
                <w:tcPr>
                  <w:tcW w:w="982" w:type="pct"/>
                  <w:vAlign w:val="center"/>
                </w:tcPr>
                <w:p>
                  <w:pPr>
                    <w:pStyle w:val="19"/>
                    <w:jc w:val="center"/>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ND</w:t>
                  </w:r>
                </w:p>
              </w:tc>
              <w:tc>
                <w:tcPr>
                  <w:tcW w:w="983"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第三次</w:t>
                  </w:r>
                </w:p>
              </w:tc>
              <w:tc>
                <w:tcPr>
                  <w:tcW w:w="1130"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cs="Times New Roman"/>
                      <w:color w:val="auto"/>
                      <w:spacing w:val="0"/>
                      <w:sz w:val="21"/>
                      <w:szCs w:val="21"/>
                      <w:lang w:val="en-US" w:eastAsia="zh-CN"/>
                    </w:rPr>
                    <w:t>0.17</w:t>
                  </w:r>
                </w:p>
              </w:tc>
              <w:tc>
                <w:tcPr>
                  <w:tcW w:w="982" w:type="pct"/>
                  <w:vAlign w:val="center"/>
                </w:tcPr>
                <w:p>
                  <w:pPr>
                    <w:pStyle w:val="19"/>
                    <w:jc w:val="center"/>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ND</w:t>
                  </w:r>
                </w:p>
              </w:tc>
              <w:tc>
                <w:tcPr>
                  <w:tcW w:w="983"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第四次</w:t>
                  </w:r>
                </w:p>
              </w:tc>
              <w:tc>
                <w:tcPr>
                  <w:tcW w:w="1130"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cs="Times New Roman"/>
                      <w:color w:val="auto"/>
                      <w:spacing w:val="0"/>
                      <w:sz w:val="21"/>
                      <w:szCs w:val="21"/>
                      <w:lang w:val="en-US" w:eastAsia="zh-CN"/>
                    </w:rPr>
                    <w:t>0.09</w:t>
                  </w:r>
                </w:p>
              </w:tc>
              <w:tc>
                <w:tcPr>
                  <w:tcW w:w="982" w:type="pct"/>
                  <w:vAlign w:val="center"/>
                </w:tcPr>
                <w:p>
                  <w:pPr>
                    <w:pStyle w:val="19"/>
                    <w:jc w:val="center"/>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ND</w:t>
                  </w:r>
                </w:p>
              </w:tc>
              <w:tc>
                <w:tcPr>
                  <w:tcW w:w="983"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下风向G4</w:t>
                  </w: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第一次</w:t>
                  </w:r>
                </w:p>
              </w:tc>
              <w:tc>
                <w:tcPr>
                  <w:tcW w:w="1130"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cs="Times New Roman"/>
                      <w:color w:val="auto"/>
                      <w:spacing w:val="0"/>
                      <w:sz w:val="21"/>
                      <w:szCs w:val="21"/>
                      <w:lang w:val="en-US" w:eastAsia="zh-CN"/>
                    </w:rPr>
                    <w:t>0.07</w:t>
                  </w:r>
                </w:p>
              </w:tc>
              <w:tc>
                <w:tcPr>
                  <w:tcW w:w="982" w:type="pct"/>
                  <w:vAlign w:val="center"/>
                </w:tcPr>
                <w:p>
                  <w:pPr>
                    <w:pStyle w:val="19"/>
                    <w:jc w:val="center"/>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ND</w:t>
                  </w:r>
                </w:p>
              </w:tc>
              <w:tc>
                <w:tcPr>
                  <w:tcW w:w="983"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第二次</w:t>
                  </w:r>
                </w:p>
              </w:tc>
              <w:tc>
                <w:tcPr>
                  <w:tcW w:w="1130"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cs="Times New Roman"/>
                      <w:color w:val="auto"/>
                      <w:spacing w:val="0"/>
                      <w:sz w:val="21"/>
                      <w:szCs w:val="21"/>
                      <w:lang w:val="en-US" w:eastAsia="zh-CN"/>
                    </w:rPr>
                    <w:t>0.07</w:t>
                  </w:r>
                </w:p>
              </w:tc>
              <w:tc>
                <w:tcPr>
                  <w:tcW w:w="982" w:type="pct"/>
                  <w:vAlign w:val="center"/>
                </w:tcPr>
                <w:p>
                  <w:pPr>
                    <w:pStyle w:val="19"/>
                    <w:jc w:val="center"/>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ND</w:t>
                  </w:r>
                </w:p>
              </w:tc>
              <w:tc>
                <w:tcPr>
                  <w:tcW w:w="983"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第三次</w:t>
                  </w:r>
                </w:p>
              </w:tc>
              <w:tc>
                <w:tcPr>
                  <w:tcW w:w="1130"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cs="Times New Roman"/>
                      <w:color w:val="auto"/>
                      <w:spacing w:val="0"/>
                      <w:sz w:val="21"/>
                      <w:szCs w:val="21"/>
                      <w:lang w:val="en-US" w:eastAsia="zh-CN"/>
                    </w:rPr>
                    <w:t>0.12</w:t>
                  </w:r>
                </w:p>
              </w:tc>
              <w:tc>
                <w:tcPr>
                  <w:tcW w:w="982" w:type="pct"/>
                  <w:vAlign w:val="center"/>
                </w:tcPr>
                <w:p>
                  <w:pPr>
                    <w:pStyle w:val="19"/>
                    <w:jc w:val="center"/>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ND</w:t>
                  </w:r>
                </w:p>
              </w:tc>
              <w:tc>
                <w:tcPr>
                  <w:tcW w:w="983"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第四次</w:t>
                  </w:r>
                </w:p>
              </w:tc>
              <w:tc>
                <w:tcPr>
                  <w:tcW w:w="1130"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cs="Times New Roman"/>
                      <w:color w:val="auto"/>
                      <w:spacing w:val="0"/>
                      <w:sz w:val="21"/>
                      <w:szCs w:val="21"/>
                      <w:lang w:val="en-US" w:eastAsia="zh-CN"/>
                    </w:rPr>
                    <w:t>0.18</w:t>
                  </w:r>
                </w:p>
              </w:tc>
              <w:tc>
                <w:tcPr>
                  <w:tcW w:w="982" w:type="pct"/>
                  <w:vAlign w:val="center"/>
                </w:tcPr>
                <w:p>
                  <w:pPr>
                    <w:pStyle w:val="19"/>
                    <w:jc w:val="center"/>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ND</w:t>
                  </w:r>
                </w:p>
              </w:tc>
              <w:tc>
                <w:tcPr>
                  <w:tcW w:w="983"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902" w:type="pct"/>
                  <w:gridSpan w:val="2"/>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最大值</w:t>
                  </w:r>
                </w:p>
              </w:tc>
              <w:tc>
                <w:tcPr>
                  <w:tcW w:w="1130"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fldChar w:fldCharType="begin"/>
                  </w:r>
                  <w:r>
                    <w:rPr>
                      <w:rFonts w:hint="default" w:ascii="Times New Roman" w:hAnsi="Times New Roman" w:eastAsia="宋体" w:cs="Times New Roman"/>
                      <w:color w:val="auto"/>
                      <w:spacing w:val="0"/>
                      <w:sz w:val="21"/>
                      <w:szCs w:val="21"/>
                      <w:lang w:val="en-US" w:eastAsia="zh-CN"/>
                    </w:rPr>
                    <w:instrText xml:space="preserve"> = max(C5:C20) \* MERGEFORMAT </w:instrText>
                  </w:r>
                  <w:r>
                    <w:rPr>
                      <w:rFonts w:hint="default" w:ascii="Times New Roman" w:hAnsi="Times New Roman" w:eastAsia="宋体" w:cs="Times New Roman"/>
                      <w:color w:val="auto"/>
                      <w:spacing w:val="0"/>
                      <w:sz w:val="21"/>
                      <w:szCs w:val="21"/>
                      <w:lang w:val="en-US" w:eastAsia="zh-CN"/>
                    </w:rPr>
                    <w:fldChar w:fldCharType="separate"/>
                  </w:r>
                  <w:r>
                    <w:rPr>
                      <w:rFonts w:hint="default" w:ascii="Times New Roman" w:hAnsi="Times New Roman" w:eastAsia="宋体" w:cs="Times New Roman"/>
                      <w:color w:val="auto"/>
                      <w:spacing w:val="0"/>
                      <w:sz w:val="21"/>
                      <w:szCs w:val="21"/>
                      <w:lang w:val="en-US" w:eastAsia="zh-CN"/>
                    </w:rPr>
                    <w:t>0.25</w:t>
                  </w:r>
                  <w:r>
                    <w:rPr>
                      <w:rFonts w:hint="default" w:ascii="Times New Roman" w:hAnsi="Times New Roman" w:eastAsia="宋体" w:cs="Times New Roman"/>
                      <w:color w:val="auto"/>
                      <w:spacing w:val="0"/>
                      <w:sz w:val="21"/>
                      <w:szCs w:val="21"/>
                      <w:lang w:val="en-US" w:eastAsia="zh-CN"/>
                    </w:rPr>
                    <w:fldChar w:fldCharType="end"/>
                  </w:r>
                </w:p>
              </w:tc>
              <w:tc>
                <w:tcPr>
                  <w:tcW w:w="982"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eastAsia" w:ascii="Times New Roman" w:hAnsi="Times New Roman" w:cs="Times New Roman"/>
                      <w:color w:val="auto"/>
                      <w:spacing w:val="0"/>
                      <w:sz w:val="21"/>
                      <w:szCs w:val="21"/>
                      <w:lang w:val="en-US" w:eastAsia="zh-CN"/>
                    </w:rPr>
                    <w:t>ND</w:t>
                  </w:r>
                </w:p>
              </w:tc>
              <w:tc>
                <w:tcPr>
                  <w:tcW w:w="983" w:type="pct"/>
                  <w:vAlign w:val="center"/>
                </w:tcPr>
                <w:p>
                  <w:pPr>
                    <w:pStyle w:val="19"/>
                    <w:jc w:val="center"/>
                    <w:rPr>
                      <w:rFonts w:hint="default" w:ascii="Times New Roman" w:hAnsi="Times New Roman" w:eastAsia="宋体" w:cs="Times New Roman"/>
                      <w:color w:val="auto"/>
                      <w:spacing w:val="0"/>
                      <w:sz w:val="21"/>
                      <w:szCs w:val="21"/>
                      <w:lang w:val="en-US" w:eastAsia="zh-CN" w:bidi="ar-SA"/>
                    </w:rPr>
                  </w:pPr>
                  <w:r>
                    <w:rPr>
                      <w:rFonts w:hint="default" w:ascii="Times New Roman" w:hAnsi="Times New Roman" w:eastAsia="宋体" w:cs="Times New Roman"/>
                      <w:color w:val="auto"/>
                      <w:spacing w:val="0"/>
                      <w:sz w:val="21"/>
                      <w:szCs w:val="21"/>
                      <w:lang w:val="en-US" w:eastAsia="zh-CN"/>
                    </w:rPr>
                    <w:fldChar w:fldCharType="begin"/>
                  </w:r>
                  <w:r>
                    <w:rPr>
                      <w:rFonts w:hint="default" w:ascii="Times New Roman" w:hAnsi="Times New Roman" w:eastAsia="宋体" w:cs="Times New Roman"/>
                      <w:color w:val="auto"/>
                      <w:spacing w:val="0"/>
                      <w:sz w:val="21"/>
                      <w:szCs w:val="21"/>
                      <w:lang w:val="en-US" w:eastAsia="zh-CN"/>
                    </w:rPr>
                    <w:instrText xml:space="preserve"> = max(E5:E20) \* MERGEFORMAT </w:instrText>
                  </w:r>
                  <w:r>
                    <w:rPr>
                      <w:rFonts w:hint="default" w:ascii="Times New Roman" w:hAnsi="Times New Roman" w:eastAsia="宋体" w:cs="Times New Roman"/>
                      <w:color w:val="auto"/>
                      <w:spacing w:val="0"/>
                      <w:sz w:val="21"/>
                      <w:szCs w:val="21"/>
                      <w:lang w:val="en-US" w:eastAsia="zh-CN"/>
                    </w:rPr>
                    <w:fldChar w:fldCharType="separate"/>
                  </w:r>
                  <w:r>
                    <w:rPr>
                      <w:rFonts w:hint="default" w:ascii="Times New Roman" w:hAnsi="Times New Roman" w:eastAsia="宋体" w:cs="Times New Roman"/>
                      <w:color w:val="auto"/>
                      <w:spacing w:val="0"/>
                      <w:sz w:val="21"/>
                      <w:szCs w:val="21"/>
                      <w:lang w:val="en-US" w:eastAsia="zh-CN"/>
                    </w:rPr>
                    <w:t>0.012</w:t>
                  </w:r>
                  <w:r>
                    <w:rPr>
                      <w:rFonts w:hint="default" w:ascii="Times New Roman" w:hAnsi="Times New Roman" w:eastAsia="宋体" w:cs="Times New Roman"/>
                      <w:color w:val="auto"/>
                      <w:spacing w:val="0"/>
                      <w:sz w:val="21"/>
                      <w:szCs w:val="21"/>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902" w:type="pct"/>
                  <w:gridSpan w:val="2"/>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标准限值</w:t>
                  </w:r>
                </w:p>
              </w:tc>
              <w:tc>
                <w:tcPr>
                  <w:tcW w:w="1130" w:type="pct"/>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1.5</w:t>
                  </w:r>
                </w:p>
              </w:tc>
              <w:tc>
                <w:tcPr>
                  <w:tcW w:w="982" w:type="pct"/>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0.06</w:t>
                  </w:r>
                </w:p>
              </w:tc>
              <w:tc>
                <w:tcPr>
                  <w:tcW w:w="983"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902" w:type="pct"/>
                  <w:gridSpan w:val="2"/>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kern w:val="0"/>
                      <w:sz w:val="21"/>
                      <w:szCs w:val="20"/>
                      <w:lang w:val="en-US" w:eastAsia="zh-CN" w:bidi="ar-SA"/>
                    </w:rPr>
                    <w:t>达标情况</w:t>
                  </w:r>
                </w:p>
              </w:tc>
              <w:tc>
                <w:tcPr>
                  <w:tcW w:w="1130"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kern w:val="0"/>
                      <w:sz w:val="21"/>
                      <w:szCs w:val="20"/>
                      <w:lang w:val="en-US" w:eastAsia="zh-CN" w:bidi="ar-SA"/>
                    </w:rPr>
                    <w:t>达标</w:t>
                  </w:r>
                </w:p>
              </w:tc>
              <w:tc>
                <w:tcPr>
                  <w:tcW w:w="98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kern w:val="0"/>
                      <w:sz w:val="21"/>
                      <w:szCs w:val="20"/>
                      <w:lang w:val="en-US" w:eastAsia="zh-CN" w:bidi="ar-SA"/>
                    </w:rPr>
                    <w:t>达标</w:t>
                  </w:r>
                </w:p>
              </w:tc>
              <w:tc>
                <w:tcPr>
                  <w:tcW w:w="983"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kern w:val="0"/>
                      <w:sz w:val="21"/>
                      <w:szCs w:val="20"/>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exact"/>
              </w:trPr>
              <w:tc>
                <w:tcPr>
                  <w:tcW w:w="5000" w:type="pct"/>
                  <w:gridSpan w:val="5"/>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kern w:val="0"/>
                      <w:sz w:val="21"/>
                      <w:szCs w:val="20"/>
                      <w:lang w:val="en-US" w:eastAsia="zh-CN" w:bidi="ar-SA"/>
                    </w:rPr>
                    <w:t>采样时间</w:t>
                  </w:r>
                </w:p>
              </w:tc>
              <w:tc>
                <w:tcPr>
                  <w:tcW w:w="4149" w:type="pct"/>
                  <w:gridSpan w:val="4"/>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kern w:val="0"/>
                      <w:sz w:val="21"/>
                      <w:szCs w:val="20"/>
                      <w:lang w:val="en-US" w:eastAsia="zh-CN" w:bidi="ar-SA"/>
                    </w:rPr>
                    <w:t>2023年6月</w:t>
                  </w:r>
                  <w:r>
                    <w:rPr>
                      <w:rFonts w:hint="eastAsia" w:ascii="Times New Roman" w:hAnsi="Times New Roman" w:eastAsia="宋体" w:cs="Times New Roman"/>
                      <w:b/>
                      <w:bCs/>
                      <w:color w:val="auto"/>
                      <w:kern w:val="0"/>
                      <w:sz w:val="21"/>
                      <w:szCs w:val="20"/>
                      <w:lang w:val="en-US" w:eastAsia="zh-CN" w:bidi="ar-SA"/>
                    </w:rPr>
                    <w:t>9</w:t>
                  </w:r>
                  <w:r>
                    <w:rPr>
                      <w:rFonts w:hint="default" w:ascii="Times New Roman" w:hAnsi="Times New Roman" w:eastAsia="宋体" w:cs="Times New Roman"/>
                      <w:b/>
                      <w:bCs/>
                      <w:color w:val="auto"/>
                      <w:kern w:val="0"/>
                      <w:sz w:val="21"/>
                      <w:szCs w:val="20"/>
                      <w:lang w:val="en-US" w:eastAsia="zh-CN" w:bidi="ar-S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50"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采样地点</w:t>
                  </w:r>
                </w:p>
              </w:tc>
              <w:tc>
                <w:tcPr>
                  <w:tcW w:w="1051"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监测频次</w:t>
                  </w:r>
                </w:p>
              </w:tc>
              <w:tc>
                <w:tcPr>
                  <w:tcW w:w="3097" w:type="pct"/>
                  <w:gridSpan w:val="3"/>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监测项目   单位：mg/m³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130" w:type="pct"/>
                  <w:vAlign w:val="center"/>
                </w:tcPr>
                <w:p>
                  <w:pPr>
                    <w:pStyle w:val="19"/>
                    <w:jc w:val="center"/>
                    <w:rPr>
                      <w:rFonts w:hint="default" w:ascii="Times New Roman" w:hAnsi="Times New Roman" w:eastAsia="宋体" w:cs="Times New Roman"/>
                      <w:color w:val="auto"/>
                      <w:sz w:val="24"/>
                      <w:szCs w:val="24"/>
                      <w:lang w:val="en-US" w:eastAsia="zh-CN" w:bidi="ar-SA"/>
                    </w:rPr>
                  </w:pPr>
                  <w:r>
                    <w:rPr>
                      <w:rFonts w:hint="eastAsia" w:ascii="Times New Roman" w:hAnsi="Times New Roman" w:cs="Times New Roman"/>
                      <w:color w:val="auto"/>
                      <w:spacing w:val="0"/>
                      <w:sz w:val="21"/>
                      <w:szCs w:val="21"/>
                      <w:lang w:val="en-US" w:eastAsia="zh-CN"/>
                    </w:rPr>
                    <w:t>氨</w:t>
                  </w:r>
                </w:p>
              </w:tc>
              <w:tc>
                <w:tcPr>
                  <w:tcW w:w="982" w:type="pct"/>
                  <w:vAlign w:val="center"/>
                </w:tcPr>
                <w:p>
                  <w:pPr>
                    <w:pStyle w:val="19"/>
                    <w:jc w:val="center"/>
                    <w:rPr>
                      <w:rFonts w:hint="default" w:ascii="Times New Roman" w:hAnsi="Times New Roman" w:eastAsia="宋体" w:cs="Times New Roman"/>
                      <w:color w:val="auto"/>
                      <w:sz w:val="24"/>
                      <w:szCs w:val="24"/>
                      <w:lang w:val="en-US" w:eastAsia="zh-CN" w:bidi="ar-SA"/>
                    </w:rPr>
                  </w:pPr>
                  <w:r>
                    <w:rPr>
                      <w:rFonts w:hint="eastAsia"/>
                      <w:color w:val="auto"/>
                      <w:kern w:val="0"/>
                      <w:sz w:val="21"/>
                      <w:szCs w:val="21"/>
                      <w:highlight w:val="none"/>
                      <w:lang w:val="en-US" w:eastAsia="zh-CN"/>
                    </w:rPr>
                    <w:t>硫化氢</w:t>
                  </w:r>
                </w:p>
              </w:tc>
              <w:tc>
                <w:tcPr>
                  <w:tcW w:w="983" w:type="pct"/>
                  <w:vAlign w:val="center"/>
                </w:tcPr>
                <w:p>
                  <w:pPr>
                    <w:pStyle w:val="19"/>
                    <w:jc w:val="center"/>
                    <w:rPr>
                      <w:rFonts w:hint="default" w:ascii="Times New Roman" w:hAnsi="Times New Roman" w:eastAsia="宋体" w:cs="Times New Roman"/>
                      <w:color w:val="auto"/>
                      <w:sz w:val="24"/>
                      <w:szCs w:val="24"/>
                      <w:lang w:val="en-US" w:eastAsia="zh-CN" w:bidi="ar-SA"/>
                    </w:rPr>
                  </w:pPr>
                  <w:r>
                    <w:rPr>
                      <w:rFonts w:hint="eastAsia"/>
                      <w:color w:val="auto"/>
                      <w:kern w:val="0"/>
                      <w:sz w:val="21"/>
                      <w:szCs w:val="21"/>
                      <w:highlight w:val="none"/>
                      <w:lang w:val="en-US" w:eastAsia="zh-CN"/>
                    </w:rPr>
                    <w:t>硫酸雾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上风向G1</w:t>
                  </w: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第一次</w:t>
                  </w:r>
                </w:p>
              </w:tc>
              <w:tc>
                <w:tcPr>
                  <w:tcW w:w="1876"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0.06</w:t>
                  </w:r>
                </w:p>
              </w:tc>
              <w:tc>
                <w:tcPr>
                  <w:tcW w:w="1630"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ND</w:t>
                  </w:r>
                </w:p>
              </w:tc>
              <w:tc>
                <w:tcPr>
                  <w:tcW w:w="1632"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第二次</w:t>
                  </w:r>
                </w:p>
              </w:tc>
              <w:tc>
                <w:tcPr>
                  <w:tcW w:w="1876"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0.06</w:t>
                  </w:r>
                </w:p>
              </w:tc>
              <w:tc>
                <w:tcPr>
                  <w:tcW w:w="1630"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ND</w:t>
                  </w:r>
                </w:p>
              </w:tc>
              <w:tc>
                <w:tcPr>
                  <w:tcW w:w="1632"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第三次</w:t>
                  </w:r>
                </w:p>
              </w:tc>
              <w:tc>
                <w:tcPr>
                  <w:tcW w:w="1876"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0.07</w:t>
                  </w:r>
                </w:p>
              </w:tc>
              <w:tc>
                <w:tcPr>
                  <w:tcW w:w="1630"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ND</w:t>
                  </w:r>
                </w:p>
              </w:tc>
              <w:tc>
                <w:tcPr>
                  <w:tcW w:w="1632"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第四次</w:t>
                  </w:r>
                </w:p>
              </w:tc>
              <w:tc>
                <w:tcPr>
                  <w:tcW w:w="1876"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0.07</w:t>
                  </w:r>
                </w:p>
              </w:tc>
              <w:tc>
                <w:tcPr>
                  <w:tcW w:w="1630"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ND</w:t>
                  </w:r>
                </w:p>
              </w:tc>
              <w:tc>
                <w:tcPr>
                  <w:tcW w:w="1632"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下风向G2</w:t>
                  </w: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第一次</w:t>
                  </w:r>
                </w:p>
              </w:tc>
              <w:tc>
                <w:tcPr>
                  <w:tcW w:w="1876"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0.14</w:t>
                  </w:r>
                </w:p>
              </w:tc>
              <w:tc>
                <w:tcPr>
                  <w:tcW w:w="1630"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ND</w:t>
                  </w:r>
                </w:p>
              </w:tc>
              <w:tc>
                <w:tcPr>
                  <w:tcW w:w="1632"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第二次</w:t>
                  </w:r>
                </w:p>
              </w:tc>
              <w:tc>
                <w:tcPr>
                  <w:tcW w:w="1876"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0.08</w:t>
                  </w:r>
                </w:p>
              </w:tc>
              <w:tc>
                <w:tcPr>
                  <w:tcW w:w="1630"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ND</w:t>
                  </w:r>
                </w:p>
              </w:tc>
              <w:tc>
                <w:tcPr>
                  <w:tcW w:w="1632"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第三次</w:t>
                  </w:r>
                </w:p>
              </w:tc>
              <w:tc>
                <w:tcPr>
                  <w:tcW w:w="1876"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0.08</w:t>
                  </w:r>
                </w:p>
              </w:tc>
              <w:tc>
                <w:tcPr>
                  <w:tcW w:w="1630"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ND</w:t>
                  </w:r>
                </w:p>
              </w:tc>
              <w:tc>
                <w:tcPr>
                  <w:tcW w:w="1632"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第四次</w:t>
                  </w:r>
                </w:p>
              </w:tc>
              <w:tc>
                <w:tcPr>
                  <w:tcW w:w="1876"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0.07</w:t>
                  </w:r>
                </w:p>
              </w:tc>
              <w:tc>
                <w:tcPr>
                  <w:tcW w:w="1630"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ND</w:t>
                  </w:r>
                </w:p>
              </w:tc>
              <w:tc>
                <w:tcPr>
                  <w:tcW w:w="1632"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下风向G3</w:t>
                  </w: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第一次</w:t>
                  </w:r>
                </w:p>
              </w:tc>
              <w:tc>
                <w:tcPr>
                  <w:tcW w:w="1876"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0.09</w:t>
                  </w:r>
                </w:p>
              </w:tc>
              <w:tc>
                <w:tcPr>
                  <w:tcW w:w="1630"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ND</w:t>
                  </w:r>
                </w:p>
              </w:tc>
              <w:tc>
                <w:tcPr>
                  <w:tcW w:w="1632"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第二次</w:t>
                  </w:r>
                </w:p>
              </w:tc>
              <w:tc>
                <w:tcPr>
                  <w:tcW w:w="1876"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0.09</w:t>
                  </w:r>
                </w:p>
              </w:tc>
              <w:tc>
                <w:tcPr>
                  <w:tcW w:w="1630"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ND</w:t>
                  </w:r>
                </w:p>
              </w:tc>
              <w:tc>
                <w:tcPr>
                  <w:tcW w:w="1632"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第三次</w:t>
                  </w:r>
                </w:p>
              </w:tc>
              <w:tc>
                <w:tcPr>
                  <w:tcW w:w="1876"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0.15</w:t>
                  </w:r>
                </w:p>
              </w:tc>
              <w:tc>
                <w:tcPr>
                  <w:tcW w:w="1630"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ND</w:t>
                  </w:r>
                </w:p>
              </w:tc>
              <w:tc>
                <w:tcPr>
                  <w:tcW w:w="1632"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第四次</w:t>
                  </w:r>
                </w:p>
              </w:tc>
              <w:tc>
                <w:tcPr>
                  <w:tcW w:w="1876"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0.10</w:t>
                  </w:r>
                </w:p>
              </w:tc>
              <w:tc>
                <w:tcPr>
                  <w:tcW w:w="1630"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ND</w:t>
                  </w:r>
                </w:p>
              </w:tc>
              <w:tc>
                <w:tcPr>
                  <w:tcW w:w="1632"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下风向G4</w:t>
                  </w: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第一次</w:t>
                  </w:r>
                </w:p>
              </w:tc>
              <w:tc>
                <w:tcPr>
                  <w:tcW w:w="1876"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0.08</w:t>
                  </w:r>
                </w:p>
              </w:tc>
              <w:tc>
                <w:tcPr>
                  <w:tcW w:w="1630"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ND</w:t>
                  </w:r>
                </w:p>
              </w:tc>
              <w:tc>
                <w:tcPr>
                  <w:tcW w:w="1632"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第二次</w:t>
                  </w:r>
                </w:p>
              </w:tc>
              <w:tc>
                <w:tcPr>
                  <w:tcW w:w="1876"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0.08</w:t>
                  </w:r>
                </w:p>
              </w:tc>
              <w:tc>
                <w:tcPr>
                  <w:tcW w:w="1630"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ND</w:t>
                  </w:r>
                </w:p>
              </w:tc>
              <w:tc>
                <w:tcPr>
                  <w:tcW w:w="1632"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eastAsia"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第三次</w:t>
                  </w:r>
                </w:p>
              </w:tc>
              <w:tc>
                <w:tcPr>
                  <w:tcW w:w="1876"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0.07</w:t>
                  </w:r>
                </w:p>
              </w:tc>
              <w:tc>
                <w:tcPr>
                  <w:tcW w:w="1630"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ND</w:t>
                  </w:r>
                </w:p>
              </w:tc>
              <w:tc>
                <w:tcPr>
                  <w:tcW w:w="1632"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0"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p>
              </w:tc>
              <w:tc>
                <w:tcPr>
                  <w:tcW w:w="1051"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第四次</w:t>
                  </w:r>
                </w:p>
              </w:tc>
              <w:tc>
                <w:tcPr>
                  <w:tcW w:w="1876"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0.06</w:t>
                  </w:r>
                </w:p>
              </w:tc>
              <w:tc>
                <w:tcPr>
                  <w:tcW w:w="1630"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ND</w:t>
                  </w:r>
                </w:p>
              </w:tc>
              <w:tc>
                <w:tcPr>
                  <w:tcW w:w="1632"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902" w:type="pct"/>
                  <w:gridSpan w:val="2"/>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最大值</w:t>
                  </w:r>
                </w:p>
              </w:tc>
              <w:tc>
                <w:tcPr>
                  <w:tcW w:w="1876" w:type="dxa"/>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max(C5:C20)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lang w:val="en-US" w:eastAsia="zh-CN"/>
                    </w:rPr>
                    <w:t>0.15</w:t>
                  </w:r>
                  <w:r>
                    <w:rPr>
                      <w:rFonts w:hint="default" w:ascii="Times New Roman" w:hAnsi="Times New Roman" w:eastAsia="宋体" w:cs="Times New Roman"/>
                      <w:color w:val="auto"/>
                      <w:lang w:val="en-US" w:eastAsia="zh-CN"/>
                    </w:rPr>
                    <w:fldChar w:fldCharType="end"/>
                  </w:r>
                </w:p>
              </w:tc>
              <w:tc>
                <w:tcPr>
                  <w:tcW w:w="1630" w:type="dxa"/>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ND</w:t>
                  </w:r>
                </w:p>
              </w:tc>
              <w:tc>
                <w:tcPr>
                  <w:tcW w:w="1632" w:type="dxa"/>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max(E5:E20)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lang w:val="en-US" w:eastAsia="zh-CN"/>
                    </w:rPr>
                    <w:t>0.021</w:t>
                  </w:r>
                  <w:r>
                    <w:rPr>
                      <w:rFonts w:hint="default" w:ascii="Times New Roman" w:hAnsi="Times New Roman" w:eastAsia="宋体" w:cs="Times New Roman"/>
                      <w:color w:val="auto"/>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902" w:type="pct"/>
                  <w:gridSpan w:val="2"/>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标准限值</w:t>
                  </w:r>
                </w:p>
              </w:tc>
              <w:tc>
                <w:tcPr>
                  <w:tcW w:w="1130"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1.5</w:t>
                  </w:r>
                </w:p>
              </w:tc>
              <w:tc>
                <w:tcPr>
                  <w:tcW w:w="982"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0.06</w:t>
                  </w:r>
                </w:p>
              </w:tc>
              <w:tc>
                <w:tcPr>
                  <w:tcW w:w="983" w:type="pct"/>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kern w:val="0"/>
                      <w:sz w:val="21"/>
                      <w:szCs w:val="20"/>
                      <w:lang w:val="en-US" w:eastAsia="zh-CN" w:bidi="ar-SA"/>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902" w:type="pct"/>
                  <w:gridSpan w:val="2"/>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kern w:val="0"/>
                      <w:sz w:val="21"/>
                      <w:szCs w:val="20"/>
                      <w:lang w:val="en-US" w:eastAsia="zh-CN" w:bidi="ar-SA"/>
                    </w:rPr>
                    <w:t>达标情况</w:t>
                  </w:r>
                </w:p>
              </w:tc>
              <w:tc>
                <w:tcPr>
                  <w:tcW w:w="1130"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kern w:val="0"/>
                      <w:sz w:val="21"/>
                      <w:szCs w:val="20"/>
                      <w:lang w:val="en-US" w:eastAsia="zh-CN" w:bidi="ar-SA"/>
                    </w:rPr>
                    <w:t>达标</w:t>
                  </w:r>
                </w:p>
              </w:tc>
              <w:tc>
                <w:tcPr>
                  <w:tcW w:w="982"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kern w:val="0"/>
                      <w:sz w:val="21"/>
                      <w:szCs w:val="20"/>
                      <w:lang w:val="en-US" w:eastAsia="zh-CN" w:bidi="ar-SA"/>
                    </w:rPr>
                    <w:t>达标</w:t>
                  </w:r>
                </w:p>
              </w:tc>
              <w:tc>
                <w:tcPr>
                  <w:tcW w:w="983"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kern w:val="0"/>
                      <w:sz w:val="21"/>
                      <w:szCs w:val="20"/>
                      <w:lang w:val="en-US" w:eastAsia="zh-CN" w:bidi="ar-SA"/>
                    </w:rPr>
                    <w:t>达标</w:t>
                  </w:r>
                </w:p>
              </w:tc>
            </w:tr>
          </w:tbl>
          <w:p>
            <w:pPr>
              <w:keepNext w:val="0"/>
              <w:keepLines w:val="0"/>
              <w:pageBreakBefore w:val="0"/>
              <w:widowControl w:val="0"/>
              <w:kinsoku/>
              <w:wordWrap/>
              <w:overflowPunct/>
              <w:topLinePunct w:val="0"/>
              <w:autoSpaceDE/>
              <w:autoSpaceDN/>
              <w:bidi w:val="0"/>
              <w:adjustRightInd/>
              <w:snapToGrid/>
              <w:spacing w:before="167" w:beforeLines="5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zh-CN"/>
              </w:rPr>
              <w:t>表</w:t>
            </w:r>
            <w:r>
              <w:rPr>
                <w:rFonts w:hint="default" w:ascii="Times New Roman" w:hAnsi="Times New Roman" w:eastAsia="宋体" w:cs="Times New Roman"/>
                <w:b/>
                <w:bCs/>
                <w:color w:val="auto"/>
                <w:sz w:val="24"/>
                <w:lang w:val="en-US" w:eastAsia="zh-CN"/>
              </w:rPr>
              <w:t>8</w:t>
            </w:r>
            <w:r>
              <w:rPr>
                <w:rFonts w:hint="default" w:ascii="Times New Roman" w:hAnsi="Times New Roman" w:eastAsia="宋体" w:cs="Times New Roman"/>
                <w:b/>
                <w:bCs/>
                <w:color w:val="auto"/>
                <w:sz w:val="24"/>
              </w:rPr>
              <w:t>-</w:t>
            </w:r>
            <w:r>
              <w:rPr>
                <w:rFonts w:hint="eastAsia" w:ascii="Times New Roman" w:hAnsi="Times New Roman" w:cs="Times New Roman"/>
                <w:b/>
                <w:bCs/>
                <w:color w:val="auto"/>
                <w:sz w:val="24"/>
                <w:lang w:val="en-US" w:eastAsia="zh-CN"/>
              </w:rPr>
              <w:t>5</w:t>
            </w:r>
            <w:r>
              <w:rPr>
                <w:rFonts w:hint="default"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lang w:val="en-US" w:eastAsia="zh-CN"/>
              </w:rPr>
              <w:t>无组织</w:t>
            </w:r>
            <w:r>
              <w:rPr>
                <w:rFonts w:hint="default" w:ascii="Times New Roman" w:hAnsi="Times New Roman" w:eastAsia="宋体" w:cs="Times New Roman"/>
                <w:b/>
                <w:bCs/>
                <w:color w:val="auto"/>
                <w:sz w:val="24"/>
              </w:rPr>
              <w:t>监测</w:t>
            </w:r>
            <w:r>
              <w:rPr>
                <w:rFonts w:hint="default" w:ascii="Times New Roman" w:hAnsi="Times New Roman" w:eastAsia="宋体" w:cs="Times New Roman"/>
                <w:b/>
                <w:bCs/>
                <w:color w:val="auto"/>
                <w:sz w:val="24"/>
                <w:lang w:val="en-US" w:eastAsia="zh-CN"/>
              </w:rPr>
              <w:t>期间气象参数表</w:t>
            </w:r>
          </w:p>
          <w:p>
            <w:pPr>
              <w:pStyle w:val="20"/>
              <w:bidi w:val="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颗粒物（总悬浮颗粒物）</w:t>
            </w:r>
            <w:r>
              <w:rPr>
                <w:rFonts w:hint="eastAsia" w:ascii="Times New Roman" w:hAnsi="Times New Roman" w:cs="Times New Roman"/>
                <w:color w:val="auto"/>
                <w:lang w:val="en-US" w:eastAsia="zh-CN"/>
              </w:rPr>
              <w:t>、氮氧化物、氟化物</w:t>
            </w:r>
            <w:r>
              <w:rPr>
                <w:rFonts w:hint="default" w:ascii="Times New Roman" w:hAnsi="Times New Roman" w:eastAsia="宋体" w:cs="Times New Roman"/>
                <w:color w:val="auto"/>
                <w:lang w:val="en-US" w:eastAsia="zh-CN"/>
              </w:rPr>
              <w:t>：</w:t>
            </w:r>
          </w:p>
          <w:tbl>
            <w:tblPr>
              <w:tblStyle w:val="16"/>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079"/>
              <w:gridCol w:w="1018"/>
              <w:gridCol w:w="1235"/>
              <w:gridCol w:w="1478"/>
              <w:gridCol w:w="1097"/>
              <w:gridCol w:w="965"/>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7" w:hRule="atLeast"/>
              </w:trPr>
              <w:tc>
                <w:tcPr>
                  <w:tcW w:w="650" w:type="pct"/>
                  <w:shd w:val="clear" w:color="auto" w:fill="auto"/>
                  <w:vAlign w:val="center"/>
                  <mc:AlternateContent>
                    <mc:Choice Requires="wpsCustomData">
                      <wpsCustomData:diagonals>
                        <wpsCustomData:diagonal from="10000" to="30000">
                          <wpsCustomData:border w:val="single" w:color="auto" w:sz="4" w:space="0"/>
                        </wpsCustomData:diagonal>
                      </wpsCustomData:diagonals>
                    </mc:Choice>
                  </mc:AlternateContent>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p>
                <w:p>
                  <w:pPr>
                    <w:widowControl w:val="0"/>
                    <w:overflowPunct w:val="0"/>
                    <w:bidi w:val="0"/>
                    <w:adjustRightInd w:val="0"/>
                    <w:spacing w:line="240" w:lineRule="auto"/>
                    <w:ind w:firstLine="0" w:firstLineChars="0"/>
                    <w:jc w:val="center"/>
                    <w:textAlignment w:val="baseline"/>
                    <mc:AlternateContent>
                      <mc:Choice Requires="wpsCustomData">
                        <wpsCustomData:diagonalParaType/>
                      </mc:Choice>
                    </mc:AlternateContent>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期</w:t>
                  </w:r>
                </w:p>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p>
              </w:tc>
              <w:tc>
                <w:tcPr>
                  <w:tcW w:w="613"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频次</w:t>
                  </w:r>
                </w:p>
              </w:tc>
              <w:tc>
                <w:tcPr>
                  <w:tcW w:w="744"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en-US" w:bidi="ar-SA"/>
                    </w:rPr>
                  </w:pPr>
                  <w:r>
                    <w:rPr>
                      <w:rFonts w:hint="default" w:ascii="Times New Roman" w:hAnsi="Times New Roman" w:eastAsia="宋体" w:cs="Times New Roman"/>
                      <w:b/>
                      <w:bCs/>
                      <w:color w:val="auto"/>
                      <w:kern w:val="0"/>
                      <w:sz w:val="21"/>
                      <w:szCs w:val="21"/>
                      <w:lang w:val="en-US" w:eastAsia="zh-CN" w:bidi="ar-SA"/>
                    </w:rPr>
                    <w:t>气温（K）</w:t>
                  </w:r>
                </w:p>
              </w:tc>
              <w:tc>
                <w:tcPr>
                  <w:tcW w:w="890"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en-US" w:bidi="ar-SA"/>
                    </w:rPr>
                  </w:pPr>
                  <w:r>
                    <w:rPr>
                      <w:rFonts w:hint="default" w:ascii="Times New Roman" w:hAnsi="Times New Roman" w:eastAsia="宋体" w:cs="Times New Roman"/>
                      <w:b/>
                      <w:bCs/>
                      <w:color w:val="auto"/>
                      <w:kern w:val="0"/>
                      <w:sz w:val="21"/>
                      <w:szCs w:val="21"/>
                      <w:lang w:val="en-US" w:eastAsia="zh-CN" w:bidi="ar-SA"/>
                    </w:rPr>
                    <w:t>大气压（kPa）</w:t>
                  </w:r>
                </w:p>
              </w:tc>
              <w:tc>
                <w:tcPr>
                  <w:tcW w:w="661"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en-US" w:bidi="ar-SA"/>
                    </w:rPr>
                  </w:pPr>
                  <w:r>
                    <w:rPr>
                      <w:rFonts w:hint="default" w:ascii="Times New Roman" w:hAnsi="Times New Roman" w:eastAsia="宋体" w:cs="Times New Roman"/>
                      <w:b/>
                      <w:bCs/>
                      <w:color w:val="auto"/>
                      <w:kern w:val="0"/>
                      <w:sz w:val="21"/>
                      <w:szCs w:val="21"/>
                      <w:lang w:val="en-US" w:eastAsia="zh-CN" w:bidi="ar-SA"/>
                    </w:rPr>
                    <w:t>湿度（%）</w:t>
                  </w:r>
                </w:p>
              </w:tc>
              <w:tc>
                <w:tcPr>
                  <w:tcW w:w="581"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en-US" w:bidi="ar-SA"/>
                    </w:rPr>
                  </w:pPr>
                  <w:r>
                    <w:rPr>
                      <w:rFonts w:hint="default" w:ascii="Times New Roman" w:hAnsi="Times New Roman" w:eastAsia="宋体" w:cs="Times New Roman"/>
                      <w:b/>
                      <w:bCs/>
                      <w:color w:val="auto"/>
                      <w:kern w:val="0"/>
                      <w:sz w:val="21"/>
                      <w:szCs w:val="21"/>
                      <w:lang w:val="en-US" w:eastAsia="zh-CN" w:bidi="ar-SA"/>
                    </w:rPr>
                    <w:t>风向</w:t>
                  </w:r>
                </w:p>
              </w:tc>
              <w:tc>
                <w:tcPr>
                  <w:tcW w:w="859"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7" w:hRule="atLeast"/>
              </w:trPr>
              <w:tc>
                <w:tcPr>
                  <w:tcW w:w="650" w:type="pct"/>
                  <w:vMerge w:val="restar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202</w:t>
                  </w:r>
                  <w:r>
                    <w:rPr>
                      <w:rFonts w:hint="eastAsia" w:ascii="Times New Roman" w:hAnsi="Times New Roman" w:cs="Times New Roman"/>
                      <w:color w:val="auto"/>
                      <w:kern w:val="0"/>
                      <w:sz w:val="21"/>
                      <w:szCs w:val="21"/>
                      <w:lang w:val="en-US" w:eastAsia="zh-CN" w:bidi="ar-SA"/>
                    </w:rPr>
                    <w:t>3</w:t>
                  </w: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6/8</w:t>
                  </w:r>
                </w:p>
              </w:tc>
              <w:tc>
                <w:tcPr>
                  <w:tcW w:w="613" w:type="pct"/>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第一次</w:t>
                  </w:r>
                </w:p>
              </w:tc>
              <w:tc>
                <w:tcPr>
                  <w:tcW w:w="744"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301.7</w:t>
                  </w:r>
                </w:p>
              </w:tc>
              <w:tc>
                <w:tcPr>
                  <w:tcW w:w="890"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100.5</w:t>
                  </w:r>
                </w:p>
              </w:tc>
              <w:tc>
                <w:tcPr>
                  <w:tcW w:w="661"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59</w:t>
                  </w:r>
                </w:p>
              </w:tc>
              <w:tc>
                <w:tcPr>
                  <w:tcW w:w="581"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南</w:t>
                  </w:r>
                </w:p>
              </w:tc>
              <w:tc>
                <w:tcPr>
                  <w:tcW w:w="859"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7" w:hRule="atLeast"/>
              </w:trPr>
              <w:tc>
                <w:tcPr>
                  <w:tcW w:w="650" w:type="pct"/>
                  <w:vMerge w:val="continue"/>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613" w:type="pct"/>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第二次</w:t>
                  </w:r>
                </w:p>
              </w:tc>
              <w:tc>
                <w:tcPr>
                  <w:tcW w:w="744"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303.1</w:t>
                  </w:r>
                </w:p>
              </w:tc>
              <w:tc>
                <w:tcPr>
                  <w:tcW w:w="890"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100.4</w:t>
                  </w:r>
                </w:p>
              </w:tc>
              <w:tc>
                <w:tcPr>
                  <w:tcW w:w="661"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51</w:t>
                  </w:r>
                </w:p>
              </w:tc>
              <w:tc>
                <w:tcPr>
                  <w:tcW w:w="581"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南</w:t>
                  </w:r>
                </w:p>
              </w:tc>
              <w:tc>
                <w:tcPr>
                  <w:tcW w:w="859"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7" w:hRule="atLeast"/>
              </w:trPr>
              <w:tc>
                <w:tcPr>
                  <w:tcW w:w="650" w:type="pct"/>
                  <w:vMerge w:val="continue"/>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613" w:type="pct"/>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第三次</w:t>
                  </w:r>
                </w:p>
              </w:tc>
              <w:tc>
                <w:tcPr>
                  <w:tcW w:w="744" w:type="pct"/>
                  <w:shd w:val="clear" w:color="auto" w:fill="auto"/>
                  <w:vAlign w:val="center"/>
                </w:tcPr>
                <w:p>
                  <w:pPr>
                    <w:pStyle w:val="20"/>
                    <w:bidi w:val="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305.0</w:t>
                  </w:r>
                </w:p>
              </w:tc>
              <w:tc>
                <w:tcPr>
                  <w:tcW w:w="890" w:type="pct"/>
                  <w:shd w:val="clear" w:color="auto" w:fill="auto"/>
                  <w:vAlign w:val="center"/>
                </w:tcPr>
                <w:p>
                  <w:pPr>
                    <w:pStyle w:val="20"/>
                    <w:bidi w:val="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100.3</w:t>
                  </w:r>
                </w:p>
              </w:tc>
              <w:tc>
                <w:tcPr>
                  <w:tcW w:w="661" w:type="pct"/>
                  <w:shd w:val="clear" w:color="auto" w:fill="auto"/>
                  <w:vAlign w:val="center"/>
                </w:tcPr>
                <w:p>
                  <w:pPr>
                    <w:pStyle w:val="20"/>
                    <w:bidi w:val="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47</w:t>
                  </w:r>
                </w:p>
              </w:tc>
              <w:tc>
                <w:tcPr>
                  <w:tcW w:w="581" w:type="pct"/>
                  <w:shd w:val="clear" w:color="auto" w:fill="auto"/>
                  <w:vAlign w:val="center"/>
                </w:tcPr>
                <w:p>
                  <w:pPr>
                    <w:pStyle w:val="20"/>
                    <w:bidi w:val="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南</w:t>
                  </w:r>
                </w:p>
              </w:tc>
              <w:tc>
                <w:tcPr>
                  <w:tcW w:w="859" w:type="pct"/>
                  <w:shd w:val="clear" w:color="auto" w:fill="auto"/>
                  <w:vAlign w:val="center"/>
                </w:tcPr>
                <w:p>
                  <w:pPr>
                    <w:pStyle w:val="20"/>
                    <w:bidi w:val="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7" w:hRule="atLeast"/>
              </w:trPr>
              <w:tc>
                <w:tcPr>
                  <w:tcW w:w="650" w:type="pct"/>
                  <w:vMerge w:val="continue"/>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613" w:type="pct"/>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第四次</w:t>
                  </w:r>
                </w:p>
              </w:tc>
              <w:tc>
                <w:tcPr>
                  <w:tcW w:w="744"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304.3</w:t>
                  </w:r>
                </w:p>
              </w:tc>
              <w:tc>
                <w:tcPr>
                  <w:tcW w:w="890"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100.3</w:t>
                  </w:r>
                </w:p>
              </w:tc>
              <w:tc>
                <w:tcPr>
                  <w:tcW w:w="661"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43</w:t>
                  </w:r>
                </w:p>
              </w:tc>
              <w:tc>
                <w:tcPr>
                  <w:tcW w:w="581"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南</w:t>
                  </w:r>
                </w:p>
              </w:tc>
              <w:tc>
                <w:tcPr>
                  <w:tcW w:w="859"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7" w:hRule="atLeast"/>
              </w:trPr>
              <w:tc>
                <w:tcPr>
                  <w:tcW w:w="650" w:type="pct"/>
                  <w:vMerge w:val="restar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202</w:t>
                  </w:r>
                  <w:r>
                    <w:rPr>
                      <w:rFonts w:hint="eastAsia" w:ascii="Times New Roman" w:hAnsi="Times New Roman" w:cs="Times New Roman"/>
                      <w:color w:val="auto"/>
                      <w:kern w:val="0"/>
                      <w:sz w:val="21"/>
                      <w:szCs w:val="21"/>
                      <w:lang w:val="en-US" w:eastAsia="zh-CN" w:bidi="ar-SA"/>
                    </w:rPr>
                    <w:t>3</w:t>
                  </w:r>
                  <w:r>
                    <w:rPr>
                      <w:rFonts w:hint="default" w:ascii="Times New Roman" w:hAnsi="Times New Roman" w:eastAsia="宋体" w:cs="Times New Roman"/>
                      <w:color w:val="auto"/>
                      <w:kern w:val="0"/>
                      <w:sz w:val="21"/>
                      <w:szCs w:val="21"/>
                      <w:lang w:val="en-US" w:eastAsia="zh-CN" w:bidi="ar-SA"/>
                    </w:rPr>
                    <w:t>/</w:t>
                  </w:r>
                  <w:r>
                    <w:rPr>
                      <w:rFonts w:hint="eastAsia" w:ascii="Times New Roman" w:hAnsi="Times New Roman" w:cs="Times New Roman"/>
                      <w:color w:val="auto"/>
                      <w:kern w:val="0"/>
                      <w:sz w:val="21"/>
                      <w:szCs w:val="21"/>
                      <w:lang w:val="en-US" w:eastAsia="zh-CN" w:bidi="ar-SA"/>
                    </w:rPr>
                    <w:t>6/9</w:t>
                  </w:r>
                </w:p>
              </w:tc>
              <w:tc>
                <w:tcPr>
                  <w:tcW w:w="613" w:type="pct"/>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第一次</w:t>
                  </w:r>
                </w:p>
              </w:tc>
              <w:tc>
                <w:tcPr>
                  <w:tcW w:w="744"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303.1</w:t>
                  </w:r>
                </w:p>
              </w:tc>
              <w:tc>
                <w:tcPr>
                  <w:tcW w:w="890"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100.4</w:t>
                  </w:r>
                </w:p>
              </w:tc>
              <w:tc>
                <w:tcPr>
                  <w:tcW w:w="661"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58</w:t>
                  </w:r>
                </w:p>
              </w:tc>
              <w:tc>
                <w:tcPr>
                  <w:tcW w:w="581"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南</w:t>
                  </w:r>
                </w:p>
              </w:tc>
              <w:tc>
                <w:tcPr>
                  <w:tcW w:w="859"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7" w:hRule="atLeast"/>
              </w:trPr>
              <w:tc>
                <w:tcPr>
                  <w:tcW w:w="650" w:type="pct"/>
                  <w:vMerge w:val="continue"/>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613" w:type="pct"/>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第二次</w:t>
                  </w:r>
                </w:p>
              </w:tc>
              <w:tc>
                <w:tcPr>
                  <w:tcW w:w="744"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304.5</w:t>
                  </w:r>
                </w:p>
              </w:tc>
              <w:tc>
                <w:tcPr>
                  <w:tcW w:w="890"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100.3</w:t>
                  </w:r>
                </w:p>
              </w:tc>
              <w:tc>
                <w:tcPr>
                  <w:tcW w:w="661"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w:t>
                  </w:r>
                </w:p>
              </w:tc>
              <w:tc>
                <w:tcPr>
                  <w:tcW w:w="581"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南</w:t>
                  </w:r>
                </w:p>
              </w:tc>
              <w:tc>
                <w:tcPr>
                  <w:tcW w:w="859"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97" w:hRule="atLeast"/>
              </w:trPr>
              <w:tc>
                <w:tcPr>
                  <w:tcW w:w="650" w:type="pct"/>
                  <w:vMerge w:val="continue"/>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613" w:type="pct"/>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第三次</w:t>
                  </w:r>
                </w:p>
              </w:tc>
              <w:tc>
                <w:tcPr>
                  <w:tcW w:w="744" w:type="pct"/>
                  <w:shd w:val="clear" w:color="auto" w:fill="auto"/>
                  <w:vAlign w:val="center"/>
                </w:tcPr>
                <w:p>
                  <w:pPr>
                    <w:pStyle w:val="20"/>
                    <w:bidi w:val="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306.2</w:t>
                  </w:r>
                </w:p>
              </w:tc>
              <w:tc>
                <w:tcPr>
                  <w:tcW w:w="890" w:type="pct"/>
                  <w:shd w:val="clear" w:color="auto" w:fill="auto"/>
                  <w:vAlign w:val="center"/>
                </w:tcPr>
                <w:p>
                  <w:pPr>
                    <w:pStyle w:val="20"/>
                    <w:bidi w:val="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100.2</w:t>
                  </w:r>
                </w:p>
              </w:tc>
              <w:tc>
                <w:tcPr>
                  <w:tcW w:w="661" w:type="pct"/>
                  <w:shd w:val="clear" w:color="auto" w:fill="auto"/>
                  <w:vAlign w:val="center"/>
                </w:tcPr>
                <w:p>
                  <w:pPr>
                    <w:pStyle w:val="20"/>
                    <w:bidi w:val="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45</w:t>
                  </w:r>
                </w:p>
              </w:tc>
              <w:tc>
                <w:tcPr>
                  <w:tcW w:w="581" w:type="pct"/>
                  <w:shd w:val="clear" w:color="auto" w:fill="auto"/>
                  <w:vAlign w:val="center"/>
                </w:tcPr>
                <w:p>
                  <w:pPr>
                    <w:pStyle w:val="20"/>
                    <w:bidi w:val="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南</w:t>
                  </w:r>
                </w:p>
              </w:tc>
              <w:tc>
                <w:tcPr>
                  <w:tcW w:w="859" w:type="pct"/>
                  <w:shd w:val="clear" w:color="auto" w:fill="auto"/>
                  <w:vAlign w:val="center"/>
                </w:tcPr>
                <w:p>
                  <w:pPr>
                    <w:pStyle w:val="20"/>
                    <w:bidi w:val="0"/>
                    <w:ind w:firstLine="0" w:firstLineChars="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atLeast"/>
              </w:trPr>
              <w:tc>
                <w:tcPr>
                  <w:tcW w:w="650" w:type="pct"/>
                  <w:vMerge w:val="continue"/>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bidi="ar-SA"/>
                    </w:rPr>
                  </w:pPr>
                </w:p>
              </w:tc>
              <w:tc>
                <w:tcPr>
                  <w:tcW w:w="613" w:type="pct"/>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eastAsia" w:ascii="Times New Roman" w:hAnsi="Times New Roman" w:cs="Times New Roman"/>
                      <w:color w:val="auto"/>
                      <w:lang w:val="en-US" w:eastAsia="zh-CN"/>
                    </w:rPr>
                    <w:t>第四次</w:t>
                  </w:r>
                </w:p>
              </w:tc>
              <w:tc>
                <w:tcPr>
                  <w:tcW w:w="744"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306.7</w:t>
                  </w:r>
                </w:p>
              </w:tc>
              <w:tc>
                <w:tcPr>
                  <w:tcW w:w="890"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100.1</w:t>
                  </w:r>
                </w:p>
              </w:tc>
              <w:tc>
                <w:tcPr>
                  <w:tcW w:w="661"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w:t>
                  </w:r>
                </w:p>
              </w:tc>
              <w:tc>
                <w:tcPr>
                  <w:tcW w:w="581"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南</w:t>
                  </w:r>
                </w:p>
              </w:tc>
              <w:tc>
                <w:tcPr>
                  <w:tcW w:w="859" w:type="pct"/>
                  <w:shd w:val="clear" w:color="auto" w:fill="auto"/>
                  <w:vAlign w:val="center"/>
                </w:tcPr>
                <w:p>
                  <w:pPr>
                    <w:pStyle w:val="20"/>
                    <w:bidi w:val="0"/>
                    <w:ind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2.2</w:t>
                  </w:r>
                </w:p>
              </w:tc>
            </w:tr>
          </w:tbl>
          <w:p>
            <w:pPr>
              <w:pStyle w:val="19"/>
              <w:jc w:val="both"/>
              <w:rPr>
                <w:rFonts w:hint="default" w:ascii="Times New Roman" w:hAnsi="Times New Roman" w:eastAsia="宋体" w:cs="Times New Roman"/>
                <w:color w:val="auto"/>
                <w:vertAlign w:val="baseline"/>
                <w:lang w:val="zh-CN"/>
              </w:rPr>
            </w:pPr>
          </w:p>
        </w:tc>
      </w:tr>
    </w:tbl>
    <w:p>
      <w:pPr>
        <w:pStyle w:val="19"/>
        <w:rPr>
          <w:rFonts w:hint="default" w:ascii="Times New Roman" w:hAnsi="Times New Roman" w:eastAsia="宋体" w:cs="Times New Roman"/>
          <w:color w:val="auto"/>
          <w:lang w:val="zh-CN"/>
        </w:rPr>
      </w:pPr>
    </w:p>
    <w:p>
      <w:pPr>
        <w:rPr>
          <w:rFonts w:hint="default" w:ascii="Times New Roman" w:hAnsi="Times New Roman" w:eastAsia="宋体" w:cs="Times New Roman"/>
          <w:b/>
          <w:bCs/>
          <w:color w:val="auto"/>
          <w:sz w:val="28"/>
          <w:szCs w:val="28"/>
          <w:lang w:val="zh-CN"/>
        </w:rPr>
      </w:pPr>
      <w:r>
        <w:rPr>
          <w:rFonts w:hint="default" w:ascii="Times New Roman" w:hAnsi="Times New Roman" w:eastAsia="宋体" w:cs="Times New Roman"/>
          <w:b/>
          <w:bCs/>
          <w:color w:val="auto"/>
          <w:sz w:val="28"/>
          <w:szCs w:val="28"/>
          <w:lang w:val="zh-CN"/>
        </w:rPr>
        <w:br w:type="page"/>
      </w:r>
    </w:p>
    <w:p>
      <w:pPr>
        <w:ind w:left="0" w:leftChars="0" w:firstLine="0" w:firstLineChars="0"/>
        <w:outlineLvl w:val="0"/>
        <w:rPr>
          <w:rFonts w:hint="default" w:ascii="Times New Roman" w:hAnsi="Times New Roman" w:eastAsia="宋体" w:cs="Times New Roman"/>
          <w:b/>
          <w:bCs/>
          <w:color w:val="auto"/>
          <w:sz w:val="28"/>
          <w:szCs w:val="28"/>
          <w:lang w:val="zh-CN"/>
        </w:rPr>
      </w:pPr>
      <w:bookmarkStart w:id="21" w:name="_Toc29373"/>
      <w:bookmarkStart w:id="22" w:name="_Toc20649"/>
      <w:r>
        <w:rPr>
          <w:rFonts w:hint="default" w:ascii="Times New Roman" w:hAnsi="Times New Roman" w:eastAsia="宋体" w:cs="Times New Roman"/>
          <w:b/>
          <w:bCs/>
          <w:color w:val="auto"/>
          <w:sz w:val="28"/>
          <w:szCs w:val="28"/>
          <w:lang w:val="zh-CN"/>
        </w:rPr>
        <w:t>表</w:t>
      </w:r>
      <w:r>
        <w:rPr>
          <w:rFonts w:hint="default" w:ascii="Times New Roman" w:hAnsi="Times New Roman" w:eastAsia="宋体" w:cs="Times New Roman"/>
          <w:b/>
          <w:bCs/>
          <w:color w:val="auto"/>
          <w:sz w:val="28"/>
          <w:szCs w:val="28"/>
          <w:lang w:val="en-US" w:eastAsia="zh-CN"/>
        </w:rPr>
        <w:t>九</w:t>
      </w:r>
      <w:r>
        <w:rPr>
          <w:rFonts w:hint="default" w:ascii="Times New Roman" w:hAnsi="Times New Roman" w:eastAsia="宋体" w:cs="Times New Roman"/>
          <w:b/>
          <w:bCs/>
          <w:color w:val="auto"/>
          <w:sz w:val="28"/>
          <w:szCs w:val="28"/>
          <w:lang w:val="zh-CN"/>
        </w:rPr>
        <w:t>、噪声监测内容及结果评价</w:t>
      </w:r>
      <w:bookmarkEnd w:id="21"/>
      <w:bookmarkEnd w:id="22"/>
    </w:p>
    <w:tbl>
      <w:tblPr>
        <w:tblStyle w:val="16"/>
        <w:tblpPr w:leftFromText="180" w:rightFromText="180" w:vertAnchor="page" w:horzAnchor="page" w:tblpX="1780" w:tblpY="2211"/>
        <w:tblW w:w="8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7" w:hRule="atLeast"/>
        </w:trPr>
        <w:tc>
          <w:tcPr>
            <w:tcW w:w="8537" w:type="dxa"/>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1、监测内容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highlight w:val="none"/>
              </w:rPr>
              <w:t>项目</w:t>
            </w:r>
            <w:r>
              <w:rPr>
                <w:rFonts w:hint="eastAsia" w:ascii="Times New Roman" w:hAnsi="Times New Roman" w:cs="Times New Roman"/>
                <w:color w:val="auto"/>
                <w:sz w:val="24"/>
                <w:highlight w:val="none"/>
                <w:lang w:val="en-US" w:eastAsia="zh-CN"/>
              </w:rPr>
              <w:t>东侧和</w:t>
            </w:r>
            <w:r>
              <w:rPr>
                <w:rFonts w:hint="default" w:ascii="Times New Roman" w:hAnsi="Times New Roman" w:cs="Times New Roman"/>
                <w:color w:val="auto"/>
                <w:sz w:val="24"/>
                <w:highlight w:val="none"/>
                <w:lang w:eastAsia="zh-CN"/>
              </w:rPr>
              <w:t>北侧厂界外各布设</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个噪声监测点位，南侧厂界外布设</w:t>
            </w:r>
            <w:r>
              <w:rPr>
                <w:rFonts w:hint="eastAsia"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个噪声监测点位</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西侧邻厂未布设点位。</w:t>
            </w:r>
            <w:r>
              <w:rPr>
                <w:rFonts w:hint="default" w:ascii="Times New Roman" w:hAnsi="Times New Roman" w:eastAsia="宋体" w:cs="Times New Roman"/>
                <w:color w:val="auto"/>
                <w:sz w:val="24"/>
                <w:highlight w:val="none"/>
              </w:rPr>
              <w:t>噪声监测内容见表</w:t>
            </w:r>
            <w:r>
              <w:rPr>
                <w:rFonts w:hint="default" w:ascii="Times New Roman" w:hAnsi="Times New Roman" w:cs="Times New Roman"/>
                <w:color w:val="auto"/>
                <w:sz w:val="24"/>
                <w:highlight w:val="none"/>
                <w:lang w:val="en-US" w:eastAsia="zh-CN"/>
              </w:rPr>
              <w:t>9-</w:t>
            </w:r>
            <w:r>
              <w:rPr>
                <w:rFonts w:hint="default" w:ascii="Times New Roman" w:hAnsi="Times New Roman" w:eastAsia="宋体" w:cs="Times New Roman"/>
                <w:color w:val="auto"/>
                <w:sz w:val="24"/>
                <w:highlight w:val="none"/>
              </w:rPr>
              <w:t>1，监测点位见图</w:t>
            </w:r>
            <w:r>
              <w:rPr>
                <w:rFonts w:hint="default" w:ascii="Times New Roman" w:hAnsi="Times New Roman" w:cs="Times New Roman"/>
                <w:color w:val="auto"/>
                <w:sz w:val="24"/>
                <w:highlight w:val="none"/>
                <w:lang w:val="en-US" w:eastAsia="zh-CN"/>
              </w:rPr>
              <w:t>9</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rPr>
              <w:t>-1  噪声监测内容</w:t>
            </w:r>
          </w:p>
          <w:tbl>
            <w:tblPr>
              <w:tblStyle w:val="16"/>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2957"/>
              <w:gridCol w:w="1714"/>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4" w:type="dxa"/>
                  <w:vAlign w:val="center"/>
                </w:tcPr>
                <w:p>
                  <w:pPr>
                    <w:pStyle w:val="20"/>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噪声类型</w:t>
                  </w:r>
                </w:p>
              </w:tc>
              <w:tc>
                <w:tcPr>
                  <w:tcW w:w="2957" w:type="dxa"/>
                  <w:tcBorders>
                    <w:left w:val="nil"/>
                  </w:tcBorders>
                  <w:vAlign w:val="center"/>
                </w:tcPr>
                <w:p>
                  <w:pPr>
                    <w:pStyle w:val="20"/>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监测点位</w:t>
                  </w:r>
                </w:p>
              </w:tc>
              <w:tc>
                <w:tcPr>
                  <w:tcW w:w="1714" w:type="dxa"/>
                  <w:tcBorders>
                    <w:right w:val="nil"/>
                  </w:tcBorders>
                  <w:vAlign w:val="center"/>
                </w:tcPr>
                <w:p>
                  <w:pPr>
                    <w:pStyle w:val="20"/>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监测项目</w:t>
                  </w:r>
                </w:p>
              </w:tc>
              <w:tc>
                <w:tcPr>
                  <w:tcW w:w="2191" w:type="dxa"/>
                  <w:vAlign w:val="center"/>
                </w:tcPr>
                <w:p>
                  <w:pPr>
                    <w:pStyle w:val="20"/>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4" w:type="dxa"/>
                  <w:vAlign w:val="center"/>
                </w:tcPr>
                <w:p>
                  <w:pPr>
                    <w:pStyle w:val="20"/>
                    <w:bidi w:val="0"/>
                    <w:rPr>
                      <w:rFonts w:hint="default" w:ascii="Times New Roman" w:hAnsi="Times New Roman" w:eastAsia="宋体" w:cs="Times New Roman"/>
                      <w:color w:val="auto"/>
                    </w:rPr>
                  </w:pPr>
                  <w:r>
                    <w:rPr>
                      <w:rFonts w:hint="default" w:ascii="Times New Roman" w:hAnsi="Times New Roman" w:eastAsia="宋体" w:cs="Times New Roman"/>
                      <w:color w:val="auto"/>
                    </w:rPr>
                    <w:t>厂界噪声</w:t>
                  </w:r>
                </w:p>
              </w:tc>
              <w:tc>
                <w:tcPr>
                  <w:tcW w:w="2957" w:type="dxa"/>
                  <w:tcBorders>
                    <w:left w:val="nil"/>
                  </w:tcBorders>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东、</w:t>
                  </w:r>
                  <w:r>
                    <w:rPr>
                      <w:rFonts w:hint="default" w:ascii="Times New Roman" w:hAnsi="Times New Roman" w:cs="Times New Roman"/>
                      <w:color w:val="auto"/>
                      <w:lang w:val="en-US" w:eastAsia="zh-CN"/>
                    </w:rPr>
                    <w:t>南、</w:t>
                  </w:r>
                  <w:r>
                    <w:rPr>
                      <w:rFonts w:hint="eastAsia" w:ascii="Times New Roman" w:hAnsi="Times New Roman" w:cs="Times New Roman"/>
                      <w:color w:val="auto"/>
                      <w:lang w:val="en-US" w:eastAsia="zh-CN"/>
                    </w:rPr>
                    <w:t>北</w:t>
                  </w:r>
                  <w:r>
                    <w:rPr>
                      <w:rFonts w:hint="default" w:ascii="Times New Roman" w:hAnsi="Times New Roman" w:eastAsia="宋体" w:cs="Times New Roman"/>
                      <w:color w:val="auto"/>
                    </w:rPr>
                    <w:t>厂界外布设噪声监测点位</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N1～N</w:t>
                  </w:r>
                  <w:r>
                    <w:rPr>
                      <w:rFonts w:hint="eastAsia" w:ascii="Times New Roman" w:hAnsi="Times New Roman" w:cs="Times New Roman"/>
                      <w:color w:val="auto"/>
                      <w:lang w:val="en-US" w:eastAsia="zh-CN"/>
                    </w:rPr>
                    <w:t>5</w:t>
                  </w:r>
                </w:p>
              </w:tc>
              <w:tc>
                <w:tcPr>
                  <w:tcW w:w="1714" w:type="dxa"/>
                  <w:tcBorders>
                    <w:right w:val="nil"/>
                  </w:tcBorders>
                  <w:vAlign w:val="center"/>
                </w:tcPr>
                <w:p>
                  <w:pPr>
                    <w:pStyle w:val="20"/>
                    <w:bidi w:val="0"/>
                    <w:rPr>
                      <w:rFonts w:hint="default" w:ascii="Times New Roman" w:hAnsi="Times New Roman" w:eastAsia="宋体" w:cs="Times New Roman"/>
                      <w:color w:val="auto"/>
                    </w:rPr>
                  </w:pPr>
                  <w:r>
                    <w:rPr>
                      <w:rFonts w:hint="default" w:ascii="Times New Roman" w:hAnsi="Times New Roman" w:eastAsia="宋体" w:cs="Times New Roman"/>
                      <w:color w:val="auto"/>
                    </w:rPr>
                    <w:t>等效声级值</w:t>
                  </w:r>
                </w:p>
              </w:tc>
              <w:tc>
                <w:tcPr>
                  <w:tcW w:w="2191" w:type="dxa"/>
                  <w:vAlign w:val="center"/>
                </w:tcPr>
                <w:p>
                  <w:pPr>
                    <w:pStyle w:val="20"/>
                    <w:bidi w:val="0"/>
                    <w:rPr>
                      <w:rFonts w:hint="default" w:ascii="Times New Roman" w:hAnsi="Times New Roman" w:eastAsia="宋体" w:cs="Times New Roman"/>
                      <w:color w:val="auto"/>
                    </w:rPr>
                  </w:pPr>
                  <w:r>
                    <w:rPr>
                      <w:rFonts w:hint="default" w:ascii="Times New Roman" w:hAnsi="Times New Roman" w:eastAsia="宋体" w:cs="Times New Roman"/>
                      <w:color w:val="auto"/>
                    </w:rPr>
                    <w:t>连续监测2天，每天昼间1次</w:t>
                  </w:r>
                </w:p>
              </w:tc>
            </w:tr>
          </w:tbl>
          <w:p>
            <w:pPr>
              <w:rPr>
                <w:rFonts w:hint="default" w:ascii="Times New Roman" w:hAnsi="Times New Roman" w:eastAsia="宋体" w:cs="Times New Roman"/>
                <w:color w:val="auto"/>
              </w:rPr>
            </w:pPr>
          </w:p>
          <w:tbl>
            <w:tblPr>
              <w:tblStyle w:val="17"/>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Borders>
                    <w:tl2br w:val="nil"/>
                    <w:tr2bl w:val="nil"/>
                  </w:tcBorders>
                  <w:vAlign w:val="center"/>
                </w:tcPr>
                <w:p>
                  <w:pPr>
                    <w:ind w:left="0" w:leftChars="0" w:firstLine="0" w:firstLineChars="0"/>
                    <w:jc w:val="center"/>
                    <w:rPr>
                      <w:rFonts w:hint="default" w:ascii="Times New Roman" w:hAnsi="Times New Roman" w:eastAsia="宋体"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88960" behindDoc="0" locked="0" layoutInCell="1" allowOverlap="1">
                            <wp:simplePos x="0" y="0"/>
                            <wp:positionH relativeFrom="column">
                              <wp:posOffset>2372360</wp:posOffset>
                            </wp:positionH>
                            <wp:positionV relativeFrom="paragraph">
                              <wp:posOffset>2418080</wp:posOffset>
                            </wp:positionV>
                            <wp:extent cx="534670" cy="37147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534670" cy="371475"/>
                                    </a:xfrm>
                                    <a:prstGeom prst="rect">
                                      <a:avLst/>
                                    </a:prstGeom>
                                    <a:noFill/>
                                    <a:ln w="15875">
                                      <a:noFill/>
                                    </a:ln>
                                  </wps:spPr>
                                  <wps:txbx>
                                    <w:txbxContent>
                                      <w:p>
                                        <w:pPr>
                                          <w:ind w:left="0" w:leftChars="0" w:firstLine="0" w:firstLineChars="0"/>
                                          <w:rPr>
                                            <w:rFonts w:hint="default"/>
                                            <w:lang w:val="en-US"/>
                                          </w:rPr>
                                        </w:pPr>
                                        <w:r>
                                          <w:rPr>
                                            <w:rFonts w:hint="eastAsia" w:cs="Times New Roman"/>
                                            <w:color w:val="FF0000"/>
                                            <w:kern w:val="2"/>
                                            <w:sz w:val="18"/>
                                            <w:szCs w:val="18"/>
                                            <w:lang w:val="en-US" w:eastAsia="zh-CN" w:bidi="ar-SA"/>
                                          </w:rPr>
                                          <w:t>▲N5</w:t>
                                        </w:r>
                                      </w:p>
                                    </w:txbxContent>
                                  </wps:txbx>
                                  <wps:bodyPr upright="1"/>
                                </wps:wsp>
                              </a:graphicData>
                            </a:graphic>
                          </wp:anchor>
                        </w:drawing>
                      </mc:Choice>
                      <mc:Fallback>
                        <w:pict>
                          <v:shape id="_x0000_s1026" o:spid="_x0000_s1026" o:spt="202" type="#_x0000_t202" style="position:absolute;left:0pt;margin-left:186.8pt;margin-top:190.4pt;height:29.25pt;width:42.1pt;z-index:251688960;mso-width-relative:page;mso-height-relative:page;" filled="f" stroked="f" coordsize="21600,21600" o:gfxdata="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mr1INwAAAALAQAADwAAAAAAAAABACAAAAAiAAAAZHJzL2Rvd25yZXYueG1sUEsBAhQA&#10;FAAAAAgAh07iQNPA4L61AQAAWQMAAA4AAAAAAAAAAQAgAAAAKwEAAGRycy9lMm9Eb2MueG1sUEsF&#10;BgAAAAAGAAYAWQEAAFIFAAAAAA==&#10;">
                            <v:fill on="f" focussize="0,0"/>
                            <v:stroke on="f" weight="1.25pt"/>
                            <v:imagedata o:title=""/>
                            <o:lock v:ext="edit" aspectratio="f"/>
                            <v:textbox>
                              <w:txbxContent>
                                <w:p>
                                  <w:pPr>
                                    <w:ind w:left="0" w:leftChars="0" w:firstLine="0" w:firstLineChars="0"/>
                                    <w:rPr>
                                      <w:rFonts w:hint="default"/>
                                      <w:lang w:val="en-US"/>
                                    </w:rPr>
                                  </w:pPr>
                                  <w:r>
                                    <w:rPr>
                                      <w:rFonts w:hint="eastAsia" w:cs="Times New Roman"/>
                                      <w:color w:val="FF0000"/>
                                      <w:kern w:val="2"/>
                                      <w:sz w:val="18"/>
                                      <w:szCs w:val="18"/>
                                      <w:lang w:val="en-US" w:eastAsia="zh-CN" w:bidi="ar-SA"/>
                                    </w:rPr>
                                    <w:t>▲N5</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85888" behindDoc="0" locked="0" layoutInCell="1" allowOverlap="1">
                            <wp:simplePos x="0" y="0"/>
                            <wp:positionH relativeFrom="column">
                              <wp:posOffset>4027170</wp:posOffset>
                            </wp:positionH>
                            <wp:positionV relativeFrom="paragraph">
                              <wp:posOffset>2281555</wp:posOffset>
                            </wp:positionV>
                            <wp:extent cx="534670" cy="37147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534670" cy="371475"/>
                                    </a:xfrm>
                                    <a:prstGeom prst="rect">
                                      <a:avLst/>
                                    </a:prstGeom>
                                    <a:noFill/>
                                    <a:ln w="15875">
                                      <a:noFill/>
                                    </a:ln>
                                  </wps:spPr>
                                  <wps:txbx>
                                    <w:txbxContent>
                                      <w:p>
                                        <w:pPr>
                                          <w:ind w:left="0" w:leftChars="0" w:firstLine="0" w:firstLineChars="0"/>
                                          <w:rPr>
                                            <w:rFonts w:hint="default"/>
                                            <w:lang w:val="en-US"/>
                                          </w:rPr>
                                        </w:pPr>
                                        <w:r>
                                          <w:rPr>
                                            <w:rFonts w:hint="eastAsia" w:cs="Times New Roman"/>
                                            <w:color w:val="FF0000"/>
                                            <w:kern w:val="2"/>
                                            <w:sz w:val="18"/>
                                            <w:szCs w:val="18"/>
                                            <w:lang w:val="en-US" w:eastAsia="zh-CN" w:bidi="ar-SA"/>
                                          </w:rPr>
                                          <w:t>▲N4</w:t>
                                        </w:r>
                                      </w:p>
                                    </w:txbxContent>
                                  </wps:txbx>
                                  <wps:bodyPr upright="1"/>
                                </wps:wsp>
                              </a:graphicData>
                            </a:graphic>
                          </wp:anchor>
                        </w:drawing>
                      </mc:Choice>
                      <mc:Fallback>
                        <w:pict>
                          <v:shape id="_x0000_s1026" o:spid="_x0000_s1026" o:spt="202" type="#_x0000_t202" style="position:absolute;left:0pt;margin-left:317.1pt;margin-top:179.65pt;height:29.25pt;width:42.1pt;z-index:251685888;mso-width-relative:page;mso-height-relative:page;" filled="f" stroked="f" coordsize="21600,21600" o:gfxdata="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qS1sA3gAAAAsBAAAPAAAAAAAAAAEAIAAAACIAAABkcnMvZG93bnJldi54bWxQSwEC&#10;FAAUAAAACACHTuJAxWHeXLUBAABZAwAADgAAAAAAAAABACAAAAAtAQAAZHJzL2Uyb0RvYy54bWxQ&#10;SwUGAAAAAAYABgBZAQAAVAUAAAAA&#10;">
                            <v:fill on="f" focussize="0,0"/>
                            <v:stroke on="f" weight="1.25pt"/>
                            <v:imagedata o:title=""/>
                            <o:lock v:ext="edit" aspectratio="f"/>
                            <v:textbox>
                              <w:txbxContent>
                                <w:p>
                                  <w:pPr>
                                    <w:ind w:left="0" w:leftChars="0" w:firstLine="0" w:firstLineChars="0"/>
                                    <w:rPr>
                                      <w:rFonts w:hint="default"/>
                                      <w:lang w:val="en-US"/>
                                    </w:rPr>
                                  </w:pPr>
                                  <w:r>
                                    <w:rPr>
                                      <w:rFonts w:hint="eastAsia" w:cs="Times New Roman"/>
                                      <w:color w:val="FF0000"/>
                                      <w:kern w:val="2"/>
                                      <w:sz w:val="18"/>
                                      <w:szCs w:val="18"/>
                                      <w:lang w:val="en-US" w:eastAsia="zh-CN" w:bidi="ar-SA"/>
                                    </w:rPr>
                                    <w:t>▲N4</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87936" behindDoc="0" locked="0" layoutInCell="1" allowOverlap="1">
                            <wp:simplePos x="0" y="0"/>
                            <wp:positionH relativeFrom="column">
                              <wp:posOffset>4076700</wp:posOffset>
                            </wp:positionH>
                            <wp:positionV relativeFrom="paragraph">
                              <wp:posOffset>1508760</wp:posOffset>
                            </wp:positionV>
                            <wp:extent cx="534670" cy="37147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534670" cy="371475"/>
                                    </a:xfrm>
                                    <a:prstGeom prst="rect">
                                      <a:avLst/>
                                    </a:prstGeom>
                                    <a:noFill/>
                                    <a:ln w="15875">
                                      <a:noFill/>
                                    </a:ln>
                                  </wps:spPr>
                                  <wps:txbx>
                                    <w:txbxContent>
                                      <w:p>
                                        <w:pPr>
                                          <w:ind w:left="0" w:leftChars="0" w:firstLine="0" w:firstLineChars="0"/>
                                          <w:rPr>
                                            <w:rFonts w:hint="default"/>
                                            <w:lang w:val="en-US"/>
                                          </w:rPr>
                                        </w:pPr>
                                        <w:r>
                                          <w:rPr>
                                            <w:rFonts w:hint="eastAsia" w:cs="Times New Roman"/>
                                            <w:color w:val="FF0000"/>
                                            <w:kern w:val="2"/>
                                            <w:sz w:val="18"/>
                                            <w:szCs w:val="18"/>
                                            <w:lang w:val="en-US" w:eastAsia="zh-CN" w:bidi="ar-SA"/>
                                          </w:rPr>
                                          <w:t>▲N3</w:t>
                                        </w:r>
                                      </w:p>
                                    </w:txbxContent>
                                  </wps:txbx>
                                  <wps:bodyPr upright="1"/>
                                </wps:wsp>
                              </a:graphicData>
                            </a:graphic>
                          </wp:anchor>
                        </w:drawing>
                      </mc:Choice>
                      <mc:Fallback>
                        <w:pict>
                          <v:shape id="_x0000_s1026" o:spid="_x0000_s1026" o:spt="202" type="#_x0000_t202" style="position:absolute;left:0pt;margin-left:321pt;margin-top:118.8pt;height:29.25pt;width:42.1pt;z-index:251687936;mso-width-relative:page;mso-height-relative:page;" filled="f" stroked="f" coordsize="21600,21600" o:gfxdata="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8aLGDdAAAACwEAAA8AAAAAAAAAAQAgAAAAIgAAAGRycy9kb3ducmV2LnhtbFBLAQIU&#10;ABQAAAAIAIdO4kBUyEiZtQEAAFkDAAAOAAAAAAAAAAEAIAAAACwBAABkcnMvZTJvRG9jLnhtbFBL&#10;BQYAAAAABgAGAFkBAABTBQAAAAA=&#10;">
                            <v:fill on="f" focussize="0,0"/>
                            <v:stroke on="f" weight="1.25pt"/>
                            <v:imagedata o:title=""/>
                            <o:lock v:ext="edit" aspectratio="f"/>
                            <v:textbox>
                              <w:txbxContent>
                                <w:p>
                                  <w:pPr>
                                    <w:ind w:left="0" w:leftChars="0" w:firstLine="0" w:firstLineChars="0"/>
                                    <w:rPr>
                                      <w:rFonts w:hint="default"/>
                                      <w:lang w:val="en-US"/>
                                    </w:rPr>
                                  </w:pPr>
                                  <w:r>
                                    <w:rPr>
                                      <w:rFonts w:hint="eastAsia" w:cs="Times New Roman"/>
                                      <w:color w:val="FF0000"/>
                                      <w:kern w:val="2"/>
                                      <w:sz w:val="18"/>
                                      <w:szCs w:val="18"/>
                                      <w:lang w:val="en-US" w:eastAsia="zh-CN" w:bidi="ar-SA"/>
                                    </w:rPr>
                                    <w:t>▲N3</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86912" behindDoc="0" locked="0" layoutInCell="1" allowOverlap="1">
                            <wp:simplePos x="0" y="0"/>
                            <wp:positionH relativeFrom="column">
                              <wp:posOffset>3210560</wp:posOffset>
                            </wp:positionH>
                            <wp:positionV relativeFrom="paragraph">
                              <wp:posOffset>534670</wp:posOffset>
                            </wp:positionV>
                            <wp:extent cx="534670" cy="37147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534670" cy="371475"/>
                                    </a:xfrm>
                                    <a:prstGeom prst="rect">
                                      <a:avLst/>
                                    </a:prstGeom>
                                    <a:noFill/>
                                    <a:ln w="15875">
                                      <a:noFill/>
                                    </a:ln>
                                  </wps:spPr>
                                  <wps:txbx>
                                    <w:txbxContent>
                                      <w:p>
                                        <w:pPr>
                                          <w:ind w:left="0" w:leftChars="0" w:firstLine="0" w:firstLineChars="0"/>
                                          <w:rPr>
                                            <w:rFonts w:hint="default"/>
                                            <w:lang w:val="en-US"/>
                                          </w:rPr>
                                        </w:pPr>
                                        <w:r>
                                          <w:rPr>
                                            <w:rFonts w:hint="eastAsia" w:cs="Times New Roman"/>
                                            <w:color w:val="FF0000"/>
                                            <w:kern w:val="2"/>
                                            <w:sz w:val="18"/>
                                            <w:szCs w:val="18"/>
                                            <w:lang w:val="en-US" w:eastAsia="zh-CN" w:bidi="ar-SA"/>
                                          </w:rPr>
                                          <w:t>▲N2</w:t>
                                        </w:r>
                                      </w:p>
                                    </w:txbxContent>
                                  </wps:txbx>
                                  <wps:bodyPr upright="1"/>
                                </wps:wsp>
                              </a:graphicData>
                            </a:graphic>
                          </wp:anchor>
                        </w:drawing>
                      </mc:Choice>
                      <mc:Fallback>
                        <w:pict>
                          <v:shape id="_x0000_s1026" o:spid="_x0000_s1026" o:spt="202" type="#_x0000_t202" style="position:absolute;left:0pt;margin-left:252.8pt;margin-top:42.1pt;height:29.25pt;width:42.1pt;z-index:251686912;mso-width-relative:page;mso-height-relative:page;" filled="f" stroked="f" coordsize="21600,21600" o:gfxdata="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6qWH7bAAAACgEAAA8AAAAAAAAAAQAgAAAAIgAAAGRycy9kb3ducmV2LnhtbFBLAQIUABQA&#10;AAAIAIdO4kApMC+EtAEAAFkDAAAOAAAAAAAAAAEAIAAAACoBAABkcnMvZTJvRG9jLnhtbFBLBQYA&#10;AAAABgAGAFkBAABQBQAAAAA=&#10;">
                            <v:fill on="f" focussize="0,0"/>
                            <v:stroke on="f" weight="1.25pt"/>
                            <v:imagedata o:title=""/>
                            <o:lock v:ext="edit" aspectratio="f"/>
                            <v:textbox>
                              <w:txbxContent>
                                <w:p>
                                  <w:pPr>
                                    <w:ind w:left="0" w:leftChars="0" w:firstLine="0" w:firstLineChars="0"/>
                                    <w:rPr>
                                      <w:rFonts w:hint="default"/>
                                      <w:lang w:val="en-US"/>
                                    </w:rPr>
                                  </w:pPr>
                                  <w:r>
                                    <w:rPr>
                                      <w:rFonts w:hint="eastAsia" w:cs="Times New Roman"/>
                                      <w:color w:val="FF0000"/>
                                      <w:kern w:val="2"/>
                                      <w:sz w:val="18"/>
                                      <w:szCs w:val="18"/>
                                      <w:lang w:val="en-US" w:eastAsia="zh-CN" w:bidi="ar-SA"/>
                                    </w:rPr>
                                    <w:t>▲N2</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84864" behindDoc="0" locked="0" layoutInCell="1" allowOverlap="1">
                            <wp:simplePos x="0" y="0"/>
                            <wp:positionH relativeFrom="column">
                              <wp:posOffset>1409065</wp:posOffset>
                            </wp:positionH>
                            <wp:positionV relativeFrom="paragraph">
                              <wp:posOffset>278765</wp:posOffset>
                            </wp:positionV>
                            <wp:extent cx="534670" cy="37147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534670" cy="371475"/>
                                    </a:xfrm>
                                    <a:prstGeom prst="rect">
                                      <a:avLst/>
                                    </a:prstGeom>
                                    <a:noFill/>
                                    <a:ln w="15875">
                                      <a:noFill/>
                                    </a:ln>
                                  </wps:spPr>
                                  <wps:txbx>
                                    <w:txbxContent>
                                      <w:p>
                                        <w:pPr>
                                          <w:ind w:left="0" w:leftChars="0" w:firstLine="0" w:firstLineChars="0"/>
                                          <w:rPr>
                                            <w:rFonts w:hint="default"/>
                                            <w:lang w:val="en-US"/>
                                          </w:rPr>
                                        </w:pPr>
                                        <w:r>
                                          <w:rPr>
                                            <w:rFonts w:hint="eastAsia" w:cs="Times New Roman"/>
                                            <w:color w:val="FF0000"/>
                                            <w:kern w:val="2"/>
                                            <w:sz w:val="18"/>
                                            <w:szCs w:val="18"/>
                                            <w:lang w:val="en-US" w:eastAsia="zh-CN" w:bidi="ar-SA"/>
                                          </w:rPr>
                                          <w:t>▲N1</w:t>
                                        </w:r>
                                      </w:p>
                                    </w:txbxContent>
                                  </wps:txbx>
                                  <wps:bodyPr upright="1"/>
                                </wps:wsp>
                              </a:graphicData>
                            </a:graphic>
                          </wp:anchor>
                        </w:drawing>
                      </mc:Choice>
                      <mc:Fallback>
                        <w:pict>
                          <v:shape id="_x0000_s1026" o:spid="_x0000_s1026" o:spt="202" type="#_x0000_t202" style="position:absolute;left:0pt;margin-left:110.95pt;margin-top:21.95pt;height:29.25pt;width:42.1pt;z-index:251684864;mso-width-relative:page;mso-height-relative:page;" filled="f" stroked="f" coordsize="21600,21600" o:gfxdata="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8TZv3AAAAAoBAAAPAAAAAAAAAAEAIAAAACIAAABkcnMvZG93bnJldi54bWxQSwECFAAU&#10;AAAACACHTuJAuJm5QbQBAABZAwAADgAAAAAAAAABACAAAAArAQAAZHJzL2Uyb0RvYy54bWxQSwUG&#10;AAAAAAYABgBZAQAAUQUAAAAA&#10;">
                            <v:fill on="f" focussize="0,0"/>
                            <v:stroke on="f" weight="1.25pt"/>
                            <v:imagedata o:title=""/>
                            <o:lock v:ext="edit" aspectratio="f"/>
                            <v:textbox>
                              <w:txbxContent>
                                <w:p>
                                  <w:pPr>
                                    <w:ind w:left="0" w:leftChars="0" w:firstLine="0" w:firstLineChars="0"/>
                                    <w:rPr>
                                      <w:rFonts w:hint="default"/>
                                      <w:lang w:val="en-US"/>
                                    </w:rPr>
                                  </w:pPr>
                                  <w:r>
                                    <w:rPr>
                                      <w:rFonts w:hint="eastAsia" w:cs="Times New Roman"/>
                                      <w:color w:val="FF0000"/>
                                      <w:kern w:val="2"/>
                                      <w:sz w:val="18"/>
                                      <w:szCs w:val="18"/>
                                      <w:lang w:val="en-US" w:eastAsia="zh-CN" w:bidi="ar-SA"/>
                                    </w:rPr>
                                    <w:t>▲N1</w:t>
                                  </w:r>
                                </w:p>
                              </w:txbxContent>
                            </v:textbox>
                          </v:shape>
                        </w:pict>
                      </mc:Fallback>
                    </mc:AlternateContent>
                  </w: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3692525</wp:posOffset>
                            </wp:positionH>
                            <wp:positionV relativeFrom="paragraph">
                              <wp:posOffset>3178175</wp:posOffset>
                            </wp:positionV>
                            <wp:extent cx="190500" cy="76200"/>
                            <wp:effectExtent l="12700" t="12700" r="25400" b="25400"/>
                            <wp:wrapNone/>
                            <wp:docPr id="14" name="矩形 14"/>
                            <wp:cNvGraphicFramePr/>
                            <a:graphic xmlns:a="http://schemas.openxmlformats.org/drawingml/2006/main">
                              <a:graphicData uri="http://schemas.microsoft.com/office/word/2010/wordprocessingShape">
                                <wps:wsp>
                                  <wps:cNvSpPr/>
                                  <wps:spPr>
                                    <a:xfrm flipV="1">
                                      <a:off x="0" y="0"/>
                                      <a:ext cx="190500" cy="76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290.75pt;margin-top:250.25pt;height:6pt;width:15pt;z-index:251666432;v-text-anchor:middle;mso-width-relative:page;mso-height-relative:page;" filled="f" stroked="t" coordsize="21600,21600" o:gfxdata="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Zx4fdgAAAALAQAADwAAAAAAAAABACAAAAAiAAAAZHJzL2Rvd25yZXYueG1sUEsBAhQAFAAA&#10;AAgAh07iQMrD01VhAgAAvgQAAA4AAAAAAAAAAQAgAAAAJwEAAGRycy9lMm9Eb2MueG1sUEsFBgAA&#10;AAAGAAYAWQEAAPoFAAAAAA==&#10;">
                            <v:fill on="f" focussize="0,0"/>
                            <v:stroke weight="2pt" color="#FF0000 [3204]" joinstyle="round"/>
                            <v:imagedata o:title=""/>
                            <o:lock v:ext="edit" aspectratio="f"/>
                          </v:rect>
                        </w:pict>
                      </mc:Fallback>
                    </mc:AlternateContent>
                  </w: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3542030</wp:posOffset>
                            </wp:positionH>
                            <wp:positionV relativeFrom="paragraph">
                              <wp:posOffset>3065780</wp:posOffset>
                            </wp:positionV>
                            <wp:extent cx="1417955" cy="504825"/>
                            <wp:effectExtent l="4445" t="4445" r="6350" b="5080"/>
                            <wp:wrapNone/>
                            <wp:docPr id="13" name="文本框 13"/>
                            <wp:cNvGraphicFramePr/>
                            <a:graphic xmlns:a="http://schemas.openxmlformats.org/drawingml/2006/main">
                              <a:graphicData uri="http://schemas.microsoft.com/office/word/2010/wordprocessingShape">
                                <wps:wsp>
                                  <wps:cNvSpPr txBox="1"/>
                                  <wps:spPr>
                                    <a:xfrm>
                                      <a:off x="0" y="0"/>
                                      <a:ext cx="1417955" cy="504825"/>
                                    </a:xfrm>
                                    <a:prstGeom prst="rect">
                                      <a:avLst/>
                                    </a:prstGeom>
                                    <a:solidFill>
                                      <a:schemeClr val="bg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540" w:firstLineChars="300"/>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企业边界</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olor w:val="auto"/>
                                            <w:sz w:val="18"/>
                                            <w:szCs w:val="18"/>
                                            <w:lang w:val="en-US" w:eastAsia="zh-CN"/>
                                          </w:rPr>
                                        </w:pPr>
                                        <w:r>
                                          <w:rPr>
                                            <w:rFonts w:hint="eastAsia" w:cs="Times New Roman"/>
                                            <w:color w:val="FF0000"/>
                                            <w:kern w:val="2"/>
                                            <w:sz w:val="18"/>
                                            <w:szCs w:val="18"/>
                                            <w:lang w:val="en-US" w:eastAsia="zh-CN" w:bidi="ar-SA"/>
                                          </w:rPr>
                                          <w:t xml:space="preserve">▲N1-N5 </w:t>
                                        </w:r>
                                        <w:r>
                                          <w:rPr>
                                            <w:rFonts w:hint="eastAsia" w:cs="Times New Roman"/>
                                            <w:color w:val="auto"/>
                                            <w:kern w:val="2"/>
                                            <w:sz w:val="18"/>
                                            <w:szCs w:val="18"/>
                                            <w:lang w:val="en-US" w:eastAsia="zh-CN" w:bidi="ar-SA"/>
                                          </w:rPr>
                                          <w:t>噪声</w:t>
                                        </w:r>
                                        <w:r>
                                          <w:rPr>
                                            <w:rFonts w:hint="default" w:ascii="Times New Roman" w:hAnsi="Times New Roman" w:eastAsia="宋体" w:cs="Times New Roman"/>
                                            <w:color w:val="auto"/>
                                            <w:kern w:val="2"/>
                                            <w:sz w:val="18"/>
                                            <w:szCs w:val="18"/>
                                            <w:lang w:val="en-US" w:eastAsia="zh-CN" w:bidi="ar-SA"/>
                                          </w:rPr>
                                          <w:t>测点位置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9pt;margin-top:241.4pt;height:39.75pt;width:111.65pt;z-index:251665408;mso-width-relative:page;mso-height-relative:page;" fillcolor="#FFFFFF [3212]" filled="t" stroked="t" coordsize="21600,21600" o:gfxdata="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gcdaa2AAA&#10;AAsBAAAPAAAAAAAAAAEAIAAAACIAAABkcnMvZG93bnJldi54bWxQSwECFAAUAAAACACHTuJA8ozi&#10;SlcCAAC6BAAADgAAAAAAAAABACAAAAAnAQAAZHJzL2Uyb0RvYy54bWxQSwUGAAAAAAYABgBZAQAA&#10;8AUAA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540" w:firstLineChars="300"/>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企业边界</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olor w:val="auto"/>
                                      <w:sz w:val="18"/>
                                      <w:szCs w:val="18"/>
                                      <w:lang w:val="en-US" w:eastAsia="zh-CN"/>
                                    </w:rPr>
                                  </w:pPr>
                                  <w:r>
                                    <w:rPr>
                                      <w:rFonts w:hint="eastAsia" w:cs="Times New Roman"/>
                                      <w:color w:val="FF0000"/>
                                      <w:kern w:val="2"/>
                                      <w:sz w:val="18"/>
                                      <w:szCs w:val="18"/>
                                      <w:lang w:val="en-US" w:eastAsia="zh-CN" w:bidi="ar-SA"/>
                                    </w:rPr>
                                    <w:t xml:space="preserve">▲N1-N5 </w:t>
                                  </w:r>
                                  <w:r>
                                    <w:rPr>
                                      <w:rFonts w:hint="eastAsia" w:cs="Times New Roman"/>
                                      <w:color w:val="auto"/>
                                      <w:kern w:val="2"/>
                                      <w:sz w:val="18"/>
                                      <w:szCs w:val="18"/>
                                      <w:lang w:val="en-US" w:eastAsia="zh-CN" w:bidi="ar-SA"/>
                                    </w:rPr>
                                    <w:t>噪声</w:t>
                                  </w:r>
                                  <w:r>
                                    <w:rPr>
                                      <w:rFonts w:hint="default" w:ascii="Times New Roman" w:hAnsi="Times New Roman" w:eastAsia="宋体" w:cs="Times New Roman"/>
                                      <w:color w:val="auto"/>
                                      <w:kern w:val="2"/>
                                      <w:sz w:val="18"/>
                                      <w:szCs w:val="18"/>
                                      <w:lang w:val="en-US" w:eastAsia="zh-CN" w:bidi="ar-SA"/>
                                    </w:rPr>
                                    <w:t>测点位置</w:t>
                                  </w:r>
                                </w:p>
                              </w:txbxContent>
                            </v:textbox>
                          </v:shape>
                        </w:pict>
                      </mc:Fallback>
                    </mc:AlternateContent>
                  </w:r>
                  <w:r>
                    <w:rPr>
                      <w:color w:val="auto"/>
                      <w:sz w:val="28"/>
                    </w:rPr>
                    <mc:AlternateContent>
                      <mc:Choice Requires="wps">
                        <w:drawing>
                          <wp:anchor distT="0" distB="0" distL="114300" distR="114300" simplePos="0" relativeHeight="251682816" behindDoc="0" locked="0" layoutInCell="1" allowOverlap="1">
                            <wp:simplePos x="0" y="0"/>
                            <wp:positionH relativeFrom="column">
                              <wp:posOffset>6837045</wp:posOffset>
                            </wp:positionH>
                            <wp:positionV relativeFrom="paragraph">
                              <wp:posOffset>4190365</wp:posOffset>
                            </wp:positionV>
                            <wp:extent cx="533400" cy="42862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533400" cy="428625"/>
                                    </a:xfrm>
                                    <a:prstGeom prst="rect">
                                      <a:avLst/>
                                    </a:prstGeom>
                                    <a:noFill/>
                                    <a:ln w="15875">
                                      <a:noFill/>
                                    </a:ln>
                                  </wps:spPr>
                                  <wps:txbx>
                                    <w:txbxContent>
                                      <w:p>
                                        <w:pPr>
                                          <w:rPr>
                                            <w:rFonts w:hint="default" w:eastAsia="宋体"/>
                                            <w:color w:val="FF0000"/>
                                            <w:lang w:val="en-US" w:eastAsia="zh-CN"/>
                                          </w:rPr>
                                        </w:pPr>
                                        <w:r>
                                          <w:rPr>
                                            <w:rFonts w:hint="eastAsia" w:ascii="宋体" w:hAnsi="宋体" w:eastAsia="宋体" w:cs="宋体"/>
                                            <w:color w:val="FF0000"/>
                                            <w:lang w:val="en-US" w:eastAsia="zh-CN"/>
                                          </w:rPr>
                                          <w:t>▲</w:t>
                                        </w:r>
                                      </w:p>
                                    </w:txbxContent>
                                  </wps:txbx>
                                  <wps:bodyPr upright="1"/>
                                </wps:wsp>
                              </a:graphicData>
                            </a:graphic>
                          </wp:anchor>
                        </w:drawing>
                      </mc:Choice>
                      <mc:Fallback>
                        <w:pict>
                          <v:shape id="_x0000_s1026" o:spid="_x0000_s1026" o:spt="202" type="#_x0000_t202" style="position:absolute;left:0pt;margin-left:538.35pt;margin-top:329.95pt;height:33.75pt;width:42pt;z-index:251682816;mso-width-relative:page;mso-height-relative:page;" filled="f" stroked="f" coordsize="21600,21600" o:gfxdata="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BngUc3QAAAA0BAAAPAAAAAAAAAAEAIAAAACIAAABkcnMvZG93bnJldi54bWxQSwEC&#10;FAAUAAAACACHTuJAbFcOuLYBAABZAwAADgAAAAAAAAABACAAAAAsAQAAZHJzL2Uyb0RvYy54bWxQ&#10;SwUGAAAAAAYABgBZAQAAVAUAAAAA&#10;">
                            <v:fill on="f" focussize="0,0"/>
                            <v:stroke on="f" weight="1.25pt"/>
                            <v:imagedata o:title=""/>
                            <o:lock v:ext="edit" aspectratio="f"/>
                            <v:textbox>
                              <w:txbxContent>
                                <w:p>
                                  <w:pPr>
                                    <w:rPr>
                                      <w:rFonts w:hint="default" w:eastAsia="宋体"/>
                                      <w:color w:val="FF0000"/>
                                      <w:lang w:val="en-US" w:eastAsia="zh-CN"/>
                                    </w:rPr>
                                  </w:pPr>
                                  <w:r>
                                    <w:rPr>
                                      <w:rFonts w:hint="eastAsia" w:ascii="宋体" w:hAnsi="宋体" w:eastAsia="宋体" w:cs="宋体"/>
                                      <w:color w:val="FF0000"/>
                                      <w:lang w:val="en-US" w:eastAsia="zh-CN"/>
                                    </w:rPr>
                                    <w:t>▲</w:t>
                                  </w:r>
                                </w:p>
                              </w:txbxContent>
                            </v:textbox>
                          </v:shape>
                        </w:pict>
                      </mc:Fallback>
                    </mc:AlternateContent>
                  </w:r>
                  <w:r>
                    <w:drawing>
                      <wp:inline distT="0" distB="0" distL="114300" distR="114300">
                        <wp:extent cx="4796790" cy="3554095"/>
                        <wp:effectExtent l="0" t="0" r="6985" b="825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21"/>
                                <a:srcRect l="22250" t="28099" r="20758"/>
                                <a:stretch>
                                  <a:fillRect/>
                                </a:stretch>
                              </pic:blipFill>
                              <pic:spPr>
                                <a:xfrm>
                                  <a:off x="0" y="0"/>
                                  <a:ext cx="4796790" cy="3554095"/>
                                </a:xfrm>
                                <a:prstGeom prst="rect">
                                  <a:avLst/>
                                </a:prstGeom>
                                <a:noFill/>
                                <a:ln>
                                  <a:noFill/>
                                </a:ln>
                              </pic:spPr>
                            </pic:pic>
                          </a:graphicData>
                        </a:graphic>
                      </wp:inline>
                    </w:drawing>
                  </w:r>
                  <w:r>
                    <w:rPr>
                      <w:color w:val="auto"/>
                      <w:sz w:val="28"/>
                    </w:rPr>
                    <mc:AlternateContent>
                      <mc:Choice Requires="wps">
                        <w:drawing>
                          <wp:anchor distT="0" distB="0" distL="114300" distR="114300" simplePos="0" relativeHeight="251681792" behindDoc="0" locked="0" layoutInCell="1" allowOverlap="1">
                            <wp:simplePos x="0" y="0"/>
                            <wp:positionH relativeFrom="column">
                              <wp:posOffset>6684645</wp:posOffset>
                            </wp:positionH>
                            <wp:positionV relativeFrom="paragraph">
                              <wp:posOffset>4037965</wp:posOffset>
                            </wp:positionV>
                            <wp:extent cx="533400" cy="42862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533400" cy="428625"/>
                                    </a:xfrm>
                                    <a:prstGeom prst="rect">
                                      <a:avLst/>
                                    </a:prstGeom>
                                    <a:noFill/>
                                    <a:ln w="15875">
                                      <a:noFill/>
                                    </a:ln>
                                  </wps:spPr>
                                  <wps:txbx>
                                    <w:txbxContent>
                                      <w:p>
                                        <w:pPr>
                                          <w:rPr>
                                            <w:rFonts w:hint="default" w:eastAsia="宋体"/>
                                            <w:color w:val="FF0000"/>
                                            <w:lang w:val="en-US" w:eastAsia="zh-CN"/>
                                          </w:rPr>
                                        </w:pPr>
                                        <w:r>
                                          <w:rPr>
                                            <w:rFonts w:hint="eastAsia" w:ascii="宋体" w:hAnsi="宋体" w:eastAsia="宋体" w:cs="宋体"/>
                                            <w:color w:val="FF0000"/>
                                            <w:lang w:val="en-US" w:eastAsia="zh-CN"/>
                                          </w:rPr>
                                          <w:t>▲</w:t>
                                        </w:r>
                                      </w:p>
                                    </w:txbxContent>
                                  </wps:txbx>
                                  <wps:bodyPr upright="1"/>
                                </wps:wsp>
                              </a:graphicData>
                            </a:graphic>
                          </wp:anchor>
                        </w:drawing>
                      </mc:Choice>
                      <mc:Fallback>
                        <w:pict>
                          <v:shape id="_x0000_s1026" o:spid="_x0000_s1026" o:spt="202" type="#_x0000_t202" style="position:absolute;left:0pt;margin-left:526.35pt;margin-top:317.95pt;height:33.75pt;width:42pt;z-index:251681792;mso-width-relative:page;mso-height-relative:page;" filled="f" stroked="f" coordsize="21600,21600" o:gfxdata="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0+X3TeAAAADQEAAA8AAAAAAAAAAQAgAAAAIgAAAGRycy9kb3ducmV2LnhtbFBL&#10;AQIUABQAAAAIAIdO4kCYaljItwEAAFkDAAAOAAAAAAAAAAEAIAAAAC0BAABkcnMvZTJvRG9jLnht&#10;bFBLBQYAAAAABgAGAFkBAABWBQAAAAA=&#10;">
                            <v:fill on="f" focussize="0,0"/>
                            <v:stroke on="f" weight="1.25pt"/>
                            <v:imagedata o:title=""/>
                            <o:lock v:ext="edit" aspectratio="f"/>
                            <v:textbox>
                              <w:txbxContent>
                                <w:p>
                                  <w:pPr>
                                    <w:rPr>
                                      <w:rFonts w:hint="default" w:eastAsia="宋体"/>
                                      <w:color w:val="FF0000"/>
                                      <w:lang w:val="en-US" w:eastAsia="zh-CN"/>
                                    </w:rPr>
                                  </w:pPr>
                                  <w:r>
                                    <w:rPr>
                                      <w:rFonts w:hint="eastAsia" w:ascii="宋体" w:hAnsi="宋体" w:eastAsia="宋体" w:cs="宋体"/>
                                      <w:color w:val="FF0000"/>
                                      <w:lang w:val="en-US" w:eastAsia="zh-CN"/>
                                    </w:rPr>
                                    <w:t>▲</w:t>
                                  </w:r>
                                </w:p>
                              </w:txbxContent>
                            </v:textbox>
                          </v:shape>
                        </w:pict>
                      </mc:Fallback>
                    </mc:AlternateContent>
                  </w: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4482465</wp:posOffset>
                            </wp:positionH>
                            <wp:positionV relativeFrom="paragraph">
                              <wp:posOffset>332105</wp:posOffset>
                            </wp:positionV>
                            <wp:extent cx="390525" cy="391160"/>
                            <wp:effectExtent l="0" t="0" r="0" b="0"/>
                            <wp:wrapNone/>
                            <wp:docPr id="12" name="文本框 12"/>
                            <wp:cNvGraphicFramePr/>
                            <a:graphic xmlns:a="http://schemas.openxmlformats.org/drawingml/2006/main">
                              <a:graphicData uri="http://schemas.microsoft.com/office/word/2010/wordprocessingShape">
                                <wps:wsp>
                                  <wps:cNvSpPr txBox="1"/>
                                  <wps:spPr>
                                    <a:xfrm>
                                      <a:off x="5718810" y="4128770"/>
                                      <a:ext cx="390525" cy="391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color w:val="FFFF00"/>
                                            <w:lang w:val="en-US" w:eastAsia="zh-CN"/>
                                          </w:rPr>
                                        </w:pPr>
                                        <w:r>
                                          <w:rPr>
                                            <w:rFonts w:hint="eastAsia"/>
                                            <w:color w:val="FFFF00"/>
                                            <w:lang w:val="en-US"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95pt;margin-top:26.15pt;height:30.8pt;width:30.75pt;z-index:251664384;mso-width-relative:page;mso-height-relative:page;" filled="f" stroked="f" coordsize="21600,21600" o:gfxdata="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aJmDtsAAAAKAQAADwAAAAAA&#10;AAABACAAAAAiAAAAZHJzL2Rvd25yZXYueG1sUEsBAhQAFAAAAAgAh07iQCKcW2lJAgAAcwQAAA4A&#10;AAAAAAAAAQAgAAAAKgEAAGRycy9lMm9Eb2MueG1sUEsFBgAAAAAGAAYAWQEAAOUFAAAAAA==&#10;">
                            <v:fill on="f" focussize="0,0"/>
                            <v:stroke on="f" weight="0.5pt"/>
                            <v:imagedata o:title=""/>
                            <o:lock v:ext="edit" aspectratio="f"/>
                            <v:textbox>
                              <w:txbxContent>
                                <w:p>
                                  <w:pPr>
                                    <w:ind w:left="0" w:leftChars="0" w:firstLine="0" w:firstLineChars="0"/>
                                    <w:rPr>
                                      <w:rFonts w:hint="eastAsia" w:eastAsia="宋体"/>
                                      <w:color w:val="FFFF00"/>
                                      <w:lang w:val="en-US" w:eastAsia="zh-CN"/>
                                    </w:rPr>
                                  </w:pPr>
                                  <w:r>
                                    <w:rPr>
                                      <w:rFonts w:hint="eastAsia"/>
                                      <w:color w:val="FFFF00"/>
                                      <w:lang w:val="en-US" w:eastAsia="zh-CN"/>
                                    </w:rPr>
                                    <w:t>北</w:t>
                                  </w:r>
                                </w:p>
                              </w:txbxContent>
                            </v:textbox>
                          </v:shape>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4415790</wp:posOffset>
                            </wp:positionH>
                            <wp:positionV relativeFrom="paragraph">
                              <wp:posOffset>274955</wp:posOffset>
                            </wp:positionV>
                            <wp:extent cx="9525" cy="400050"/>
                            <wp:effectExtent l="46990" t="0" r="57785" b="0"/>
                            <wp:wrapNone/>
                            <wp:docPr id="1" name="直接箭头连接符 1"/>
                            <wp:cNvGraphicFramePr/>
                            <a:graphic xmlns:a="http://schemas.openxmlformats.org/drawingml/2006/main">
                              <a:graphicData uri="http://schemas.microsoft.com/office/word/2010/wordprocessingShape">
                                <wps:wsp>
                                  <wps:cNvCnPr/>
                                  <wps:spPr>
                                    <a:xfrm flipH="1" flipV="1">
                                      <a:off x="5614035" y="3995420"/>
                                      <a:ext cx="9525" cy="40005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47.7pt;margin-top:21.65pt;height:31.5pt;width:0.75pt;z-index:251663360;mso-width-relative:page;mso-height-relative:page;" filled="f" stroked="t" coordsize="21600,21600" o:gfxdata="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answNgAAAAKAQAADwAAAAAAAAAB&#10;ACAAAAAiAAAAZHJzL2Rvd25yZXYueG1sUEsBAhQAFAAAAAgAh07iQKEv7cEQAgAA6QMAAA4AAAAA&#10;AAAAAQAgAAAAJwEAAGRycy9lMm9Eb2MueG1sUEsFBgAAAAAGAAYAWQEAAKkFAAAAAA==&#10;">
                            <v:fill on="f" focussize="0,0"/>
                            <v:stroke color="#FFFF00 [3204]" joinstyle="round" endarrow="open"/>
                            <v:imagedata o:title=""/>
                            <o:lock v:ext="edit" aspectratio="f"/>
                          </v:shape>
                        </w:pict>
                      </mc:Fallback>
                    </mc:AlternateContent>
                  </w:r>
                </w:p>
              </w:tc>
            </w:tr>
          </w:tbl>
          <w:p>
            <w:pPr>
              <w:spacing w:line="360" w:lineRule="auto"/>
              <w:ind w:left="0" w:leftChars="0" w:firstLine="0" w:firstLineChars="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图</w:t>
            </w:r>
            <w:r>
              <w:rPr>
                <w:rFonts w:hint="default"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rPr>
              <w:t xml:space="preserve">-1  </w:t>
            </w:r>
            <w:r>
              <w:rPr>
                <w:rFonts w:hint="default" w:ascii="Times New Roman" w:hAnsi="Times New Roman" w:eastAsia="宋体" w:cs="Times New Roman"/>
                <w:b/>
                <w:bCs/>
                <w:color w:val="auto"/>
                <w:sz w:val="24"/>
                <w:szCs w:val="24"/>
                <w:highlight w:val="none"/>
                <w:lang w:eastAsia="zh-CN"/>
              </w:rPr>
              <w:t>噪声</w:t>
            </w:r>
            <w:r>
              <w:rPr>
                <w:rFonts w:hint="default" w:ascii="Times New Roman" w:hAnsi="Times New Roman" w:eastAsia="宋体" w:cs="Times New Roman"/>
                <w:b/>
                <w:bCs/>
                <w:color w:val="auto"/>
                <w:sz w:val="24"/>
                <w:szCs w:val="24"/>
                <w:highlight w:val="none"/>
              </w:rPr>
              <w:t>监测点位图</w:t>
            </w:r>
            <w:r>
              <w:rPr>
                <w:rFonts w:hint="eastAsia" w:ascii="Times New Roman" w:hAnsi="Times New Roman" w:cs="Times New Roman"/>
                <w:b/>
                <w:bCs/>
                <w:color w:val="auto"/>
                <w:kern w:val="2"/>
                <w:sz w:val="24"/>
                <w:szCs w:val="24"/>
                <w:highlight w:val="none"/>
                <w:lang w:eastAsia="zh-CN"/>
              </w:rPr>
              <w:t>（</w:t>
            </w:r>
            <w:r>
              <w:rPr>
                <w:rFonts w:hint="eastAsia" w:ascii="Times New Roman" w:hAnsi="Times New Roman" w:cs="Times New Roman"/>
                <w:b/>
                <w:bCs/>
                <w:color w:val="auto"/>
                <w:kern w:val="2"/>
                <w:sz w:val="24"/>
                <w:szCs w:val="24"/>
                <w:highlight w:val="none"/>
                <w:lang w:val="en-US" w:eastAsia="zh-CN"/>
              </w:rPr>
              <w:t>2023年6</w:t>
            </w:r>
            <w:r>
              <w:rPr>
                <w:rFonts w:hint="default" w:ascii="Times New Roman" w:hAnsi="Times New Roman" w:cs="Times New Roman"/>
                <w:b/>
                <w:bCs/>
                <w:color w:val="auto"/>
                <w:kern w:val="2"/>
                <w:sz w:val="24"/>
                <w:szCs w:val="24"/>
                <w:highlight w:val="none"/>
                <w:lang w:val="en-US" w:eastAsia="zh-CN"/>
              </w:rPr>
              <w:t>月</w:t>
            </w:r>
            <w:r>
              <w:rPr>
                <w:rFonts w:hint="eastAsia" w:ascii="Times New Roman" w:hAnsi="Times New Roman" w:cs="Times New Roman"/>
                <w:b/>
                <w:bCs/>
                <w:color w:val="auto"/>
                <w:kern w:val="2"/>
                <w:sz w:val="24"/>
                <w:szCs w:val="24"/>
                <w:highlight w:val="none"/>
                <w:lang w:val="en-US" w:eastAsia="zh-CN"/>
              </w:rPr>
              <w:t>8</w:t>
            </w:r>
            <w:r>
              <w:rPr>
                <w:rFonts w:hint="default" w:ascii="Times New Roman" w:hAnsi="Times New Roman" w:cs="Times New Roman"/>
                <w:b/>
                <w:bCs/>
                <w:color w:val="auto"/>
                <w:kern w:val="2"/>
                <w:sz w:val="24"/>
                <w:szCs w:val="24"/>
                <w:highlight w:val="none"/>
                <w:lang w:val="en-US" w:eastAsia="zh-CN"/>
              </w:rPr>
              <w:t>日</w:t>
            </w:r>
            <w:r>
              <w:rPr>
                <w:rFonts w:hint="eastAsia" w:ascii="Times New Roman" w:hAnsi="Times New Roman" w:cs="Times New Roman"/>
                <w:b/>
                <w:bCs/>
                <w:color w:val="auto"/>
                <w:kern w:val="2"/>
                <w:sz w:val="24"/>
                <w:szCs w:val="24"/>
                <w:highlight w:val="none"/>
                <w:lang w:val="en-US" w:eastAsia="zh-CN"/>
              </w:rPr>
              <w:t>、9日）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2、验收监测依据及标准</w:t>
            </w:r>
            <w:r>
              <w:rPr>
                <w:color w:val="auto"/>
                <w:sz w:val="28"/>
              </w:rPr>
              <mc:AlternateContent>
                <mc:Choice Requires="wps">
                  <w:drawing>
                    <wp:anchor distT="0" distB="0" distL="114300" distR="114300" simplePos="0" relativeHeight="251683840" behindDoc="0" locked="0" layoutInCell="1" allowOverlap="1">
                      <wp:simplePos x="0" y="0"/>
                      <wp:positionH relativeFrom="column">
                        <wp:posOffset>6684645</wp:posOffset>
                      </wp:positionH>
                      <wp:positionV relativeFrom="paragraph">
                        <wp:posOffset>4037965</wp:posOffset>
                      </wp:positionV>
                      <wp:extent cx="533400" cy="42862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533400" cy="428625"/>
                              </a:xfrm>
                              <a:prstGeom prst="rect">
                                <a:avLst/>
                              </a:prstGeom>
                              <a:noFill/>
                              <a:ln w="15875">
                                <a:noFill/>
                              </a:ln>
                            </wps:spPr>
                            <wps:txbx>
                              <w:txbxContent>
                                <w:p>
                                  <w:pPr>
                                    <w:rPr>
                                      <w:rFonts w:hint="default" w:eastAsia="宋体"/>
                                      <w:color w:val="FF0000"/>
                                      <w:lang w:val="en-US" w:eastAsia="zh-CN"/>
                                    </w:rPr>
                                  </w:pPr>
                                  <w:r>
                                    <w:rPr>
                                      <w:rFonts w:hint="eastAsia" w:ascii="宋体" w:hAnsi="宋体" w:eastAsia="宋体" w:cs="宋体"/>
                                      <w:color w:val="FF0000"/>
                                      <w:lang w:val="en-US" w:eastAsia="zh-CN"/>
                                    </w:rPr>
                                    <w:t>▲</w:t>
                                  </w:r>
                                </w:p>
                              </w:txbxContent>
                            </wps:txbx>
                            <wps:bodyPr upright="1"/>
                          </wps:wsp>
                        </a:graphicData>
                      </a:graphic>
                    </wp:anchor>
                  </w:drawing>
                </mc:Choice>
                <mc:Fallback>
                  <w:pict>
                    <v:shape id="_x0000_s1026" o:spid="_x0000_s1026" o:spt="202" type="#_x0000_t202" style="position:absolute;left:0pt;margin-left:526.35pt;margin-top:317.95pt;height:33.75pt;width:42pt;z-index:251683840;mso-width-relative:page;mso-height-relative:page;" filled="f" stroked="f" coordsize="21600,21600" o:gfxdata="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T5fdN4AAAANAQAADwAAAAAAAAABACAAAAAiAAAAZHJzL2Rvd25yZXYueG1sUEsB&#10;AhQAFAAAAAgAh07iQBGvaaW2AQAAWQMAAA4AAAAAAAAAAQAgAAAALQEAAGRycy9lMm9Eb2MueG1s&#10;UEsFBgAAAAAGAAYAWQEAAFUFAAAAAA==&#10;">
                      <v:fill on="f" focussize="0,0"/>
                      <v:stroke on="f" weight="1.25pt"/>
                      <v:imagedata o:title=""/>
                      <o:lock v:ext="edit" aspectratio="f"/>
                      <v:textbox>
                        <w:txbxContent>
                          <w:p>
                            <w:pPr>
                              <w:rPr>
                                <w:rFonts w:hint="default" w:eastAsia="宋体"/>
                                <w:color w:val="FF0000"/>
                                <w:lang w:val="en-US" w:eastAsia="zh-CN"/>
                              </w:rPr>
                            </w:pPr>
                            <w:r>
                              <w:rPr>
                                <w:rFonts w:hint="eastAsia" w:ascii="宋体" w:hAnsi="宋体" w:eastAsia="宋体" w:cs="宋体"/>
                                <w:color w:val="FF0000"/>
                                <w:lang w:val="en-US" w:eastAsia="zh-CN"/>
                              </w:rPr>
                              <w:t>▲</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color w:val="auto"/>
                <w:sz w:val="24"/>
              </w:rPr>
              <w:t>项目</w:t>
            </w:r>
            <w:r>
              <w:rPr>
                <w:rFonts w:hint="default" w:ascii="Times New Roman" w:hAnsi="Times New Roman" w:cs="Times New Roman"/>
                <w:bCs/>
                <w:color w:val="auto"/>
                <w:sz w:val="24"/>
                <w:lang w:val="en-US" w:eastAsia="zh-CN"/>
              </w:rPr>
              <w:t>厂界</w:t>
            </w:r>
            <w:r>
              <w:rPr>
                <w:rFonts w:hint="default" w:ascii="Times New Roman" w:hAnsi="Times New Roman" w:eastAsia="宋体" w:cs="Times New Roman"/>
                <w:bCs/>
                <w:color w:val="auto"/>
                <w:sz w:val="24"/>
              </w:rPr>
              <w:t>执行《工业企业厂界环境噪声排放标准》（GB</w:t>
            </w:r>
            <w:r>
              <w:rPr>
                <w:rFonts w:hint="default" w:ascii="Times New Roman" w:hAnsi="Times New Roman" w:eastAsia="宋体" w:cs="Times New Roman"/>
                <w:bCs/>
                <w:color w:val="auto"/>
                <w:sz w:val="24"/>
                <w:lang w:val="en-US" w:eastAsia="zh-CN"/>
              </w:rPr>
              <w:t xml:space="preserve"> </w:t>
            </w:r>
            <w:r>
              <w:rPr>
                <w:rFonts w:hint="default" w:ascii="Times New Roman" w:hAnsi="Times New Roman" w:eastAsia="宋体" w:cs="Times New Roman"/>
                <w:bCs/>
                <w:color w:val="auto"/>
                <w:sz w:val="24"/>
              </w:rPr>
              <w:t>12348-2008）中</w:t>
            </w:r>
            <w:r>
              <w:rPr>
                <w:rFonts w:hint="eastAsia" w:ascii="Times New Roman" w:hAnsi="Times New Roman" w:cs="Times New Roman"/>
                <w:bCs/>
                <w:color w:val="auto"/>
                <w:sz w:val="24"/>
                <w:lang w:val="en-US" w:eastAsia="zh-CN"/>
              </w:rPr>
              <w:t>2</w:t>
            </w:r>
            <w:r>
              <w:rPr>
                <w:rFonts w:hint="default" w:ascii="Times New Roman" w:hAnsi="Times New Roman" w:eastAsia="宋体" w:cs="Times New Roman"/>
                <w:bCs/>
                <w:color w:val="auto"/>
                <w:sz w:val="24"/>
              </w:rPr>
              <w:t>类标准。</w:t>
            </w:r>
            <w:r>
              <w:rPr>
                <w:rFonts w:hint="default" w:ascii="Times New Roman" w:hAnsi="Times New Roman" w:eastAsia="宋体" w:cs="Times New Roman"/>
                <w:color w:val="auto"/>
                <w:sz w:val="24"/>
                <w:szCs w:val="24"/>
              </w:rPr>
              <w:t>具体验收评价限值见表</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highlight w:val="none"/>
              </w:rPr>
              <w:t>具体</w:t>
            </w:r>
            <w:r>
              <w:rPr>
                <w:rFonts w:hint="default" w:ascii="Times New Roman" w:hAnsi="Times New Roman" w:eastAsia="宋体" w:cs="Times New Roman"/>
                <w:color w:val="auto"/>
                <w:sz w:val="24"/>
                <w:szCs w:val="24"/>
                <w:highlight w:val="none"/>
                <w:lang w:eastAsia="zh-CN"/>
              </w:rPr>
              <w:t>监测信息</w:t>
            </w:r>
            <w:r>
              <w:rPr>
                <w:rFonts w:hint="default" w:ascii="Times New Roman" w:hAnsi="Times New Roman" w:eastAsia="宋体" w:cs="Times New Roman"/>
                <w:color w:val="auto"/>
                <w:sz w:val="24"/>
                <w:szCs w:val="24"/>
                <w:highlight w:val="none"/>
              </w:rPr>
              <w:t>见表</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eastAsia="zh-CN"/>
              </w:rPr>
              <w:t>，仪器信息见</w:t>
            </w:r>
            <w:r>
              <w:rPr>
                <w:rFonts w:hint="default" w:ascii="Times New Roman" w:hAnsi="Times New Roman" w:eastAsia="宋体" w:cs="Times New Roman"/>
                <w:color w:val="auto"/>
                <w:sz w:val="24"/>
                <w:szCs w:val="24"/>
                <w:highlight w:val="none"/>
                <w:lang w:val="en-US" w:eastAsia="zh-CN"/>
              </w:rPr>
              <w:t>10-2</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rPr>
              <w:t>-2  噪声排放标准</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2932"/>
              <w:gridCol w:w="873"/>
              <w:gridCol w:w="995"/>
              <w:gridCol w:w="1050"/>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56" w:type="pct"/>
                  <w:vMerge w:val="restart"/>
                  <w:noWrap w:val="0"/>
                  <w:vAlign w:val="center"/>
                </w:tcPr>
                <w:p>
                  <w:pPr>
                    <w:pStyle w:val="20"/>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厂界方位</w:t>
                  </w:r>
                </w:p>
              </w:tc>
              <w:tc>
                <w:tcPr>
                  <w:tcW w:w="1763" w:type="pct"/>
                  <w:vMerge w:val="restart"/>
                  <w:noWrap w:val="0"/>
                  <w:vAlign w:val="center"/>
                </w:tcPr>
                <w:p>
                  <w:pPr>
                    <w:pStyle w:val="20"/>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执行标准</w:t>
                  </w:r>
                </w:p>
              </w:tc>
              <w:tc>
                <w:tcPr>
                  <w:tcW w:w="525" w:type="pct"/>
                  <w:vMerge w:val="restart"/>
                  <w:noWrap w:val="0"/>
                  <w:vAlign w:val="center"/>
                </w:tcPr>
                <w:p>
                  <w:pPr>
                    <w:pStyle w:val="20"/>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级别</w:t>
                  </w:r>
                </w:p>
              </w:tc>
              <w:tc>
                <w:tcPr>
                  <w:tcW w:w="598" w:type="pct"/>
                  <w:vMerge w:val="restart"/>
                  <w:noWrap w:val="0"/>
                  <w:vAlign w:val="center"/>
                </w:tcPr>
                <w:p>
                  <w:pPr>
                    <w:pStyle w:val="20"/>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单位</w:t>
                  </w:r>
                </w:p>
              </w:tc>
              <w:tc>
                <w:tcPr>
                  <w:tcW w:w="1356" w:type="pct"/>
                  <w:gridSpan w:val="2"/>
                  <w:noWrap w:val="0"/>
                  <w:vAlign w:val="center"/>
                </w:tcPr>
                <w:p>
                  <w:pPr>
                    <w:pStyle w:val="20"/>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56" w:type="pct"/>
                  <w:vMerge w:val="continue"/>
                  <w:noWrap w:val="0"/>
                  <w:vAlign w:val="center"/>
                </w:tcPr>
                <w:p>
                  <w:pPr>
                    <w:pStyle w:val="20"/>
                    <w:bidi w:val="0"/>
                    <w:rPr>
                      <w:rFonts w:hint="default" w:ascii="Times New Roman" w:hAnsi="Times New Roman" w:eastAsia="宋体" w:cs="Times New Roman"/>
                      <w:b/>
                      <w:bCs/>
                      <w:color w:val="auto"/>
                    </w:rPr>
                  </w:pPr>
                </w:p>
              </w:tc>
              <w:tc>
                <w:tcPr>
                  <w:tcW w:w="1763" w:type="pct"/>
                  <w:vMerge w:val="continue"/>
                  <w:noWrap w:val="0"/>
                  <w:vAlign w:val="center"/>
                </w:tcPr>
                <w:p>
                  <w:pPr>
                    <w:pStyle w:val="20"/>
                    <w:bidi w:val="0"/>
                    <w:rPr>
                      <w:rFonts w:hint="default" w:ascii="Times New Roman" w:hAnsi="Times New Roman" w:eastAsia="宋体" w:cs="Times New Roman"/>
                      <w:b/>
                      <w:bCs/>
                      <w:color w:val="auto"/>
                    </w:rPr>
                  </w:pPr>
                </w:p>
              </w:tc>
              <w:tc>
                <w:tcPr>
                  <w:tcW w:w="525" w:type="pct"/>
                  <w:vMerge w:val="continue"/>
                  <w:noWrap w:val="0"/>
                  <w:vAlign w:val="center"/>
                </w:tcPr>
                <w:p>
                  <w:pPr>
                    <w:pStyle w:val="20"/>
                    <w:bidi w:val="0"/>
                    <w:rPr>
                      <w:rFonts w:hint="default" w:ascii="Times New Roman" w:hAnsi="Times New Roman" w:eastAsia="宋体" w:cs="Times New Roman"/>
                      <w:b/>
                      <w:bCs/>
                      <w:color w:val="auto"/>
                    </w:rPr>
                  </w:pPr>
                </w:p>
              </w:tc>
              <w:tc>
                <w:tcPr>
                  <w:tcW w:w="598" w:type="pct"/>
                  <w:vMerge w:val="continue"/>
                  <w:noWrap w:val="0"/>
                  <w:vAlign w:val="center"/>
                </w:tcPr>
                <w:p>
                  <w:pPr>
                    <w:pStyle w:val="20"/>
                    <w:bidi w:val="0"/>
                    <w:rPr>
                      <w:rFonts w:hint="default" w:ascii="Times New Roman" w:hAnsi="Times New Roman" w:eastAsia="宋体" w:cs="Times New Roman"/>
                      <w:b/>
                      <w:bCs/>
                      <w:color w:val="auto"/>
                    </w:rPr>
                  </w:pPr>
                </w:p>
              </w:tc>
              <w:tc>
                <w:tcPr>
                  <w:tcW w:w="631" w:type="pct"/>
                  <w:noWrap w:val="0"/>
                  <w:vAlign w:val="center"/>
                </w:tcPr>
                <w:p>
                  <w:pPr>
                    <w:pStyle w:val="20"/>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昼</w:t>
                  </w:r>
                </w:p>
              </w:tc>
              <w:tc>
                <w:tcPr>
                  <w:tcW w:w="724" w:type="pct"/>
                  <w:noWrap w:val="0"/>
                  <w:vAlign w:val="center"/>
                </w:tcPr>
                <w:p>
                  <w:pPr>
                    <w:pStyle w:val="20"/>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56" w:type="pct"/>
                  <w:noWrap w:val="0"/>
                  <w:vAlign w:val="center"/>
                </w:tcPr>
                <w:p>
                  <w:pPr>
                    <w:pStyle w:val="20"/>
                    <w:bidi w:val="0"/>
                    <w:ind w:firstLine="0" w:firstLineChars="0"/>
                    <w:jc w:val="center"/>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sz w:val="21"/>
                      <w:szCs w:val="21"/>
                    </w:rPr>
                    <w:t>厂界外1m</w:t>
                  </w:r>
                </w:p>
              </w:tc>
              <w:tc>
                <w:tcPr>
                  <w:tcW w:w="1763" w:type="pct"/>
                  <w:noWrap w:val="0"/>
                  <w:vAlign w:val="center"/>
                </w:tcPr>
                <w:p>
                  <w:pPr>
                    <w:pStyle w:val="20"/>
                    <w:bidi w:val="0"/>
                    <w:rPr>
                      <w:rFonts w:hint="default" w:ascii="Times New Roman" w:hAnsi="Times New Roman" w:eastAsia="宋体" w:cs="Times New Roman"/>
                      <w:color w:val="auto"/>
                    </w:rPr>
                  </w:pPr>
                  <w:r>
                    <w:rPr>
                      <w:rFonts w:hint="default" w:ascii="Times New Roman" w:hAnsi="Times New Roman" w:eastAsia="宋体" w:cs="Times New Roman"/>
                      <w:color w:val="auto"/>
                    </w:rPr>
                    <w:t>《工业企业厂界环境噪声排放标准》（GB</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12348-2008）</w:t>
                  </w:r>
                </w:p>
              </w:tc>
              <w:tc>
                <w:tcPr>
                  <w:tcW w:w="525" w:type="pct"/>
                  <w:noWrap w:val="0"/>
                  <w:vAlign w:val="center"/>
                </w:tcPr>
                <w:p>
                  <w:pPr>
                    <w:pStyle w:val="20"/>
                    <w:bidi w:val="0"/>
                    <w:rPr>
                      <w:rFonts w:hint="default" w:ascii="Times New Roman" w:hAnsi="Times New Roman" w:eastAsia="宋体" w:cs="Times New Roman"/>
                      <w:color w:val="auto"/>
                    </w:rPr>
                  </w:pP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类</w:t>
                  </w:r>
                </w:p>
              </w:tc>
              <w:tc>
                <w:tcPr>
                  <w:tcW w:w="598" w:type="pct"/>
                  <w:noWrap w:val="0"/>
                  <w:vAlign w:val="center"/>
                </w:tcPr>
                <w:p>
                  <w:pPr>
                    <w:pStyle w:val="20"/>
                    <w:bidi w:val="0"/>
                    <w:rPr>
                      <w:rFonts w:hint="default" w:ascii="Times New Roman" w:hAnsi="Times New Roman" w:eastAsia="宋体" w:cs="Times New Roman"/>
                      <w:color w:val="auto"/>
                    </w:rPr>
                  </w:pPr>
                  <w:r>
                    <w:rPr>
                      <w:rFonts w:hint="default" w:ascii="Times New Roman" w:hAnsi="Times New Roman" w:eastAsia="宋体" w:cs="Times New Roman"/>
                      <w:color w:val="auto"/>
                    </w:rPr>
                    <w:t>dB（A）</w:t>
                  </w:r>
                </w:p>
              </w:tc>
              <w:tc>
                <w:tcPr>
                  <w:tcW w:w="631" w:type="pct"/>
                  <w:noWrap w:val="0"/>
                  <w:vAlign w:val="center"/>
                </w:tcPr>
                <w:p>
                  <w:pPr>
                    <w:pStyle w:val="20"/>
                    <w:bidi w:val="0"/>
                    <w:rPr>
                      <w:rFonts w:hint="default" w:ascii="Times New Roman" w:hAnsi="Times New Roman" w:eastAsia="宋体" w:cs="Times New Roman"/>
                      <w:color w:val="auto"/>
                      <w:lang w:val="en-US"/>
                    </w:rPr>
                  </w:pPr>
                  <w:r>
                    <w:rPr>
                      <w:rFonts w:hint="default" w:ascii="Times New Roman" w:hAnsi="Times New Roman" w:eastAsia="宋体" w:cs="Times New Roman"/>
                      <w:color w:val="auto"/>
                      <w:lang w:val="en-US" w:eastAsia="zh-CN"/>
                    </w:rPr>
                    <w:t>6</w:t>
                  </w:r>
                  <w:r>
                    <w:rPr>
                      <w:rFonts w:hint="eastAsia" w:ascii="Times New Roman" w:hAnsi="Times New Roman" w:cs="Times New Roman"/>
                      <w:color w:val="auto"/>
                      <w:lang w:val="en-US" w:eastAsia="zh-CN"/>
                    </w:rPr>
                    <w:t>5</w:t>
                  </w:r>
                </w:p>
              </w:tc>
              <w:tc>
                <w:tcPr>
                  <w:tcW w:w="724" w:type="pct"/>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r>
                    <w:rPr>
                      <w:rFonts w:hint="eastAsia" w:ascii="Times New Roman" w:hAnsi="Times New Roman" w:cs="Times New Roman"/>
                      <w:color w:val="auto"/>
                      <w:lang w:val="en-US" w:eastAsia="zh-CN"/>
                    </w:rPr>
                    <w:t>5</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outlineLvl w:val="1"/>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3、监测结果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东、</w:t>
            </w:r>
            <w:r>
              <w:rPr>
                <w:rFonts w:hint="default" w:ascii="Times New Roman" w:hAnsi="Times New Roman" w:eastAsia="宋体" w:cs="Times New Roman"/>
                <w:color w:val="auto"/>
                <w:sz w:val="24"/>
                <w:szCs w:val="24"/>
              </w:rPr>
              <w:t>南、</w:t>
            </w:r>
            <w:r>
              <w:rPr>
                <w:rFonts w:hint="eastAsia" w:ascii="Times New Roman" w:hAnsi="Times New Roman" w:cs="Times New Roman"/>
                <w:color w:val="auto"/>
                <w:sz w:val="24"/>
                <w:szCs w:val="24"/>
                <w:lang w:val="en-US" w:eastAsia="zh-CN"/>
              </w:rPr>
              <w:t>北</w:t>
            </w:r>
            <w:r>
              <w:rPr>
                <w:rFonts w:hint="default" w:ascii="Times New Roman" w:hAnsi="Times New Roman" w:eastAsia="宋体" w:cs="Times New Roman"/>
                <w:color w:val="auto"/>
                <w:sz w:val="24"/>
                <w:szCs w:val="24"/>
              </w:rPr>
              <w:t>厂界环境噪声测点昼间</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夜间</w:t>
            </w:r>
            <w:r>
              <w:rPr>
                <w:rFonts w:hint="default" w:ascii="Times New Roman" w:hAnsi="Times New Roman" w:eastAsia="宋体" w:cs="Times New Roman"/>
                <w:color w:val="auto"/>
                <w:sz w:val="24"/>
                <w:szCs w:val="24"/>
              </w:rPr>
              <w:t>等效声级值</w:t>
            </w:r>
            <w:r>
              <w:rPr>
                <w:rFonts w:hint="default" w:ascii="Times New Roman" w:hAnsi="Times New Roman" w:eastAsia="宋体" w:cs="Times New Roman"/>
                <w:color w:val="auto"/>
                <w:sz w:val="24"/>
                <w:szCs w:val="24"/>
                <w:lang w:eastAsia="zh-CN"/>
              </w:rPr>
              <w:t>均满足</w:t>
            </w:r>
            <w:r>
              <w:rPr>
                <w:rFonts w:hint="default" w:ascii="Times New Roman" w:hAnsi="Times New Roman" w:eastAsia="宋体" w:cs="Times New Roman"/>
                <w:color w:val="auto"/>
                <w:sz w:val="24"/>
                <w:szCs w:val="24"/>
              </w:rPr>
              <w:t>《工业企业厂界环境噪声排放标准》（GB 12348-2008）</w:t>
            </w: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lang w:val="en-US" w:eastAsia="zh-CN"/>
              </w:rPr>
              <w:t>1，</w:t>
            </w:r>
            <w:r>
              <w:rPr>
                <w:rFonts w:hint="eastAsia"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rPr>
              <w:t>类标准限值要求。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本次验收厂界环境噪声监测结果见表</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-3。</w:t>
            </w:r>
          </w:p>
          <w:p>
            <w:pPr>
              <w:spacing w:line="360" w:lineRule="auto"/>
              <w:jc w:val="center"/>
              <w:rPr>
                <w:rFonts w:hint="eastAsia" w:ascii="Times New Roman" w:hAnsi="Times New Roman" w:eastAsia="宋体" w:cs="Times New Roman"/>
                <w:b/>
                <w:color w:val="auto"/>
                <w:sz w:val="24"/>
                <w:lang w:eastAsia="zh-CN"/>
              </w:rPr>
            </w:pPr>
            <w:r>
              <w:rPr>
                <w:rFonts w:hint="default" w:ascii="Times New Roman" w:hAnsi="Times New Roman" w:eastAsia="宋体" w:cs="Times New Roman"/>
                <w:b/>
                <w:color w:val="auto"/>
                <w:sz w:val="24"/>
              </w:rPr>
              <w:t>表</w:t>
            </w:r>
            <w:r>
              <w:rPr>
                <w:rFonts w:hint="default" w:ascii="Times New Roman" w:hAnsi="Times New Roman" w:eastAsia="宋体" w:cs="Times New Roman"/>
                <w:b/>
                <w:color w:val="auto"/>
                <w:sz w:val="24"/>
                <w:lang w:val="en-US" w:eastAsia="zh-CN"/>
              </w:rPr>
              <w:t>9</w:t>
            </w:r>
            <w:r>
              <w:rPr>
                <w:rFonts w:hint="default" w:ascii="Times New Roman" w:hAnsi="Times New Roman" w:eastAsia="宋体" w:cs="Times New Roman"/>
                <w:b/>
                <w:color w:val="auto"/>
                <w:sz w:val="24"/>
              </w:rPr>
              <w:t>-3  噪声监测点位及结果</w:t>
            </w:r>
            <w:r>
              <w:rPr>
                <w:rFonts w:hint="eastAsia" w:ascii="Times New Roman" w:hAnsi="Times New Roman" w:cs="Times New Roman"/>
                <w:b/>
                <w:color w:val="auto"/>
                <w:sz w:val="24"/>
                <w:lang w:eastAsia="zh-CN"/>
              </w:rPr>
              <w:t>（</w:t>
            </w:r>
            <w:r>
              <w:rPr>
                <w:rFonts w:hint="default" w:ascii="Times New Roman" w:hAnsi="Times New Roman" w:eastAsia="宋体" w:cs="Times New Roman"/>
                <w:b/>
                <w:bCs/>
                <w:color w:val="auto"/>
                <w:kern w:val="0"/>
                <w:sz w:val="21"/>
                <w:szCs w:val="21"/>
              </w:rPr>
              <w:t>dB（A）</w:t>
            </w:r>
            <w:r>
              <w:rPr>
                <w:rFonts w:hint="eastAsia" w:ascii="Times New Roman" w:hAnsi="Times New Roman" w:cs="Times New Roman"/>
                <w:b/>
                <w:color w:val="auto"/>
                <w:sz w:val="24"/>
                <w:lang w:eastAsia="zh-CN"/>
              </w:rPr>
              <w:t>）</w:t>
            </w:r>
          </w:p>
          <w:tbl>
            <w:tblPr>
              <w:tblStyle w:val="16"/>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106"/>
              <w:gridCol w:w="1498"/>
              <w:gridCol w:w="1700"/>
              <w:gridCol w:w="1000"/>
              <w:gridCol w:w="1000"/>
              <w:gridCol w:w="1000"/>
              <w:gridCol w:w="1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605" w:hRule="atLeast"/>
              </w:trPr>
              <w:tc>
                <w:tcPr>
                  <w:tcW w:w="665" w:type="pct"/>
                  <w:tcBorders>
                    <w:tl2br w:val="nil"/>
                    <w:tr2bl w:val="nil"/>
                  </w:tcBorders>
                  <w:shd w:val="clear" w:color="auto" w:fill="auto"/>
                  <w:vAlign w:val="center"/>
                </w:tcPr>
                <w:p>
                  <w:pPr>
                    <w:pStyle w:val="20"/>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测点编号</w:t>
                  </w:r>
                </w:p>
              </w:tc>
              <w:tc>
                <w:tcPr>
                  <w:tcW w:w="901" w:type="pct"/>
                  <w:tcBorders>
                    <w:tl2br w:val="nil"/>
                    <w:tr2bl w:val="nil"/>
                  </w:tcBorders>
                  <w:shd w:val="clear" w:color="auto" w:fill="auto"/>
                  <w:vAlign w:val="center"/>
                </w:tcPr>
                <w:p>
                  <w:pPr>
                    <w:pStyle w:val="20"/>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测点名称</w:t>
                  </w:r>
                </w:p>
              </w:tc>
              <w:tc>
                <w:tcPr>
                  <w:tcW w:w="1023" w:type="pct"/>
                  <w:tcBorders>
                    <w:tl2br w:val="nil"/>
                    <w:tr2bl w:val="nil"/>
                  </w:tcBorders>
                  <w:shd w:val="clear" w:color="auto" w:fill="auto"/>
                  <w:vAlign w:val="center"/>
                </w:tcPr>
                <w:p>
                  <w:pPr>
                    <w:pStyle w:val="20"/>
                    <w:bidi w:val="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监测时间</w:t>
                  </w:r>
                </w:p>
              </w:tc>
              <w:tc>
                <w:tcPr>
                  <w:tcW w:w="601"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rPr>
                    <w:t>昼间</w:t>
                  </w:r>
                </w:p>
              </w:tc>
              <w:tc>
                <w:tcPr>
                  <w:tcW w:w="601"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b/>
                      <w:bCs/>
                      <w:color w:val="auto"/>
                      <w:kern w:val="0"/>
                      <w:sz w:val="21"/>
                      <w:szCs w:val="20"/>
                      <w:lang w:val="en-US" w:eastAsia="zh-CN" w:bidi="ar-SA"/>
                    </w:rPr>
                  </w:pPr>
                  <w:r>
                    <w:rPr>
                      <w:rFonts w:hint="eastAsia" w:ascii="Times New Roman" w:hAnsi="Times New Roman" w:eastAsia="宋体" w:cs="Times New Roman"/>
                      <w:b/>
                      <w:bCs/>
                      <w:color w:val="auto"/>
                      <w:lang w:val="en-US" w:eastAsia="zh-CN"/>
                    </w:rPr>
                    <w:t>达标情况</w:t>
                  </w:r>
                </w:p>
              </w:tc>
              <w:tc>
                <w:tcPr>
                  <w:tcW w:w="601"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b/>
                      <w:bCs/>
                      <w:color w:val="auto"/>
                      <w:kern w:val="0"/>
                      <w:sz w:val="21"/>
                      <w:szCs w:val="20"/>
                      <w:lang w:val="en-US" w:eastAsia="zh-CN" w:bidi="ar-SA"/>
                    </w:rPr>
                  </w:pPr>
                  <w:r>
                    <w:rPr>
                      <w:rFonts w:hint="default" w:ascii="Times New Roman" w:hAnsi="Times New Roman" w:eastAsia="宋体" w:cs="Times New Roman"/>
                      <w:b/>
                      <w:bCs/>
                      <w:color w:val="auto"/>
                    </w:rPr>
                    <w:t>夜间</w:t>
                  </w:r>
                </w:p>
              </w:tc>
              <w:tc>
                <w:tcPr>
                  <w:tcW w:w="60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b/>
                      <w:bCs/>
                      <w:color w:val="auto"/>
                      <w:kern w:val="0"/>
                      <w:sz w:val="21"/>
                      <w:szCs w:val="20"/>
                      <w:lang w:val="en-US" w:eastAsia="zh-CN" w:bidi="ar-SA"/>
                    </w:rPr>
                  </w:pPr>
                  <w:r>
                    <w:rPr>
                      <w:rFonts w:hint="eastAsia" w:ascii="Times New Roman" w:hAnsi="Times New Roman" w:eastAsia="宋体" w:cs="Times New Roman"/>
                      <w:b/>
                      <w:bCs/>
                      <w:color w:val="auto"/>
                      <w:lang w:val="en-US" w:eastAsia="zh-CN"/>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65" w:type="pct"/>
                  <w:vMerge w:val="restar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w:t>
                  </w:r>
                  <w:r>
                    <w:rPr>
                      <w:rFonts w:hint="default" w:ascii="Times New Roman" w:hAnsi="Times New Roman" w:eastAsia="宋体" w:cs="Times New Roman"/>
                      <w:color w:val="auto"/>
                      <w:lang w:val="en-US" w:eastAsia="zh-CN"/>
                    </w:rPr>
                    <w:t>1</w:t>
                  </w:r>
                </w:p>
              </w:tc>
              <w:tc>
                <w:tcPr>
                  <w:tcW w:w="901" w:type="pct"/>
                  <w:vMerge w:val="restar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北厂界外1m</w:t>
                  </w:r>
                </w:p>
              </w:tc>
              <w:tc>
                <w:tcPr>
                  <w:tcW w:w="1023"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6/8</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57.1</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53.3</w:t>
                  </w:r>
                </w:p>
              </w:tc>
              <w:tc>
                <w:tcPr>
                  <w:tcW w:w="60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65" w:type="pct"/>
                  <w:vMerge w:val="continue"/>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p>
              </w:tc>
              <w:tc>
                <w:tcPr>
                  <w:tcW w:w="901" w:type="pct"/>
                  <w:vMerge w:val="continue"/>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p>
              </w:tc>
              <w:tc>
                <w:tcPr>
                  <w:tcW w:w="102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6/9</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58.2</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53.6</w:t>
                  </w:r>
                </w:p>
              </w:tc>
              <w:tc>
                <w:tcPr>
                  <w:tcW w:w="60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65" w:type="pct"/>
                  <w:vMerge w:val="restar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N2</w:t>
                  </w:r>
                </w:p>
              </w:tc>
              <w:tc>
                <w:tcPr>
                  <w:tcW w:w="901" w:type="pct"/>
                  <w:vMerge w:val="restar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北厂界外1m</w:t>
                  </w:r>
                </w:p>
              </w:tc>
              <w:tc>
                <w:tcPr>
                  <w:tcW w:w="102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6/8</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55.2</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52.7</w:t>
                  </w:r>
                </w:p>
              </w:tc>
              <w:tc>
                <w:tcPr>
                  <w:tcW w:w="60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65" w:type="pct"/>
                  <w:vMerge w:val="continue"/>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p>
              </w:tc>
              <w:tc>
                <w:tcPr>
                  <w:tcW w:w="901" w:type="pct"/>
                  <w:vMerge w:val="continue"/>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p>
              </w:tc>
              <w:tc>
                <w:tcPr>
                  <w:tcW w:w="102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6/9</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56.6</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52.4</w:t>
                  </w:r>
                </w:p>
              </w:tc>
              <w:tc>
                <w:tcPr>
                  <w:tcW w:w="60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65" w:type="pct"/>
                  <w:vMerge w:val="restar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N3</w:t>
                  </w:r>
                </w:p>
              </w:tc>
              <w:tc>
                <w:tcPr>
                  <w:tcW w:w="901" w:type="pct"/>
                  <w:vMerge w:val="restar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东厂界外1m</w:t>
                  </w:r>
                </w:p>
              </w:tc>
              <w:tc>
                <w:tcPr>
                  <w:tcW w:w="102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6/8</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54.4</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51.1</w:t>
                  </w:r>
                </w:p>
              </w:tc>
              <w:tc>
                <w:tcPr>
                  <w:tcW w:w="60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65" w:type="pct"/>
                  <w:vMerge w:val="continue"/>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p>
              </w:tc>
              <w:tc>
                <w:tcPr>
                  <w:tcW w:w="901" w:type="pct"/>
                  <w:vMerge w:val="continue"/>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p>
              </w:tc>
              <w:tc>
                <w:tcPr>
                  <w:tcW w:w="102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6/9</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56.1</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51.1</w:t>
                  </w:r>
                </w:p>
              </w:tc>
              <w:tc>
                <w:tcPr>
                  <w:tcW w:w="60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65" w:type="pct"/>
                  <w:vMerge w:val="restart"/>
                  <w:tcBorders>
                    <w:tl2br w:val="nil"/>
                    <w:tr2bl w:val="nil"/>
                  </w:tcBorders>
                  <w:shd w:val="clear" w:color="auto" w:fill="auto"/>
                  <w:vAlign w:val="center"/>
                </w:tcPr>
                <w:p>
                  <w:pPr>
                    <w:pStyle w:val="20"/>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N4</w:t>
                  </w:r>
                </w:p>
              </w:tc>
              <w:tc>
                <w:tcPr>
                  <w:tcW w:w="901" w:type="pct"/>
                  <w:vMerge w:val="restar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东厂界外1m</w:t>
                  </w:r>
                </w:p>
              </w:tc>
              <w:tc>
                <w:tcPr>
                  <w:tcW w:w="102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6/8</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56.1</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52.0</w:t>
                  </w:r>
                </w:p>
              </w:tc>
              <w:tc>
                <w:tcPr>
                  <w:tcW w:w="60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65" w:type="pct"/>
                  <w:vMerge w:val="continue"/>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p>
              </w:tc>
              <w:tc>
                <w:tcPr>
                  <w:tcW w:w="901" w:type="pct"/>
                  <w:vMerge w:val="continue"/>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p>
              </w:tc>
              <w:tc>
                <w:tcPr>
                  <w:tcW w:w="102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6/9</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57.1</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52.6</w:t>
                  </w:r>
                </w:p>
              </w:tc>
              <w:tc>
                <w:tcPr>
                  <w:tcW w:w="60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65" w:type="pct"/>
                  <w:vMerge w:val="restar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N5</w:t>
                  </w:r>
                </w:p>
              </w:tc>
              <w:tc>
                <w:tcPr>
                  <w:tcW w:w="901" w:type="pct"/>
                  <w:vMerge w:val="restar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南厂界外1m</w:t>
                  </w:r>
                </w:p>
              </w:tc>
              <w:tc>
                <w:tcPr>
                  <w:tcW w:w="102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6/8</w:t>
                  </w:r>
                </w:p>
              </w:tc>
              <w:tc>
                <w:tcPr>
                  <w:tcW w:w="601" w:type="pct"/>
                  <w:tcBorders>
                    <w:tl2br w:val="nil"/>
                    <w:tr2bl w:val="nil"/>
                  </w:tcBorders>
                  <w:shd w:val="clear" w:color="auto" w:fill="auto"/>
                  <w:vAlign w:val="center"/>
                </w:tcPr>
                <w:p>
                  <w:pPr>
                    <w:pStyle w:val="20"/>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55.5</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c>
                <w:tcPr>
                  <w:tcW w:w="601" w:type="pct"/>
                  <w:tcBorders>
                    <w:tl2br w:val="nil"/>
                    <w:tr2bl w:val="nil"/>
                  </w:tcBorders>
                  <w:shd w:val="clear" w:color="auto" w:fill="auto"/>
                  <w:vAlign w:val="center"/>
                </w:tcPr>
                <w:p>
                  <w:pPr>
                    <w:pStyle w:val="20"/>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51.5</w:t>
                  </w:r>
                </w:p>
              </w:tc>
              <w:tc>
                <w:tcPr>
                  <w:tcW w:w="60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65" w:type="pct"/>
                  <w:vMerge w:val="continue"/>
                  <w:tcBorders>
                    <w:tl2br w:val="nil"/>
                    <w:tr2bl w:val="nil"/>
                  </w:tcBorders>
                  <w:shd w:val="clear" w:color="auto" w:fill="auto"/>
                  <w:vAlign w:val="center"/>
                </w:tcPr>
                <w:p>
                  <w:pPr>
                    <w:pStyle w:val="20"/>
                    <w:bidi w:val="0"/>
                    <w:rPr>
                      <w:rFonts w:hint="default" w:ascii="Times New Roman" w:hAnsi="Times New Roman" w:eastAsia="宋体" w:cs="Times New Roman"/>
                      <w:color w:val="auto"/>
                    </w:rPr>
                  </w:pPr>
                </w:p>
              </w:tc>
              <w:tc>
                <w:tcPr>
                  <w:tcW w:w="901" w:type="pct"/>
                  <w:vMerge w:val="continue"/>
                  <w:tcBorders>
                    <w:tl2br w:val="nil"/>
                    <w:tr2bl w:val="nil"/>
                  </w:tcBorders>
                  <w:shd w:val="clear" w:color="auto" w:fill="auto"/>
                  <w:vAlign w:val="center"/>
                </w:tcPr>
                <w:p>
                  <w:pPr>
                    <w:pStyle w:val="20"/>
                    <w:bidi w:val="0"/>
                    <w:rPr>
                      <w:rFonts w:hint="default" w:ascii="Times New Roman" w:hAnsi="Times New Roman" w:eastAsia="宋体" w:cs="Times New Roman"/>
                      <w:color w:val="auto"/>
                    </w:rPr>
                  </w:pPr>
                </w:p>
              </w:tc>
              <w:tc>
                <w:tcPr>
                  <w:tcW w:w="102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lang w:eastAsia="zh-CN"/>
                    </w:rPr>
                    <w:t>202</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6/9</w:t>
                  </w:r>
                </w:p>
              </w:tc>
              <w:tc>
                <w:tcPr>
                  <w:tcW w:w="601" w:type="pct"/>
                  <w:tcBorders>
                    <w:tl2br w:val="nil"/>
                    <w:tr2bl w:val="nil"/>
                  </w:tcBorders>
                  <w:shd w:val="clear" w:color="auto" w:fill="auto"/>
                  <w:vAlign w:val="center"/>
                </w:tcPr>
                <w:p>
                  <w:pPr>
                    <w:pStyle w:val="20"/>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56.2</w:t>
                  </w:r>
                </w:p>
              </w:tc>
              <w:tc>
                <w:tcPr>
                  <w:tcW w:w="601" w:type="pct"/>
                  <w:tcBorders>
                    <w:tl2br w:val="nil"/>
                    <w:tr2bl w:val="nil"/>
                  </w:tcBorders>
                  <w:shd w:val="clear" w:color="auto" w:fill="auto"/>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达标</w:t>
                  </w:r>
                </w:p>
              </w:tc>
              <w:tc>
                <w:tcPr>
                  <w:tcW w:w="601" w:type="pct"/>
                  <w:tcBorders>
                    <w:tl2br w:val="nil"/>
                    <w:tr2bl w:val="nil"/>
                  </w:tcBorders>
                  <w:shd w:val="clear" w:color="auto" w:fill="auto"/>
                  <w:vAlign w:val="center"/>
                </w:tcPr>
                <w:p>
                  <w:pPr>
                    <w:pStyle w:val="20"/>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51.8</w:t>
                  </w:r>
                </w:p>
              </w:tc>
              <w:tc>
                <w:tcPr>
                  <w:tcW w:w="603" w:type="pct"/>
                  <w:tcBorders>
                    <w:tl2br w:val="nil"/>
                    <w:tr2bl w:val="nil"/>
                  </w:tcBorders>
                  <w:shd w:val="clear" w:color="auto" w:fill="auto"/>
                  <w:vAlign w:val="center"/>
                </w:tcPr>
                <w:p>
                  <w:pPr>
                    <w:pStyle w:val="20"/>
                    <w:bidi w:val="0"/>
                    <w:ind w:firstLine="0" w:firstLineChars="0"/>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rPr>
                    <w:t>达标</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auto"/>
              </w:rPr>
            </w:pPr>
          </w:p>
        </w:tc>
      </w:tr>
    </w:tbl>
    <w:p>
      <w:pPr>
        <w:rPr>
          <w:rFonts w:hint="default" w:ascii="Times New Roman" w:hAnsi="Times New Roman" w:eastAsia="宋体" w:cs="Times New Roman"/>
          <w:color w:val="auto"/>
        </w:rPr>
      </w:pPr>
      <w:r>
        <w:rPr>
          <w:rFonts w:hint="default" w:ascii="Times New Roman" w:hAnsi="Times New Roman" w:eastAsia="宋体" w:cs="Times New Roman"/>
          <w:color w:val="auto"/>
        </w:rPr>
        <w:br w:type="page"/>
      </w:r>
    </w:p>
    <w:p>
      <w:pPr>
        <w:ind w:left="0" w:leftChars="0" w:firstLine="0" w:firstLineChars="0"/>
        <w:outlineLvl w:val="0"/>
        <w:rPr>
          <w:rFonts w:hint="default" w:ascii="Times New Roman" w:hAnsi="Times New Roman" w:eastAsia="宋体" w:cs="Times New Roman"/>
          <w:b/>
          <w:bCs/>
          <w:color w:val="auto"/>
          <w:sz w:val="28"/>
          <w:szCs w:val="28"/>
          <w:lang w:val="zh-CN"/>
        </w:rPr>
      </w:pPr>
      <w:bookmarkStart w:id="23" w:name="_Toc21358"/>
      <w:bookmarkStart w:id="24" w:name="_Toc29055"/>
      <w:r>
        <w:rPr>
          <w:rFonts w:hint="default" w:ascii="Times New Roman" w:hAnsi="Times New Roman" w:eastAsia="宋体" w:cs="Times New Roman"/>
          <w:b/>
          <w:bCs/>
          <w:color w:val="auto"/>
          <w:sz w:val="28"/>
          <w:szCs w:val="28"/>
          <w:lang w:val="zh-CN"/>
        </w:rPr>
        <w:t>表</w:t>
      </w:r>
      <w:r>
        <w:rPr>
          <w:rFonts w:hint="default" w:ascii="Times New Roman" w:hAnsi="Times New Roman" w:eastAsia="宋体" w:cs="Times New Roman"/>
          <w:b/>
          <w:bCs/>
          <w:color w:val="auto"/>
          <w:sz w:val="28"/>
          <w:szCs w:val="28"/>
          <w:lang w:val="en-US" w:eastAsia="zh-CN"/>
        </w:rPr>
        <w:t>十</w:t>
      </w:r>
      <w:r>
        <w:rPr>
          <w:rFonts w:hint="default" w:ascii="Times New Roman" w:hAnsi="Times New Roman" w:eastAsia="宋体" w:cs="Times New Roman"/>
          <w:b/>
          <w:bCs/>
          <w:color w:val="auto"/>
          <w:sz w:val="28"/>
          <w:szCs w:val="28"/>
          <w:lang w:val="zh-CN"/>
        </w:rPr>
        <w:t>、监测分析方法及质量保证</w:t>
      </w:r>
      <w:bookmarkEnd w:id="23"/>
      <w:bookmarkEnd w:id="24"/>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6" w:hRule="atLeast"/>
          <w:jc w:val="center"/>
        </w:trPr>
        <w:tc>
          <w:tcPr>
            <w:tcW w:w="8522" w:type="dxa"/>
          </w:tcPr>
          <w:p>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1、监测过程中实施全过程的质量控制，监测分析方法采用国家和行业主管部门颁布的标</w:t>
            </w:r>
            <w:r>
              <w:rPr>
                <w:rFonts w:hint="eastAsia" w:ascii="Times New Roman" w:hAnsi="Times New Roman" w:cs="Times New Roman"/>
                <w:color w:val="auto"/>
                <w:sz w:val="24"/>
                <w:lang w:val="en-US" w:eastAsia="zh-CN"/>
              </w:rPr>
              <w:t>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或推荐</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方法。监测人员经过省级技术考核合格并持有合格证书。所用的监测仪器均经过法定计量检定并在有效期内。分析测试前后，对所用的测试仪器进行了必要的校准。监测项目、分析方法、监测仪器及型号见表</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-1。</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highlight w:val="none"/>
                <w:lang w:val="en-US" w:eastAsia="zh-CN"/>
              </w:rPr>
              <w:t>仪器校准：采样前，在实验室对pH计进行校准，并及时填写记录。烟气测定仪使用前用标准气体检查准确度并进行了校准，仪器示值偏差在合格范围内（±5%）。</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采样前核查：现场核查了生产工况、采样点位（位置）和采样器具。</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采样：水质采样时根据测定项目选择了相应的采样器具、固定剂、水样-容器，采样前先用带采集水样荡洗采样器与水样容器2-3次，然后将适量水根据不同的项目装入相应材质的容器内，并按要求立即加入相应的固定剂，贴好标签。废气采样按照技术规范进行样品采集工作，现场测定气压、温度、流量等参数，使用采样管、吸收瓶等采集的样品做好密闭和唯一性标识，并按要求保存。</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质控样品：每批水质样品除pH等特殊项目外，其余项目均加一个现场全程序空白样，随同样品一起测定，同时每批水质样品采集不少于10%的现场平行样。</w:t>
            </w:r>
          </w:p>
          <w:p>
            <w:pPr>
              <w:ind w:firstLine="480"/>
              <w:rPr>
                <w:rFonts w:hint="default" w:ascii="Times New Roman" w:hAnsi="Times New Roman" w:eastAsia="宋体" w:cs="Times New Roman"/>
                <w:color w:val="auto"/>
                <w:kern w:val="2"/>
                <w:sz w:val="24"/>
                <w:szCs w:val="24"/>
                <w:highlight w:val="red"/>
                <w:lang w:val="en-US" w:eastAsia="zh-CN" w:bidi="ar-SA"/>
              </w:rPr>
            </w:pPr>
            <w:r>
              <w:rPr>
                <w:rFonts w:hint="default" w:ascii="Times New Roman" w:hAnsi="Times New Roman" w:eastAsia="宋体" w:cs="Times New Roman"/>
                <w:color w:val="auto"/>
                <w:highlight w:val="none"/>
                <w:lang w:val="en-US" w:eastAsia="zh-CN"/>
              </w:rPr>
              <w:t>现场记录：现场填写采样记录，记录内容包括感官（颜色、气味、浮油）pH、气象参数等现场测定参数。</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sz w:val="24"/>
                <w:highlight w:val="none"/>
              </w:rPr>
              <w:t>表</w:t>
            </w:r>
            <w:r>
              <w:rPr>
                <w:rFonts w:hint="default" w:ascii="Times New Roman" w:hAnsi="Times New Roman" w:eastAsia="宋体" w:cs="Times New Roman"/>
                <w:b/>
                <w:color w:val="auto"/>
                <w:sz w:val="24"/>
                <w:highlight w:val="none"/>
                <w:lang w:val="en-US" w:eastAsia="zh-CN"/>
              </w:rPr>
              <w:t>10</w:t>
            </w:r>
            <w:r>
              <w:rPr>
                <w:rFonts w:hint="default" w:ascii="Times New Roman" w:hAnsi="Times New Roman" w:eastAsia="宋体" w:cs="Times New Roman"/>
                <w:b/>
                <w:color w:val="auto"/>
                <w:sz w:val="24"/>
                <w:highlight w:val="none"/>
              </w:rPr>
              <w:t xml:space="preserve">-1  </w:t>
            </w:r>
            <w:r>
              <w:rPr>
                <w:rFonts w:hint="default" w:ascii="Times New Roman" w:hAnsi="Times New Roman" w:eastAsia="宋体" w:cs="Times New Roman"/>
                <w:b/>
                <w:bCs/>
                <w:color w:val="auto"/>
                <w:sz w:val="24"/>
                <w:highlight w:val="none"/>
              </w:rPr>
              <w:t>检测依据一览表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670"/>
              <w:gridCol w:w="5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val="0"/>
                  <w:vAlign w:val="center"/>
                </w:tcPr>
                <w:p>
                  <w:pPr>
                    <w:pStyle w:val="20"/>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检测类别</w:t>
                  </w:r>
                </w:p>
              </w:tc>
              <w:tc>
                <w:tcPr>
                  <w:tcW w:w="1670" w:type="dxa"/>
                  <w:noWrap w:val="0"/>
                  <w:vAlign w:val="center"/>
                </w:tcPr>
                <w:p>
                  <w:pPr>
                    <w:pStyle w:val="20"/>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eastAsia="zh-CN"/>
                    </w:rPr>
                    <w:t>项目</w:t>
                  </w:r>
                </w:p>
              </w:tc>
              <w:tc>
                <w:tcPr>
                  <w:tcW w:w="5752" w:type="dxa"/>
                  <w:noWrap w:val="0"/>
                  <w:vAlign w:val="center"/>
                </w:tcPr>
                <w:p>
                  <w:pPr>
                    <w:pStyle w:val="20"/>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eastAsia="zh-CN"/>
                    </w:rPr>
                    <w:t>检测依据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restart"/>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废水</w:t>
                  </w:r>
                </w:p>
              </w:tc>
              <w:tc>
                <w:tcPr>
                  <w:tcW w:w="167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pH值</w:t>
                  </w:r>
                </w:p>
              </w:tc>
              <w:tc>
                <w:tcPr>
                  <w:tcW w:w="57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水质 pH值的测定 电极法 HJ 1147-2020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continue"/>
                  <w:noWrap w:val="0"/>
                  <w:vAlign w:val="center"/>
                </w:tcPr>
                <w:p>
                  <w:pPr>
                    <w:pStyle w:val="20"/>
                    <w:bidi w:val="0"/>
                    <w:rPr>
                      <w:rFonts w:hint="default" w:ascii="Times New Roman" w:hAnsi="Times New Roman" w:eastAsia="宋体" w:cs="Times New Roman"/>
                      <w:color w:val="auto"/>
                      <w:lang w:val="en-US" w:eastAsia="zh-CN"/>
                    </w:rPr>
                  </w:pPr>
                </w:p>
              </w:tc>
              <w:tc>
                <w:tcPr>
                  <w:tcW w:w="167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悬浮物</w:t>
                  </w:r>
                </w:p>
              </w:tc>
              <w:tc>
                <w:tcPr>
                  <w:tcW w:w="57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水质 悬浮物的测定 重量法 GB/T 11901-1989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continue"/>
                  <w:noWrap w:val="0"/>
                  <w:vAlign w:val="center"/>
                </w:tcPr>
                <w:p>
                  <w:pPr>
                    <w:pStyle w:val="20"/>
                    <w:bidi w:val="0"/>
                    <w:rPr>
                      <w:rFonts w:hint="default" w:ascii="Times New Roman" w:hAnsi="Times New Roman" w:eastAsia="宋体" w:cs="Times New Roman"/>
                      <w:color w:val="auto"/>
                      <w:lang w:val="en-US" w:eastAsia="zh-CN"/>
                    </w:rPr>
                  </w:pPr>
                </w:p>
              </w:tc>
              <w:tc>
                <w:tcPr>
                  <w:tcW w:w="167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化学需氧量</w:t>
                  </w:r>
                </w:p>
              </w:tc>
              <w:tc>
                <w:tcPr>
                  <w:tcW w:w="57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水质 化学需氧量的测定 重铬酸盐法 HJ 828-2017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continue"/>
                  <w:noWrap w:val="0"/>
                  <w:vAlign w:val="center"/>
                </w:tcPr>
                <w:p>
                  <w:pPr>
                    <w:pStyle w:val="20"/>
                    <w:bidi w:val="0"/>
                    <w:rPr>
                      <w:rFonts w:hint="default" w:ascii="Times New Roman" w:hAnsi="Times New Roman" w:eastAsia="宋体" w:cs="Times New Roman"/>
                      <w:color w:val="auto"/>
                      <w:lang w:val="en-US" w:eastAsia="zh-CN"/>
                    </w:rPr>
                  </w:pPr>
                </w:p>
              </w:tc>
              <w:tc>
                <w:tcPr>
                  <w:tcW w:w="167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氨氮</w:t>
                  </w:r>
                </w:p>
              </w:tc>
              <w:tc>
                <w:tcPr>
                  <w:tcW w:w="57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水质 氨氮的测定 纳氏试剂分光光度法 HJ 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continue"/>
                  <w:noWrap w:val="0"/>
                  <w:vAlign w:val="center"/>
                </w:tcPr>
                <w:p>
                  <w:pPr>
                    <w:pStyle w:val="20"/>
                    <w:bidi w:val="0"/>
                    <w:rPr>
                      <w:rFonts w:hint="default" w:ascii="Times New Roman" w:hAnsi="Times New Roman" w:eastAsia="宋体" w:cs="Times New Roman"/>
                      <w:color w:val="auto"/>
                      <w:lang w:val="en-US" w:eastAsia="zh-CN"/>
                    </w:rPr>
                  </w:pPr>
                </w:p>
              </w:tc>
              <w:tc>
                <w:tcPr>
                  <w:tcW w:w="167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总磷</w:t>
                  </w:r>
                </w:p>
              </w:tc>
              <w:tc>
                <w:tcPr>
                  <w:tcW w:w="57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水质 总磷的测定 钼酸铵分光光度法  GB/T 11893-1989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continue"/>
                  <w:noWrap w:val="0"/>
                  <w:vAlign w:val="center"/>
                </w:tcPr>
                <w:p>
                  <w:pPr>
                    <w:pStyle w:val="20"/>
                    <w:bidi w:val="0"/>
                    <w:rPr>
                      <w:rFonts w:hint="default" w:ascii="Times New Roman" w:hAnsi="Times New Roman" w:eastAsia="宋体" w:cs="Times New Roman"/>
                      <w:color w:val="auto"/>
                      <w:lang w:val="en-US" w:eastAsia="zh-CN"/>
                    </w:rPr>
                  </w:pPr>
                </w:p>
              </w:tc>
              <w:tc>
                <w:tcPr>
                  <w:tcW w:w="167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锰、铜、锌</w:t>
                  </w:r>
                </w:p>
              </w:tc>
              <w:tc>
                <w:tcPr>
                  <w:tcW w:w="57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水质</w:t>
                  </w:r>
                  <w:r>
                    <w:rPr>
                      <w:rFonts w:hint="default" w:ascii="Times New Roman" w:hAnsi="Times New Roman" w:eastAsia="宋体" w:cs="Times New Roman"/>
                      <w:i w:val="0"/>
                      <w:iCs w:val="0"/>
                      <w:color w:val="auto"/>
                      <w:kern w:val="0"/>
                      <w:sz w:val="21"/>
                      <w:szCs w:val="21"/>
                      <w:u w:val="none"/>
                      <w:lang w:val="en-US" w:eastAsia="zh-CN" w:bidi="ar"/>
                    </w:rPr>
                    <w:t xml:space="preserve"> 32</w:t>
                  </w:r>
                  <w:r>
                    <w:rPr>
                      <w:rFonts w:hint="eastAsia" w:ascii="宋体" w:hAnsi="宋体" w:eastAsia="宋体" w:cs="宋体"/>
                      <w:i w:val="0"/>
                      <w:iCs w:val="0"/>
                      <w:color w:val="auto"/>
                      <w:kern w:val="0"/>
                      <w:sz w:val="21"/>
                      <w:szCs w:val="21"/>
                      <w:u w:val="none"/>
                      <w:lang w:val="en-US" w:eastAsia="zh-CN" w:bidi="ar"/>
                    </w:rPr>
                    <w:t>种元素的测定</w:t>
                  </w:r>
                  <w:r>
                    <w:rPr>
                      <w:rFonts w:hint="default" w:ascii="Times New Roman" w:hAnsi="Times New Roman" w:eastAsia="宋体" w:cs="Times New Roman"/>
                      <w:i w:val="0"/>
                      <w:iCs w:val="0"/>
                      <w:color w:val="auto"/>
                      <w:kern w:val="0"/>
                      <w:sz w:val="21"/>
                      <w:szCs w:val="21"/>
                      <w:u w:val="none"/>
                      <w:lang w:val="en-US" w:eastAsia="zh-CN" w:bidi="ar"/>
                    </w:rPr>
                    <w:t xml:space="preserve"> </w:t>
                  </w:r>
                  <w:r>
                    <w:rPr>
                      <w:rFonts w:hint="eastAsia" w:ascii="宋体" w:hAnsi="宋体" w:eastAsia="宋体" w:cs="宋体"/>
                      <w:i w:val="0"/>
                      <w:iCs w:val="0"/>
                      <w:color w:val="auto"/>
                      <w:kern w:val="0"/>
                      <w:sz w:val="21"/>
                      <w:szCs w:val="21"/>
                      <w:u w:val="none"/>
                      <w:lang w:val="en-US" w:eastAsia="zh-CN" w:bidi="ar"/>
                    </w:rPr>
                    <w:t>电感耦合等离子体发射光谱法</w:t>
                  </w:r>
                  <w:r>
                    <w:rPr>
                      <w:rFonts w:hint="default" w:ascii="Times New Roman" w:hAnsi="Times New Roman" w:eastAsia="宋体" w:cs="Times New Roman"/>
                      <w:i w:val="0"/>
                      <w:iCs w:val="0"/>
                      <w:color w:val="auto"/>
                      <w:kern w:val="0"/>
                      <w:sz w:val="21"/>
                      <w:szCs w:val="21"/>
                      <w:u w:val="none"/>
                      <w:lang w:val="en-US" w:eastAsia="zh-CN" w:bidi="ar"/>
                    </w:rPr>
                    <w:t xml:space="preserve"> HJ 776-2015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restart"/>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无组织废气</w:t>
                  </w:r>
                </w:p>
              </w:tc>
              <w:tc>
                <w:tcPr>
                  <w:tcW w:w="167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氨</w:t>
                  </w:r>
                </w:p>
              </w:tc>
              <w:tc>
                <w:tcPr>
                  <w:tcW w:w="57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环境空气和废气  氨的测定  纳氏试剂分光光度法 HJ 533-2009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74" w:type="dxa"/>
                  <w:vMerge w:val="continue"/>
                  <w:noWrap w:val="0"/>
                  <w:vAlign w:val="center"/>
                </w:tcPr>
                <w:p>
                  <w:pPr>
                    <w:pStyle w:val="20"/>
                    <w:bidi w:val="0"/>
                    <w:rPr>
                      <w:rFonts w:hint="default" w:ascii="Times New Roman" w:hAnsi="Times New Roman" w:cs="Times New Roman"/>
                      <w:color w:val="auto"/>
                      <w:lang w:val="en-US" w:eastAsia="zh-CN"/>
                    </w:rPr>
                  </w:pPr>
                </w:p>
              </w:tc>
              <w:tc>
                <w:tcPr>
                  <w:tcW w:w="167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硫化氢</w:t>
                  </w:r>
                </w:p>
              </w:tc>
              <w:tc>
                <w:tcPr>
                  <w:tcW w:w="57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《空气和废气监测分析方法》（第四版 增补版） 国家环境保护总局（2003年）3.1.11.2 亚甲基蓝分光光度法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continue"/>
                  <w:noWrap w:val="0"/>
                  <w:vAlign w:val="center"/>
                </w:tcPr>
                <w:p>
                  <w:pPr>
                    <w:pStyle w:val="20"/>
                    <w:bidi w:val="0"/>
                    <w:rPr>
                      <w:rFonts w:hint="default" w:ascii="Times New Roman" w:hAnsi="Times New Roman" w:eastAsia="宋体" w:cs="Times New Roman"/>
                      <w:color w:val="auto"/>
                      <w:lang w:eastAsia="zh-CN"/>
                    </w:rPr>
                  </w:pPr>
                </w:p>
              </w:tc>
              <w:tc>
                <w:tcPr>
                  <w:tcW w:w="167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硫酸雾</w:t>
                  </w:r>
                </w:p>
              </w:tc>
              <w:tc>
                <w:tcPr>
                  <w:tcW w:w="57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固定污染源废气</w:t>
                  </w:r>
                  <w:r>
                    <w:rPr>
                      <w:rFonts w:hint="default" w:ascii="Times New Roman" w:hAnsi="Times New Roman" w:eastAsia="宋体" w:cs="Times New Roman"/>
                      <w:i w:val="0"/>
                      <w:iCs w:val="0"/>
                      <w:color w:val="auto"/>
                      <w:kern w:val="0"/>
                      <w:sz w:val="21"/>
                      <w:szCs w:val="21"/>
                      <w:u w:val="none"/>
                      <w:lang w:val="en-US" w:eastAsia="zh-CN" w:bidi="ar"/>
                    </w:rPr>
                    <w:t xml:space="preserve">  </w:t>
                  </w:r>
                  <w:r>
                    <w:rPr>
                      <w:rFonts w:hint="eastAsia" w:ascii="宋体" w:hAnsi="宋体" w:eastAsia="宋体" w:cs="宋体"/>
                      <w:i w:val="0"/>
                      <w:iCs w:val="0"/>
                      <w:color w:val="auto"/>
                      <w:kern w:val="0"/>
                      <w:sz w:val="21"/>
                      <w:szCs w:val="21"/>
                      <w:u w:val="none"/>
                      <w:lang w:val="en-US" w:eastAsia="zh-CN" w:bidi="ar"/>
                    </w:rPr>
                    <w:t>硫酸雾的测定</w:t>
                  </w:r>
                  <w:r>
                    <w:rPr>
                      <w:rFonts w:hint="default" w:ascii="Times New Roman" w:hAnsi="Times New Roman" w:eastAsia="宋体" w:cs="Times New Roman"/>
                      <w:i w:val="0"/>
                      <w:iCs w:val="0"/>
                      <w:color w:val="auto"/>
                      <w:kern w:val="0"/>
                      <w:sz w:val="21"/>
                      <w:szCs w:val="21"/>
                      <w:u w:val="none"/>
                      <w:lang w:val="en-US" w:eastAsia="zh-CN" w:bidi="ar"/>
                    </w:rPr>
                    <w:t xml:space="preserve"> </w:t>
                  </w:r>
                  <w:r>
                    <w:rPr>
                      <w:rFonts w:hint="eastAsia" w:ascii="宋体" w:hAnsi="宋体" w:eastAsia="宋体" w:cs="宋体"/>
                      <w:i w:val="0"/>
                      <w:iCs w:val="0"/>
                      <w:color w:val="auto"/>
                      <w:kern w:val="0"/>
                      <w:sz w:val="21"/>
                      <w:szCs w:val="21"/>
                      <w:u w:val="none"/>
                      <w:lang w:val="en-US" w:eastAsia="zh-CN" w:bidi="ar"/>
                    </w:rPr>
                    <w:t>离子色谱法</w:t>
                  </w:r>
                  <w:r>
                    <w:rPr>
                      <w:rFonts w:hint="default" w:ascii="Times New Roman" w:hAnsi="Times New Roman" w:eastAsia="宋体" w:cs="Times New Roman"/>
                      <w:i w:val="0"/>
                      <w:iCs w:val="0"/>
                      <w:color w:val="auto"/>
                      <w:kern w:val="0"/>
                      <w:sz w:val="21"/>
                      <w:szCs w:val="21"/>
                      <w:u w:val="none"/>
                      <w:lang w:val="en-US" w:eastAsia="zh-CN" w:bidi="ar"/>
                    </w:rPr>
                    <w:t xml:space="preserve"> HJ 544-2016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restart"/>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有组织废气</w:t>
                  </w:r>
                </w:p>
              </w:tc>
              <w:tc>
                <w:tcPr>
                  <w:tcW w:w="167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硫酸雾</w:t>
                  </w:r>
                </w:p>
              </w:tc>
              <w:tc>
                <w:tcPr>
                  <w:tcW w:w="5752"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固定污染源废气  硫酸雾的测定 离子色谱法HJ 544-2016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continue"/>
                  <w:noWrap w:val="0"/>
                  <w:vAlign w:val="center"/>
                </w:tcPr>
                <w:p>
                  <w:pPr>
                    <w:pStyle w:val="20"/>
                    <w:bidi w:val="0"/>
                    <w:rPr>
                      <w:rFonts w:hint="default" w:ascii="Times New Roman" w:hAnsi="Times New Roman" w:cs="Times New Roman"/>
                      <w:color w:val="auto"/>
                      <w:lang w:val="en-US" w:eastAsia="zh-CN"/>
                    </w:rPr>
                  </w:pPr>
                </w:p>
              </w:tc>
              <w:tc>
                <w:tcPr>
                  <w:tcW w:w="167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氨</w:t>
                  </w:r>
                </w:p>
              </w:tc>
              <w:tc>
                <w:tcPr>
                  <w:tcW w:w="57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环境空气和废气  氨的测定  纳氏试剂分光光度法 </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HJ</w:t>
                  </w:r>
                  <w:r>
                    <w:rPr>
                      <w:rFonts w:hint="eastAsia" w:ascii="Times New Roman" w:hAnsi="Times New Roman" w:eastAsia="宋体" w:cs="Times New Roman"/>
                      <w:i w:val="0"/>
                      <w:iCs w:val="0"/>
                      <w:color w:val="auto"/>
                      <w:kern w:val="0"/>
                      <w:sz w:val="21"/>
                      <w:szCs w:val="21"/>
                      <w:u w:val="none"/>
                      <w:lang w:val="en-US" w:eastAsia="zh-CN" w:bidi="ar"/>
                    </w:rPr>
                    <w:t xml:space="preserve"> </w:t>
                  </w:r>
                  <w:r>
                    <w:rPr>
                      <w:rFonts w:hint="default" w:ascii="Times New Roman" w:hAnsi="Times New Roman" w:eastAsia="宋体" w:cs="Times New Roman"/>
                      <w:i w:val="0"/>
                      <w:iCs w:val="0"/>
                      <w:color w:val="auto"/>
                      <w:kern w:val="0"/>
                      <w:sz w:val="21"/>
                      <w:szCs w:val="21"/>
                      <w:u w:val="none"/>
                      <w:lang w:val="en-US" w:eastAsia="zh-CN" w:bidi="ar"/>
                    </w:rPr>
                    <w:t>533-2009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continue"/>
                  <w:noWrap w:val="0"/>
                  <w:vAlign w:val="center"/>
                </w:tcPr>
                <w:p>
                  <w:pPr>
                    <w:pStyle w:val="20"/>
                    <w:bidi w:val="0"/>
                    <w:rPr>
                      <w:rFonts w:hint="default" w:ascii="Times New Roman" w:hAnsi="Times New Roman" w:cs="Times New Roman"/>
                      <w:color w:val="auto"/>
                      <w:lang w:val="en-US" w:eastAsia="zh-CN"/>
                    </w:rPr>
                  </w:pPr>
                </w:p>
              </w:tc>
              <w:tc>
                <w:tcPr>
                  <w:tcW w:w="167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硫化氢</w:t>
                  </w:r>
                </w:p>
              </w:tc>
              <w:tc>
                <w:tcPr>
                  <w:tcW w:w="57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《空气和废气监测分析方法》（第四版 增补版） 国家环境保护总局（2003年）5.4.10.3 亚甲基蓝分光光度法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continue"/>
                  <w:noWrap w:val="0"/>
                  <w:vAlign w:val="center"/>
                </w:tcPr>
                <w:p>
                  <w:pPr>
                    <w:pStyle w:val="20"/>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167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eastAsia="zh-CN"/>
                    </w:rPr>
                    <w:t>低浓度颗粒物</w:t>
                  </w:r>
                </w:p>
              </w:tc>
              <w:tc>
                <w:tcPr>
                  <w:tcW w:w="5752"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 xml:space="preserve">固定污染源废气 </w:t>
                  </w:r>
                  <w:r>
                    <w:rPr>
                      <w:rFonts w:hint="eastAsia" w:ascii="Times New Roman" w:hAnsi="Times New Roman" w:eastAsia="宋体" w:cs="Times New Roman"/>
                      <w:color w:val="auto"/>
                      <w:sz w:val="21"/>
                      <w:szCs w:val="21"/>
                      <w:lang w:eastAsia="zh-CN"/>
                    </w:rPr>
                    <w:t>低浓度颗粒物</w:t>
                  </w:r>
                  <w:r>
                    <w:rPr>
                      <w:rFonts w:hint="default" w:ascii="Times New Roman" w:hAnsi="Times New Roman" w:eastAsia="宋体" w:cs="Times New Roman"/>
                      <w:color w:val="auto"/>
                      <w:sz w:val="21"/>
                      <w:szCs w:val="21"/>
                    </w:rPr>
                    <w:t>的测定 重量法 HJ 836-2017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continue"/>
                  <w:noWrap w:val="0"/>
                  <w:vAlign w:val="center"/>
                </w:tcPr>
                <w:p>
                  <w:pPr>
                    <w:pStyle w:val="20"/>
                    <w:bidi w:val="0"/>
                    <w:rPr>
                      <w:rFonts w:hint="default" w:ascii="Times New Roman" w:hAnsi="Times New Roman" w:cs="Times New Roman"/>
                      <w:color w:val="auto"/>
                      <w:lang w:val="en-US" w:eastAsia="zh-CN"/>
                    </w:rPr>
                  </w:pPr>
                </w:p>
              </w:tc>
              <w:tc>
                <w:tcPr>
                  <w:tcW w:w="167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二氧化硫</w:t>
                  </w:r>
                </w:p>
              </w:tc>
              <w:tc>
                <w:tcPr>
                  <w:tcW w:w="57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固定污染源废气 二氧化硫的测定 便携式紫外吸收法</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 HJ 1131-2020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val="0"/>
                  <w:vAlign w:val="center"/>
                </w:tcPr>
                <w:p>
                  <w:pPr>
                    <w:pStyle w:val="2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噪声</w:t>
                  </w:r>
                </w:p>
              </w:tc>
              <w:tc>
                <w:tcPr>
                  <w:tcW w:w="1670"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氮氧化物</w:t>
                  </w:r>
                </w:p>
              </w:tc>
              <w:tc>
                <w:tcPr>
                  <w:tcW w:w="5752"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固定污染源废气 氮氧化物的测定 便携式紫外吸收法</w:t>
                  </w:r>
                </w:p>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 HJ 1132-2020</w:t>
                  </w:r>
                </w:p>
              </w:tc>
            </w:tr>
          </w:tbl>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w:t>
            </w:r>
            <w:r>
              <w:rPr>
                <w:rFonts w:hint="default" w:ascii="Times New Roman" w:hAnsi="Times New Roman" w:eastAsia="宋体" w:cs="Times New Roman"/>
                <w:b/>
                <w:color w:val="auto"/>
                <w:sz w:val="24"/>
                <w:highlight w:val="none"/>
                <w:lang w:val="en-US" w:eastAsia="zh-CN"/>
              </w:rPr>
              <w:t>10</w:t>
            </w:r>
            <w:r>
              <w:rPr>
                <w:rFonts w:hint="default" w:ascii="Times New Roman" w:hAnsi="Times New Roman" w:eastAsia="宋体" w:cs="Times New Roman"/>
                <w:b/>
                <w:color w:val="auto"/>
                <w:sz w:val="24"/>
                <w:highlight w:val="none"/>
              </w:rPr>
              <w:t>-2 仪器信息一览表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4"/>
              <w:gridCol w:w="1638"/>
              <w:gridCol w:w="2097"/>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color w:val="auto"/>
                      <w:sz w:val="21"/>
                      <w:szCs w:val="21"/>
                    </w:rPr>
                    <w:t>仪器名称</w:t>
                  </w:r>
                </w:p>
              </w:tc>
              <w:tc>
                <w:tcPr>
                  <w:tcW w:w="1638"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color w:val="auto"/>
                      <w:sz w:val="21"/>
                      <w:szCs w:val="21"/>
                    </w:rPr>
                    <w:t>型号</w:t>
                  </w:r>
                </w:p>
              </w:tc>
              <w:tc>
                <w:tcPr>
                  <w:tcW w:w="2097"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color w:val="auto"/>
                      <w:sz w:val="21"/>
                      <w:szCs w:val="21"/>
                    </w:rPr>
                    <w:t>仪器编号</w:t>
                  </w:r>
                </w:p>
              </w:tc>
              <w:tc>
                <w:tcPr>
                  <w:tcW w:w="1697" w:type="dxa"/>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color w:val="auto"/>
                      <w:sz w:val="21"/>
                      <w:szCs w:val="21"/>
                    </w:rPr>
                    <w:t>检定有效期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水质多参数仪</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SX836</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JCSB-C-074-8</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电子天平</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MS204S</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JCSB-C-008-1</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2023.12.27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数字滴定器</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brand</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JCSB-C-033-8</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2023.10.21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可见分光光度计</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T6</w:t>
                  </w:r>
                  <w:r>
                    <w:rPr>
                      <w:rFonts w:hint="eastAsia" w:ascii="宋体" w:hAnsi="宋体" w:eastAsia="宋体" w:cs="宋体"/>
                      <w:i w:val="0"/>
                      <w:iCs w:val="0"/>
                      <w:color w:val="auto"/>
                      <w:kern w:val="0"/>
                      <w:sz w:val="21"/>
                      <w:szCs w:val="21"/>
                      <w:u w:val="none"/>
                      <w:lang w:val="en-US" w:eastAsia="zh-CN" w:bidi="ar"/>
                    </w:rPr>
                    <w:t>新悦</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JCSB-C-005-3</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2023.12.29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可见分光光度计</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N2S</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JCSB-C-005-5</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2024.05.29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电感耦合等离子体发射光谱仪</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ICP-5100</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JCSB-C-051</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2024.05.05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气象参数仪</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Kestrel5500</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JCSB-F-041-14</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环境空气综合采样器</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崂应</w:t>
                  </w:r>
                  <w:r>
                    <w:rPr>
                      <w:rFonts w:hint="default" w:ascii="Times New Roman" w:hAnsi="Times New Roman" w:eastAsia="宋体" w:cs="Times New Roman"/>
                      <w:i w:val="0"/>
                      <w:iCs w:val="0"/>
                      <w:color w:val="auto"/>
                      <w:kern w:val="0"/>
                      <w:sz w:val="21"/>
                      <w:szCs w:val="21"/>
                      <w:u w:val="none"/>
                      <w:lang w:val="en-US" w:eastAsia="zh-CN" w:bidi="ar"/>
                    </w:rPr>
                    <w:t>2050</w:t>
                  </w:r>
                  <w:r>
                    <w:rPr>
                      <w:rFonts w:hint="eastAsia" w:ascii="宋体" w:hAnsi="宋体" w:eastAsia="宋体" w:cs="宋体"/>
                      <w:i w:val="0"/>
                      <w:iCs w:val="0"/>
                      <w:color w:val="auto"/>
                      <w:kern w:val="0"/>
                      <w:sz w:val="21"/>
                      <w:szCs w:val="21"/>
                      <w:u w:val="none"/>
                      <w:lang w:val="en-US" w:eastAsia="zh-CN" w:bidi="ar"/>
                    </w:rPr>
                    <w:t>型</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JCSB-C-057-37</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w:t>
                  </w:r>
                  <w:r>
                    <w:rPr>
                      <w:rFonts w:hint="eastAsia" w:ascii="Times New Roman" w:hAnsi="Times New Roman" w:eastAsia="宋体" w:cs="Times New Roman"/>
                      <w:i w:val="0"/>
                      <w:iCs w:val="0"/>
                      <w:color w:val="auto"/>
                      <w:kern w:val="0"/>
                      <w:sz w:val="21"/>
                      <w:szCs w:val="21"/>
                      <w:u w:val="none"/>
                      <w:lang w:val="en-US" w:eastAsia="zh-CN" w:bidi="ar"/>
                    </w:rPr>
                    <w:t>4.05.07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环境空气综合采样器</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崂应</w:t>
                  </w:r>
                  <w:r>
                    <w:rPr>
                      <w:rFonts w:hint="default" w:ascii="Times New Roman" w:hAnsi="Times New Roman" w:eastAsia="宋体" w:cs="Times New Roman"/>
                      <w:i w:val="0"/>
                      <w:iCs w:val="0"/>
                      <w:color w:val="auto"/>
                      <w:kern w:val="0"/>
                      <w:sz w:val="21"/>
                      <w:szCs w:val="21"/>
                      <w:u w:val="none"/>
                      <w:lang w:val="en-US" w:eastAsia="zh-CN" w:bidi="ar"/>
                    </w:rPr>
                    <w:t>2050</w:t>
                  </w:r>
                  <w:r>
                    <w:rPr>
                      <w:rFonts w:hint="eastAsia" w:ascii="宋体" w:hAnsi="宋体" w:eastAsia="宋体" w:cs="宋体"/>
                      <w:i w:val="0"/>
                      <w:iCs w:val="0"/>
                      <w:color w:val="auto"/>
                      <w:kern w:val="0"/>
                      <w:sz w:val="21"/>
                      <w:szCs w:val="21"/>
                      <w:u w:val="none"/>
                      <w:lang w:val="en-US" w:eastAsia="zh-CN" w:bidi="ar"/>
                    </w:rPr>
                    <w:t>型</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JCSB-C-057-38</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w:t>
                  </w:r>
                  <w:r>
                    <w:rPr>
                      <w:rFonts w:hint="eastAsia" w:ascii="Times New Roman" w:hAnsi="Times New Roman" w:eastAsia="宋体" w:cs="Times New Roman"/>
                      <w:i w:val="0"/>
                      <w:iCs w:val="0"/>
                      <w:color w:val="auto"/>
                      <w:kern w:val="0"/>
                      <w:sz w:val="21"/>
                      <w:szCs w:val="21"/>
                      <w:u w:val="none"/>
                      <w:lang w:val="en-US" w:eastAsia="zh-CN" w:bidi="ar"/>
                    </w:rPr>
                    <w:t>4.05.07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环境空气综合采样器</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崂应</w:t>
                  </w:r>
                  <w:r>
                    <w:rPr>
                      <w:rFonts w:hint="default" w:ascii="Times New Roman" w:hAnsi="Times New Roman" w:eastAsia="宋体" w:cs="Times New Roman"/>
                      <w:i w:val="0"/>
                      <w:iCs w:val="0"/>
                      <w:color w:val="auto"/>
                      <w:kern w:val="0"/>
                      <w:sz w:val="21"/>
                      <w:szCs w:val="21"/>
                      <w:u w:val="none"/>
                      <w:lang w:val="en-US" w:eastAsia="zh-CN" w:bidi="ar"/>
                    </w:rPr>
                    <w:t>2050</w:t>
                  </w:r>
                  <w:r>
                    <w:rPr>
                      <w:rFonts w:hint="eastAsia" w:ascii="宋体" w:hAnsi="宋体" w:eastAsia="宋体" w:cs="宋体"/>
                      <w:i w:val="0"/>
                      <w:iCs w:val="0"/>
                      <w:color w:val="auto"/>
                      <w:kern w:val="0"/>
                      <w:sz w:val="21"/>
                      <w:szCs w:val="21"/>
                      <w:u w:val="none"/>
                      <w:lang w:val="en-US" w:eastAsia="zh-CN" w:bidi="ar"/>
                    </w:rPr>
                    <w:t>型</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JCSB-C-057-39</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w:t>
                  </w:r>
                  <w:r>
                    <w:rPr>
                      <w:rFonts w:hint="eastAsia" w:ascii="Times New Roman" w:hAnsi="Times New Roman" w:eastAsia="宋体" w:cs="Times New Roman"/>
                      <w:i w:val="0"/>
                      <w:iCs w:val="0"/>
                      <w:color w:val="auto"/>
                      <w:kern w:val="0"/>
                      <w:sz w:val="21"/>
                      <w:szCs w:val="21"/>
                      <w:u w:val="none"/>
                      <w:lang w:val="en-US" w:eastAsia="zh-CN" w:bidi="ar"/>
                    </w:rPr>
                    <w:t>4.05.07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环境空气综合采样器</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崂应</w:t>
                  </w:r>
                  <w:r>
                    <w:rPr>
                      <w:rFonts w:hint="default" w:ascii="Times New Roman" w:hAnsi="Times New Roman" w:eastAsia="宋体" w:cs="Times New Roman"/>
                      <w:i w:val="0"/>
                      <w:iCs w:val="0"/>
                      <w:color w:val="auto"/>
                      <w:kern w:val="0"/>
                      <w:sz w:val="21"/>
                      <w:szCs w:val="21"/>
                      <w:u w:val="none"/>
                      <w:lang w:val="en-US" w:eastAsia="zh-CN" w:bidi="ar"/>
                    </w:rPr>
                    <w:t>2050</w:t>
                  </w:r>
                  <w:r>
                    <w:rPr>
                      <w:rFonts w:hint="eastAsia" w:ascii="宋体" w:hAnsi="宋体" w:eastAsia="宋体" w:cs="宋体"/>
                      <w:i w:val="0"/>
                      <w:iCs w:val="0"/>
                      <w:color w:val="auto"/>
                      <w:kern w:val="0"/>
                      <w:sz w:val="21"/>
                      <w:szCs w:val="21"/>
                      <w:u w:val="none"/>
                      <w:lang w:val="en-US" w:eastAsia="zh-CN" w:bidi="ar"/>
                    </w:rPr>
                    <w:t>型</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JCSB-C-057-40</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w:t>
                  </w:r>
                  <w:r>
                    <w:rPr>
                      <w:rFonts w:hint="eastAsia" w:ascii="Times New Roman" w:hAnsi="Times New Roman" w:eastAsia="宋体" w:cs="Times New Roman"/>
                      <w:i w:val="0"/>
                      <w:iCs w:val="0"/>
                      <w:color w:val="auto"/>
                      <w:kern w:val="0"/>
                      <w:sz w:val="21"/>
                      <w:szCs w:val="21"/>
                      <w:u w:val="none"/>
                      <w:lang w:val="en-US" w:eastAsia="zh-CN" w:bidi="ar"/>
                    </w:rPr>
                    <w:t>4.05.07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空气</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智能</w:t>
                  </w:r>
                  <w:r>
                    <w:rPr>
                      <w:rFonts w:hint="default" w:ascii="Times New Roman" w:hAnsi="Times New Roman" w:eastAsia="宋体" w:cs="Times New Roman"/>
                      <w:i w:val="0"/>
                      <w:iCs w:val="0"/>
                      <w:color w:val="auto"/>
                      <w:kern w:val="0"/>
                      <w:sz w:val="21"/>
                      <w:szCs w:val="21"/>
                      <w:u w:val="none"/>
                      <w:lang w:val="en-US" w:eastAsia="zh-CN" w:bidi="ar"/>
                    </w:rPr>
                    <w:t>TSP</w:t>
                  </w:r>
                  <w:r>
                    <w:rPr>
                      <w:rFonts w:hint="eastAsia" w:ascii="宋体" w:hAnsi="宋体" w:eastAsia="宋体" w:cs="宋体"/>
                      <w:i w:val="0"/>
                      <w:iCs w:val="0"/>
                      <w:color w:val="auto"/>
                      <w:kern w:val="0"/>
                      <w:sz w:val="21"/>
                      <w:szCs w:val="21"/>
                      <w:u w:val="none"/>
                      <w:lang w:val="en-US" w:eastAsia="zh-CN" w:bidi="ar"/>
                    </w:rPr>
                    <w:t>综合采样器</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2050</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JCSB-C-057-17</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2023.11.28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空气</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智能</w:t>
                  </w:r>
                  <w:r>
                    <w:rPr>
                      <w:rFonts w:hint="default" w:ascii="Times New Roman" w:hAnsi="Times New Roman" w:eastAsia="宋体" w:cs="Times New Roman"/>
                      <w:i w:val="0"/>
                      <w:iCs w:val="0"/>
                      <w:color w:val="auto"/>
                      <w:kern w:val="0"/>
                      <w:sz w:val="21"/>
                      <w:szCs w:val="21"/>
                      <w:u w:val="none"/>
                      <w:lang w:val="en-US" w:eastAsia="zh-CN" w:bidi="ar"/>
                    </w:rPr>
                    <w:t>TSP</w:t>
                  </w:r>
                  <w:r>
                    <w:rPr>
                      <w:rFonts w:hint="eastAsia" w:ascii="宋体" w:hAnsi="宋体" w:eastAsia="宋体" w:cs="宋体"/>
                      <w:i w:val="0"/>
                      <w:iCs w:val="0"/>
                      <w:color w:val="auto"/>
                      <w:kern w:val="0"/>
                      <w:sz w:val="21"/>
                      <w:szCs w:val="21"/>
                      <w:u w:val="none"/>
                      <w:lang w:val="en-US" w:eastAsia="zh-CN" w:bidi="ar"/>
                    </w:rPr>
                    <w:t>综合采样器</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2050</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JCSB-C-057-18</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2023.11.28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空气</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智能</w:t>
                  </w:r>
                  <w:r>
                    <w:rPr>
                      <w:rFonts w:hint="default" w:ascii="Times New Roman" w:hAnsi="Times New Roman" w:eastAsia="宋体" w:cs="Times New Roman"/>
                      <w:i w:val="0"/>
                      <w:iCs w:val="0"/>
                      <w:color w:val="auto"/>
                      <w:kern w:val="0"/>
                      <w:sz w:val="21"/>
                      <w:szCs w:val="21"/>
                      <w:u w:val="none"/>
                      <w:lang w:val="en-US" w:eastAsia="zh-CN" w:bidi="ar"/>
                    </w:rPr>
                    <w:t>TSP</w:t>
                  </w:r>
                  <w:r>
                    <w:rPr>
                      <w:rFonts w:hint="eastAsia" w:ascii="宋体" w:hAnsi="宋体" w:eastAsia="宋体" w:cs="宋体"/>
                      <w:i w:val="0"/>
                      <w:iCs w:val="0"/>
                      <w:color w:val="auto"/>
                      <w:kern w:val="0"/>
                      <w:sz w:val="21"/>
                      <w:szCs w:val="21"/>
                      <w:u w:val="none"/>
                      <w:lang w:val="en-US" w:eastAsia="zh-CN" w:bidi="ar"/>
                    </w:rPr>
                    <w:t>综合采样器</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2050</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JCSB-C-057-19</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2024.01.16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空气</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智能</w:t>
                  </w:r>
                  <w:r>
                    <w:rPr>
                      <w:rFonts w:hint="default" w:ascii="Times New Roman" w:hAnsi="Times New Roman" w:eastAsia="宋体" w:cs="Times New Roman"/>
                      <w:i w:val="0"/>
                      <w:iCs w:val="0"/>
                      <w:color w:val="auto"/>
                      <w:kern w:val="0"/>
                      <w:sz w:val="21"/>
                      <w:szCs w:val="21"/>
                      <w:u w:val="none"/>
                      <w:lang w:val="en-US" w:eastAsia="zh-CN" w:bidi="ar"/>
                    </w:rPr>
                    <w:t>TSP</w:t>
                  </w:r>
                  <w:r>
                    <w:rPr>
                      <w:rFonts w:hint="eastAsia" w:ascii="宋体" w:hAnsi="宋体" w:eastAsia="宋体" w:cs="宋体"/>
                      <w:i w:val="0"/>
                      <w:iCs w:val="0"/>
                      <w:color w:val="auto"/>
                      <w:kern w:val="0"/>
                      <w:sz w:val="21"/>
                      <w:szCs w:val="21"/>
                      <w:u w:val="none"/>
                      <w:lang w:val="en-US" w:eastAsia="zh-CN" w:bidi="ar"/>
                    </w:rPr>
                    <w:t>综合采样器</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2050</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JCSB-C-057-20</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2023.11.28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可见分光光度计</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T6</w:t>
                  </w:r>
                  <w:r>
                    <w:rPr>
                      <w:rFonts w:hint="eastAsia" w:ascii="宋体" w:hAnsi="宋体" w:eastAsia="宋体" w:cs="宋体"/>
                      <w:i w:val="0"/>
                      <w:iCs w:val="0"/>
                      <w:color w:val="auto"/>
                      <w:kern w:val="0"/>
                      <w:sz w:val="21"/>
                      <w:szCs w:val="21"/>
                      <w:u w:val="none"/>
                      <w:lang w:val="en-US" w:eastAsia="zh-CN" w:bidi="ar"/>
                    </w:rPr>
                    <w:t>新悦</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JCSB-C-016-1</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2023.12.29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离子色谱仪</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ICS-600</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JCSB-C-030-4</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离子色谱仪</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ICS-600</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JCSB-C-030-6</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2023.12.03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电子天平</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CPA225D</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JCSB-C-008-3</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2023.12.27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多功能声级计</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AWA5688</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JCSB-C-035-14</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声校准器</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AWA6021A</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JCSB-C-054-18</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大流量低浓度烟尘</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气测试仪</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崂应</w:t>
                  </w:r>
                  <w:r>
                    <w:rPr>
                      <w:rFonts w:hint="default" w:ascii="Times New Roman" w:hAnsi="Times New Roman" w:eastAsia="宋体" w:cs="Times New Roman"/>
                      <w:i w:val="0"/>
                      <w:iCs w:val="0"/>
                      <w:color w:val="auto"/>
                      <w:kern w:val="0"/>
                      <w:sz w:val="21"/>
                      <w:szCs w:val="21"/>
                      <w:u w:val="none"/>
                      <w:lang w:val="en-US" w:eastAsia="zh-CN" w:bidi="ar"/>
                    </w:rPr>
                    <w:t>3012H-D</w:t>
                  </w:r>
                  <w:r>
                    <w:rPr>
                      <w:rFonts w:hint="eastAsia" w:ascii="宋体" w:hAnsi="宋体" w:eastAsia="宋体" w:cs="宋体"/>
                      <w:i w:val="0"/>
                      <w:iCs w:val="0"/>
                      <w:color w:val="auto"/>
                      <w:kern w:val="0"/>
                      <w:sz w:val="21"/>
                      <w:szCs w:val="21"/>
                      <w:u w:val="none"/>
                      <w:lang w:val="en-US" w:eastAsia="zh-CN" w:bidi="ar"/>
                    </w:rPr>
                    <w:t>型</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JCSB-C-053-40</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2024.02.24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自动烟尘（气）测试仪</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崂应</w:t>
                  </w:r>
                  <w:r>
                    <w:rPr>
                      <w:rFonts w:hint="default" w:ascii="Times New Roman" w:hAnsi="Times New Roman" w:eastAsia="宋体" w:cs="Times New Roman"/>
                      <w:i w:val="0"/>
                      <w:iCs w:val="0"/>
                      <w:color w:val="auto"/>
                      <w:kern w:val="0"/>
                      <w:sz w:val="21"/>
                      <w:szCs w:val="21"/>
                      <w:u w:val="none"/>
                      <w:lang w:val="en-US" w:eastAsia="zh-CN" w:bidi="ar"/>
                    </w:rPr>
                    <w:t>3012H</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JCSB-C-053-12</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shd w:val="clear" w:color="auto" w:fill="auto"/>
                      <w:lang w:val="en-US" w:eastAsia="zh-CN" w:bidi="ar"/>
                    </w:rPr>
                    <w:t>2023.06.10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气象参数仪</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Kestrel5500</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JCSB-F-041-22</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2024.02.27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智能双路烟气采样器</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3072</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JCSB-C-059-13</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智能双路烟气采样器</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3072</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JCSB-C-059-14</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大流量低浓度烟尘</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气测试仪</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崂应</w:t>
                  </w:r>
                  <w:r>
                    <w:rPr>
                      <w:rFonts w:hint="default" w:ascii="Times New Roman" w:hAnsi="Times New Roman" w:eastAsia="宋体" w:cs="Times New Roman"/>
                      <w:i w:val="0"/>
                      <w:iCs w:val="0"/>
                      <w:color w:val="auto"/>
                      <w:kern w:val="0"/>
                      <w:sz w:val="21"/>
                      <w:szCs w:val="21"/>
                      <w:u w:val="none"/>
                      <w:lang w:val="en-US" w:eastAsia="zh-CN" w:bidi="ar"/>
                    </w:rPr>
                    <w:t>3012H-D</w:t>
                  </w:r>
                  <w:r>
                    <w:rPr>
                      <w:rFonts w:hint="eastAsia" w:ascii="宋体" w:hAnsi="宋体" w:eastAsia="宋体" w:cs="宋体"/>
                      <w:i w:val="0"/>
                      <w:iCs w:val="0"/>
                      <w:color w:val="auto"/>
                      <w:kern w:val="0"/>
                      <w:sz w:val="21"/>
                      <w:szCs w:val="21"/>
                      <w:u w:val="none"/>
                      <w:lang w:val="en-US" w:eastAsia="zh-CN" w:bidi="ar"/>
                    </w:rPr>
                    <w:t>型</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JCSB-C-053-32</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2023.09.2</w:t>
                  </w:r>
                  <w:r>
                    <w:rPr>
                      <w:rFonts w:hint="eastAsia" w:ascii="Times New Roman" w:hAnsi="Times New Roman" w:eastAsia="宋体" w:cs="Times New Roman"/>
                      <w:i w:val="0"/>
                      <w:iCs w:val="0"/>
                      <w:color w:val="auto"/>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紫外差分烟气综合分析仪</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3023</w:t>
                  </w:r>
                  <w:r>
                    <w:rPr>
                      <w:rFonts w:hint="eastAsia" w:ascii="宋体" w:hAnsi="宋体" w:eastAsia="宋体" w:cs="宋体"/>
                      <w:i w:val="0"/>
                      <w:iCs w:val="0"/>
                      <w:color w:val="auto"/>
                      <w:kern w:val="0"/>
                      <w:sz w:val="21"/>
                      <w:szCs w:val="21"/>
                      <w:u w:val="none"/>
                      <w:lang w:val="en-US" w:eastAsia="zh-CN" w:bidi="ar"/>
                    </w:rPr>
                    <w:t>型</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JCSB-C-064-12</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2024.05.31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大流量低浓度烟尘</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气测试仪</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崂应</w:t>
                  </w:r>
                  <w:r>
                    <w:rPr>
                      <w:rFonts w:hint="default" w:ascii="Times New Roman" w:hAnsi="Times New Roman" w:eastAsia="宋体" w:cs="Times New Roman"/>
                      <w:i w:val="0"/>
                      <w:iCs w:val="0"/>
                      <w:color w:val="auto"/>
                      <w:kern w:val="0"/>
                      <w:sz w:val="21"/>
                      <w:szCs w:val="21"/>
                      <w:u w:val="none"/>
                      <w:lang w:val="en-US" w:eastAsia="zh-CN" w:bidi="ar"/>
                    </w:rPr>
                    <w:t>3012H-D</w:t>
                  </w:r>
                  <w:r>
                    <w:rPr>
                      <w:rFonts w:hint="eastAsia" w:ascii="宋体" w:hAnsi="宋体" w:eastAsia="宋体" w:cs="宋体"/>
                      <w:i w:val="0"/>
                      <w:iCs w:val="0"/>
                      <w:color w:val="auto"/>
                      <w:kern w:val="0"/>
                      <w:sz w:val="21"/>
                      <w:szCs w:val="21"/>
                      <w:u w:val="none"/>
                      <w:lang w:val="en-US" w:eastAsia="zh-CN" w:bidi="ar"/>
                    </w:rPr>
                    <w:t>型</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JCSB-C-053-37</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2024.03.15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紫外差分烟气综合分析仪</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3023</w:t>
                  </w:r>
                  <w:r>
                    <w:rPr>
                      <w:rFonts w:hint="eastAsia" w:ascii="宋体" w:hAnsi="宋体" w:eastAsia="宋体" w:cs="宋体"/>
                      <w:i w:val="0"/>
                      <w:iCs w:val="0"/>
                      <w:color w:val="auto"/>
                      <w:kern w:val="0"/>
                      <w:sz w:val="21"/>
                      <w:szCs w:val="21"/>
                      <w:u w:val="none"/>
                      <w:lang w:val="en-US" w:eastAsia="zh-CN" w:bidi="ar"/>
                    </w:rPr>
                    <w:t>型</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JCSB-C-064-2</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2024.04.13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气象参数仪</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Kestrel5500</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JCSB-F-041-30</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智能双路烟气采样器</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3072</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JCSB-C-059-11</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2023.07.04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eastAsia" w:ascii="宋体" w:hAnsi="宋体" w:eastAsia="宋体" w:cs="宋体"/>
                      <w:i w:val="0"/>
                      <w:iCs w:val="0"/>
                      <w:color w:val="auto"/>
                      <w:kern w:val="0"/>
                      <w:sz w:val="21"/>
                      <w:szCs w:val="21"/>
                      <w:u w:val="none"/>
                      <w:lang w:val="en-US" w:eastAsia="zh-CN" w:bidi="ar"/>
                    </w:rPr>
                    <w:t>紫外差分烟气综合分析仪</w:t>
                  </w:r>
                </w:p>
              </w:tc>
              <w:tc>
                <w:tcPr>
                  <w:tcW w:w="1638"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3023</w:t>
                  </w:r>
                  <w:r>
                    <w:rPr>
                      <w:rFonts w:hint="eastAsia" w:ascii="宋体" w:hAnsi="宋体" w:eastAsia="宋体" w:cs="宋体"/>
                      <w:i w:val="0"/>
                      <w:iCs w:val="0"/>
                      <w:color w:val="auto"/>
                      <w:kern w:val="0"/>
                      <w:sz w:val="21"/>
                      <w:szCs w:val="21"/>
                      <w:u w:val="none"/>
                      <w:lang w:val="en-US" w:eastAsia="zh-CN" w:bidi="ar"/>
                    </w:rPr>
                    <w:t>型</w:t>
                  </w:r>
                </w:p>
              </w:tc>
              <w:tc>
                <w:tcPr>
                  <w:tcW w:w="20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JCSB-C-064-8</w:t>
                  </w:r>
                </w:p>
              </w:tc>
              <w:tc>
                <w:tcPr>
                  <w:tcW w:w="1697" w:type="dxa"/>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2024.03.01</w:t>
                  </w:r>
                </w:p>
              </w:tc>
            </w:tr>
          </w:tbl>
          <w:p>
            <w:pPr>
              <w:rPr>
                <w:rFonts w:hint="default" w:ascii="Times New Roman" w:hAnsi="Times New Roman" w:eastAsia="宋体" w:cs="Times New Roman"/>
                <w:color w:val="auto"/>
              </w:rPr>
            </w:pPr>
          </w:p>
        </w:tc>
      </w:tr>
    </w:tbl>
    <w:p>
      <w:pPr>
        <w:rPr>
          <w:rFonts w:hint="default" w:ascii="Times New Roman" w:hAnsi="Times New Roman" w:eastAsia="宋体" w:cs="Times New Roman"/>
          <w:b/>
          <w:bCs/>
          <w:color w:val="auto"/>
          <w:sz w:val="28"/>
          <w:szCs w:val="28"/>
          <w:lang w:val="zh-CN"/>
        </w:rPr>
      </w:pPr>
      <w:r>
        <w:rPr>
          <w:rFonts w:hint="default" w:ascii="Times New Roman" w:hAnsi="Times New Roman" w:eastAsia="宋体" w:cs="Times New Roman"/>
          <w:b/>
          <w:bCs/>
          <w:color w:val="auto"/>
          <w:sz w:val="28"/>
          <w:szCs w:val="28"/>
          <w:lang w:val="zh-CN"/>
        </w:rPr>
        <w:br w:type="page"/>
      </w:r>
    </w:p>
    <w:p>
      <w:pPr>
        <w:keepNext/>
        <w:keepLines/>
        <w:widowControl w:val="0"/>
        <w:bidi w:val="0"/>
        <w:spacing w:beforeLines="0" w:beforeAutospacing="0" w:afterLines="0" w:afterAutospacing="0" w:line="360" w:lineRule="auto"/>
        <w:ind w:firstLine="0" w:firstLineChars="0"/>
        <w:jc w:val="both"/>
        <w:outlineLvl w:val="0"/>
        <w:rPr>
          <w:rFonts w:ascii="Times New Roman" w:hAnsi="Times New Roman" w:eastAsia="宋体" w:cs="Times New Roman"/>
          <w:b/>
          <w:color w:val="auto"/>
          <w:kern w:val="44"/>
          <w:sz w:val="28"/>
          <w:szCs w:val="24"/>
          <w:highlight w:val="none"/>
          <w:lang w:val="zh-CN" w:eastAsia="zh-CN" w:bidi="ar-SA"/>
        </w:rPr>
      </w:pPr>
      <w:bookmarkStart w:id="25" w:name="_Toc21664"/>
      <w:bookmarkStart w:id="26" w:name="_Toc25374"/>
      <w:bookmarkStart w:id="27" w:name="_Toc8670"/>
      <w:r>
        <w:rPr>
          <w:rFonts w:hint="eastAsia" w:ascii="Times New Roman" w:hAnsi="Times New Roman" w:cs="Times New Roman"/>
          <w:b/>
          <w:color w:val="auto"/>
          <w:kern w:val="44"/>
          <w:sz w:val="28"/>
          <w:szCs w:val="24"/>
          <w:highlight w:val="none"/>
          <w:lang w:val="en-US" w:eastAsia="zh-CN" w:bidi="ar-SA"/>
        </w:rPr>
        <w:t>表</w:t>
      </w:r>
      <w:r>
        <w:rPr>
          <w:rFonts w:hint="eastAsia" w:ascii="Times New Roman" w:hAnsi="Times New Roman" w:eastAsia="宋体" w:cs="Times New Roman"/>
          <w:b/>
          <w:color w:val="auto"/>
          <w:kern w:val="44"/>
          <w:sz w:val="28"/>
          <w:szCs w:val="24"/>
          <w:highlight w:val="none"/>
          <w:lang w:val="zh-CN" w:eastAsia="zh-CN" w:bidi="ar-SA"/>
        </w:rPr>
        <w:t>十</w:t>
      </w:r>
      <w:r>
        <w:rPr>
          <w:rFonts w:hint="eastAsia" w:ascii="Times New Roman" w:hAnsi="Times New Roman" w:cs="Times New Roman"/>
          <w:b/>
          <w:color w:val="auto"/>
          <w:kern w:val="44"/>
          <w:sz w:val="28"/>
          <w:szCs w:val="24"/>
          <w:highlight w:val="none"/>
          <w:lang w:val="en-US" w:eastAsia="zh-CN" w:bidi="ar-SA"/>
        </w:rPr>
        <w:t>一</w:t>
      </w:r>
      <w:r>
        <w:rPr>
          <w:rFonts w:ascii="Times New Roman" w:hAnsi="Times New Roman" w:eastAsia="宋体" w:cs="Times New Roman"/>
          <w:b/>
          <w:color w:val="auto"/>
          <w:kern w:val="44"/>
          <w:sz w:val="28"/>
          <w:szCs w:val="24"/>
          <w:highlight w:val="none"/>
          <w:lang w:val="zh-CN" w:eastAsia="zh-CN" w:bidi="ar-SA"/>
        </w:rPr>
        <w:t>、总量核算</w:t>
      </w:r>
      <w:bookmarkEnd w:id="25"/>
      <w:bookmarkEnd w:id="26"/>
      <w:bookmarkEnd w:id="27"/>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3" w:hRule="atLeast"/>
        </w:trPr>
        <w:tc>
          <w:tcPr>
            <w:tcW w:w="5000" w:type="pct"/>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废气</w:t>
            </w:r>
          </w:p>
          <w:p>
            <w:pPr>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red"/>
                <w:lang w:val="en-US" w:eastAsia="zh-CN"/>
              </w:rPr>
            </w:pPr>
            <w:r>
              <w:rPr>
                <w:rFonts w:hint="default" w:ascii="Times New Roman" w:hAnsi="Times New Roman" w:eastAsia="宋体" w:cs="Times New Roman"/>
                <w:color w:val="auto"/>
                <w:highlight w:val="none"/>
                <w:lang w:val="en-US" w:eastAsia="zh-CN"/>
              </w:rPr>
              <w:t>有组织废气污染物排放总量见表1</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lang w:val="en-US" w:eastAsia="zh-CN"/>
              </w:rPr>
              <w:t>。</w:t>
            </w:r>
          </w:p>
          <w:p>
            <w:pPr>
              <w:keepNext w:val="0"/>
              <w:keepLines w:val="0"/>
              <w:widowControl w:val="0"/>
              <w:suppressLineNumbers w:val="0"/>
              <w:bidi w:val="0"/>
              <w:snapToGrid w:val="0"/>
              <w:spacing w:before="0" w:beforeAutospacing="0" w:after="0" w:afterAutospacing="0" w:line="360" w:lineRule="auto"/>
              <w:ind w:left="0" w:right="0" w:firstLine="482" w:firstLineChars="20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表1</w:t>
            </w:r>
            <w:r>
              <w:rPr>
                <w:rFonts w:hint="default" w:ascii="Times New Roman" w:hAnsi="Times New Roman" w:cs="Times New Roman"/>
                <w:b/>
                <w:bCs/>
                <w:color w:val="auto"/>
                <w:kern w:val="2"/>
                <w:sz w:val="24"/>
                <w:szCs w:val="24"/>
                <w:highlight w:val="none"/>
                <w:lang w:val="en-US" w:eastAsia="zh-CN" w:bidi="ar-SA"/>
              </w:rPr>
              <w:t>1</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cs="Times New Roman"/>
                <w:b/>
                <w:bCs/>
                <w:color w:val="auto"/>
                <w:kern w:val="2"/>
                <w:sz w:val="24"/>
                <w:szCs w:val="24"/>
                <w:highlight w:val="none"/>
                <w:lang w:val="en-US" w:eastAsia="zh-CN" w:bidi="ar-SA"/>
              </w:rPr>
              <w:t>2</w:t>
            </w:r>
            <w:r>
              <w:rPr>
                <w:rFonts w:hint="default" w:ascii="Times New Roman" w:hAnsi="Times New Roman" w:eastAsia="宋体" w:cs="Times New Roman"/>
                <w:b/>
                <w:bCs/>
                <w:color w:val="auto"/>
                <w:kern w:val="2"/>
                <w:sz w:val="24"/>
                <w:szCs w:val="24"/>
                <w:highlight w:val="none"/>
                <w:lang w:val="en-US" w:eastAsia="zh-CN" w:bidi="ar-SA"/>
              </w:rPr>
              <w:t xml:space="preserve">  有组织废气污染物排放总量</w:t>
            </w:r>
          </w:p>
          <w:tbl>
            <w:tblPr>
              <w:tblStyle w:val="1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1454"/>
              <w:gridCol w:w="1305"/>
              <w:gridCol w:w="1266"/>
              <w:gridCol w:w="1701"/>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污染物</w:t>
                  </w:r>
                </w:p>
              </w:tc>
              <w:tc>
                <w:tcPr>
                  <w:tcW w:w="877"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平均排放速率（kg/h）</w:t>
                  </w:r>
                </w:p>
              </w:tc>
              <w:tc>
                <w:tcPr>
                  <w:tcW w:w="787"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cs="Times New Roman"/>
                      <w:b/>
                      <w:bCs/>
                      <w:color w:val="auto"/>
                      <w:kern w:val="0"/>
                      <w:sz w:val="21"/>
                      <w:szCs w:val="21"/>
                      <w:highlight w:val="none"/>
                      <w:lang w:val="en-US" w:eastAsia="zh-CN" w:bidi="ar-SA"/>
                    </w:rPr>
                    <w:t>实际</w:t>
                  </w:r>
                  <w:r>
                    <w:rPr>
                      <w:rFonts w:hint="default" w:ascii="Times New Roman" w:hAnsi="Times New Roman" w:eastAsia="宋体" w:cs="Times New Roman"/>
                      <w:b/>
                      <w:bCs/>
                      <w:color w:val="auto"/>
                      <w:kern w:val="0"/>
                      <w:sz w:val="21"/>
                      <w:szCs w:val="21"/>
                      <w:highlight w:val="none"/>
                      <w:lang w:val="en-US" w:eastAsia="zh-CN" w:bidi="ar-SA"/>
                    </w:rPr>
                    <w:t>年排放时间（h）</w:t>
                  </w:r>
                </w:p>
              </w:tc>
              <w:tc>
                <w:tcPr>
                  <w:tcW w:w="764"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年排放量</w:t>
                  </w:r>
                </w:p>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（t/a）</w:t>
                  </w:r>
                </w:p>
              </w:tc>
              <w:tc>
                <w:tcPr>
                  <w:tcW w:w="1026"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核定排放量指标</w:t>
                  </w:r>
                </w:p>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（t/a）</w:t>
                  </w:r>
                </w:p>
              </w:tc>
              <w:tc>
                <w:tcPr>
                  <w:tcW w:w="711"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硫酸雾</w:t>
                  </w:r>
                </w:p>
              </w:tc>
              <w:tc>
                <w:tcPr>
                  <w:tcW w:w="877"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2.58</w:t>
                  </w:r>
                  <w:r>
                    <w:rPr>
                      <w:rFonts w:hint="default" w:ascii="Times New Roman" w:hAnsi="Times New Roman" w:eastAsia="宋体" w:cs="Times New Roman"/>
                      <w:color w:val="auto"/>
                      <w:kern w:val="0"/>
                      <w:sz w:val="21"/>
                      <w:szCs w:val="21"/>
                      <w:lang w:val="en-US" w:eastAsia="zh-CN" w:bidi="ar-SA"/>
                    </w:rPr>
                    <w:t>×10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4</w:t>
                  </w:r>
                </w:p>
              </w:tc>
              <w:tc>
                <w:tcPr>
                  <w:tcW w:w="787"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1600</w:t>
                  </w:r>
                </w:p>
              </w:tc>
              <w:tc>
                <w:tcPr>
                  <w:tcW w:w="764"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0.00041</w:t>
                  </w:r>
                </w:p>
              </w:tc>
              <w:tc>
                <w:tcPr>
                  <w:tcW w:w="1026"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0.0675</w:t>
                  </w:r>
                </w:p>
              </w:tc>
              <w:tc>
                <w:tcPr>
                  <w:tcW w:w="711"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氨</w:t>
                  </w:r>
                </w:p>
              </w:tc>
              <w:tc>
                <w:tcPr>
                  <w:tcW w:w="877"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8.7</w:t>
                  </w:r>
                  <w:r>
                    <w:rPr>
                      <w:rFonts w:hint="default" w:ascii="Times New Roman" w:hAnsi="Times New Roman" w:eastAsia="宋体" w:cs="Times New Roman"/>
                      <w:color w:val="auto"/>
                      <w:kern w:val="0"/>
                      <w:sz w:val="21"/>
                      <w:szCs w:val="21"/>
                      <w:lang w:val="en-US" w:eastAsia="zh-CN" w:bidi="ar-SA"/>
                    </w:rPr>
                    <w:t>×10</w:t>
                  </w:r>
                  <w:r>
                    <w:rPr>
                      <w:rFonts w:hint="default" w:ascii="Times New Roman" w:hAnsi="Times New Roman" w:eastAsia="宋体" w:cs="Times New Roman"/>
                      <w:color w:val="auto"/>
                      <w:kern w:val="0"/>
                      <w:sz w:val="21"/>
                      <w:szCs w:val="21"/>
                      <w:vertAlign w:val="superscript"/>
                      <w:lang w:val="en-US" w:eastAsia="zh-CN" w:bidi="ar-SA"/>
                    </w:rPr>
                    <w:t>-</w:t>
                  </w:r>
                  <w:r>
                    <w:rPr>
                      <w:rFonts w:hint="eastAsia" w:ascii="Times New Roman" w:hAnsi="Times New Roman" w:eastAsia="宋体" w:cs="Times New Roman"/>
                      <w:color w:val="auto"/>
                      <w:kern w:val="0"/>
                      <w:sz w:val="21"/>
                      <w:szCs w:val="21"/>
                      <w:vertAlign w:val="superscript"/>
                      <w:lang w:val="en-US" w:eastAsia="zh-CN" w:bidi="ar-SA"/>
                    </w:rPr>
                    <w:t>3</w:t>
                  </w:r>
                </w:p>
              </w:tc>
              <w:tc>
                <w:tcPr>
                  <w:tcW w:w="1305" w:type="dxa"/>
                  <w:vAlign w:val="center"/>
                </w:tcPr>
                <w:p>
                  <w:pPr>
                    <w:keepNext w:val="0"/>
                    <w:keepLines w:val="0"/>
                    <w:widowControl w:val="0"/>
                    <w:suppressLineNumbers w:val="0"/>
                    <w:overflowPunct w:val="0"/>
                    <w:bidi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1600</w:t>
                  </w:r>
                </w:p>
              </w:tc>
              <w:tc>
                <w:tcPr>
                  <w:tcW w:w="764"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0.0139</w:t>
                  </w:r>
                </w:p>
              </w:tc>
              <w:tc>
                <w:tcPr>
                  <w:tcW w:w="1026"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0.0224</w:t>
                  </w:r>
                </w:p>
              </w:tc>
              <w:tc>
                <w:tcPr>
                  <w:tcW w:w="711" w:type="pct"/>
                  <w:vAlign w:val="center"/>
                </w:tcPr>
                <w:p>
                  <w:pPr>
                    <w:keepNext w:val="0"/>
                    <w:keepLines w:val="0"/>
                    <w:widowControl w:val="0"/>
                    <w:suppressLineNumbers w:val="0"/>
                    <w:overflowPunct w:val="0"/>
                    <w:bidi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硫化氢</w:t>
                  </w:r>
                </w:p>
              </w:tc>
              <w:tc>
                <w:tcPr>
                  <w:tcW w:w="877"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w:t>
                  </w:r>
                </w:p>
              </w:tc>
              <w:tc>
                <w:tcPr>
                  <w:tcW w:w="1305" w:type="dxa"/>
                  <w:vAlign w:val="center"/>
                </w:tcPr>
                <w:p>
                  <w:pPr>
                    <w:keepNext w:val="0"/>
                    <w:keepLines w:val="0"/>
                    <w:widowControl w:val="0"/>
                    <w:suppressLineNumbers w:val="0"/>
                    <w:overflowPunct w:val="0"/>
                    <w:bidi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1600</w:t>
                  </w:r>
                </w:p>
              </w:tc>
              <w:tc>
                <w:tcPr>
                  <w:tcW w:w="764"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w:t>
                  </w:r>
                </w:p>
              </w:tc>
              <w:tc>
                <w:tcPr>
                  <w:tcW w:w="1026"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0.0022</w:t>
                  </w:r>
                </w:p>
              </w:tc>
              <w:tc>
                <w:tcPr>
                  <w:tcW w:w="711" w:type="pct"/>
                  <w:vAlign w:val="center"/>
                </w:tcPr>
                <w:p>
                  <w:pPr>
                    <w:keepNext w:val="0"/>
                    <w:keepLines w:val="0"/>
                    <w:widowControl w:val="0"/>
                    <w:suppressLineNumbers w:val="0"/>
                    <w:overflowPunct w:val="0"/>
                    <w:bidi w:val="0"/>
                    <w:adjustRightInd w:val="0"/>
                    <w:spacing w:before="0" w:beforeAutospacing="0" w:after="0" w:afterAutospacing="0" w:line="240" w:lineRule="auto"/>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达标</w:t>
                  </w:r>
                </w:p>
              </w:tc>
            </w:tr>
          </w:tbl>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left"/>
              <w:textAlignment w:val="baseline"/>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注：①</w:t>
            </w:r>
            <w:r>
              <w:rPr>
                <w:rFonts w:hint="eastAsia" w:ascii="Times New Roman" w:hAnsi="Times New Roman" w:cs="Times New Roman"/>
                <w:color w:val="auto"/>
                <w:kern w:val="0"/>
                <w:sz w:val="21"/>
                <w:szCs w:val="20"/>
                <w:highlight w:val="none"/>
                <w:lang w:val="en-US" w:eastAsia="zh-CN" w:bidi="ar-SA"/>
              </w:rPr>
              <w:t>硫酸回收设备和污泥烘干设备年运行200天，硫酸雾废气、污泥烘干废气</w:t>
            </w:r>
            <w:r>
              <w:rPr>
                <w:rFonts w:hint="default" w:ascii="Times New Roman" w:hAnsi="Times New Roman" w:cs="Times New Roman"/>
                <w:color w:val="auto"/>
                <w:kern w:val="0"/>
                <w:sz w:val="21"/>
                <w:szCs w:val="20"/>
                <w:highlight w:val="none"/>
                <w:lang w:val="en-US" w:eastAsia="zh-CN" w:bidi="ar-SA"/>
              </w:rPr>
              <w:t>年实际排放时间</w:t>
            </w:r>
            <w:r>
              <w:rPr>
                <w:rFonts w:hint="eastAsia" w:ascii="Times New Roman" w:hAnsi="Times New Roman" w:cs="Times New Roman"/>
                <w:color w:val="auto"/>
                <w:kern w:val="0"/>
                <w:sz w:val="21"/>
                <w:szCs w:val="20"/>
                <w:highlight w:val="none"/>
                <w:lang w:val="en-US" w:eastAsia="zh-CN" w:bidi="ar-SA"/>
              </w:rPr>
              <w:t>均</w:t>
            </w:r>
            <w:r>
              <w:rPr>
                <w:rFonts w:hint="default" w:ascii="Times New Roman" w:hAnsi="Times New Roman" w:cs="Times New Roman"/>
                <w:color w:val="auto"/>
                <w:kern w:val="0"/>
                <w:sz w:val="21"/>
                <w:szCs w:val="20"/>
                <w:highlight w:val="none"/>
                <w:lang w:val="en-US" w:eastAsia="zh-CN" w:bidi="ar-SA"/>
              </w:rPr>
              <w:t>为</w:t>
            </w:r>
            <w:r>
              <w:rPr>
                <w:rFonts w:hint="eastAsia" w:ascii="Times New Roman" w:hAnsi="Times New Roman" w:cs="Times New Roman"/>
                <w:color w:val="auto"/>
                <w:kern w:val="0"/>
                <w:sz w:val="21"/>
                <w:szCs w:val="20"/>
                <w:highlight w:val="none"/>
                <w:lang w:val="en-US" w:eastAsia="zh-CN" w:bidi="ar-SA"/>
              </w:rPr>
              <w:t>1600</w:t>
            </w:r>
            <w:r>
              <w:rPr>
                <w:rFonts w:hint="default" w:ascii="Times New Roman" w:hAnsi="Times New Roman" w:cs="Times New Roman"/>
                <w:color w:val="auto"/>
                <w:kern w:val="0"/>
                <w:sz w:val="21"/>
                <w:szCs w:val="20"/>
                <w:highlight w:val="none"/>
                <w:lang w:val="en-US" w:eastAsia="zh-CN" w:bidi="ar-SA"/>
              </w:rPr>
              <w:t>h；</w:t>
            </w:r>
          </w:p>
          <w:p>
            <w:pPr>
              <w:keepNext w:val="0"/>
              <w:keepLines w:val="0"/>
              <w:widowControl w:val="0"/>
              <w:suppressLineNumbers w:val="0"/>
              <w:overflowPunct w:val="0"/>
              <w:bidi w:val="0"/>
              <w:adjustRightInd w:val="0"/>
              <w:spacing w:before="0" w:beforeAutospacing="0" w:after="0" w:afterAutospacing="0" w:line="240" w:lineRule="auto"/>
              <w:ind w:right="0"/>
              <w:jc w:val="left"/>
              <w:textAlignment w:val="baseline"/>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②实行</w:t>
            </w:r>
            <w:r>
              <w:rPr>
                <w:rFonts w:hint="default" w:ascii="Times New Roman" w:hAnsi="Times New Roman" w:cs="Times New Roman"/>
                <w:color w:val="auto"/>
                <w:kern w:val="0"/>
                <w:sz w:val="21"/>
                <w:szCs w:val="20"/>
                <w:highlight w:val="none"/>
                <w:lang w:val="en-US" w:eastAsia="zh-CN" w:bidi="ar-SA"/>
              </w:rPr>
              <w:t>三</w:t>
            </w:r>
            <w:r>
              <w:rPr>
                <w:rFonts w:hint="default" w:ascii="Times New Roman" w:hAnsi="Times New Roman" w:eastAsia="宋体" w:cs="Times New Roman"/>
                <w:color w:val="auto"/>
                <w:kern w:val="0"/>
                <w:sz w:val="21"/>
                <w:szCs w:val="20"/>
                <w:highlight w:val="none"/>
                <w:lang w:val="en-US" w:eastAsia="zh-CN" w:bidi="ar-SA"/>
              </w:rPr>
              <w:t>班工作制，每班</w:t>
            </w:r>
            <w:r>
              <w:rPr>
                <w:rFonts w:hint="default" w:ascii="Times New Roman" w:hAnsi="Times New Roman" w:cs="Times New Roman"/>
                <w:color w:val="auto"/>
                <w:kern w:val="0"/>
                <w:sz w:val="21"/>
                <w:szCs w:val="20"/>
                <w:highlight w:val="none"/>
                <w:lang w:val="en-US" w:eastAsia="zh-CN" w:bidi="ar-SA"/>
              </w:rPr>
              <w:t>8</w:t>
            </w:r>
            <w:r>
              <w:rPr>
                <w:rFonts w:hint="default" w:ascii="Times New Roman" w:hAnsi="Times New Roman" w:eastAsia="宋体" w:cs="Times New Roman"/>
                <w:color w:val="auto"/>
                <w:kern w:val="0"/>
                <w:sz w:val="21"/>
                <w:szCs w:val="20"/>
                <w:highlight w:val="none"/>
                <w:lang w:val="en-US" w:eastAsia="zh-CN" w:bidi="ar-SA"/>
              </w:rPr>
              <w:t>h，全年</w:t>
            </w:r>
            <w:r>
              <w:rPr>
                <w:rFonts w:hint="default" w:ascii="Times New Roman" w:hAnsi="Times New Roman" w:cs="Times New Roman"/>
                <w:color w:val="auto"/>
                <w:kern w:val="0"/>
                <w:sz w:val="21"/>
                <w:szCs w:val="20"/>
                <w:highlight w:val="none"/>
                <w:lang w:val="en-US" w:eastAsia="zh-CN" w:bidi="ar-SA"/>
              </w:rPr>
              <w:t>330</w:t>
            </w:r>
            <w:r>
              <w:rPr>
                <w:rFonts w:hint="default" w:ascii="Times New Roman" w:hAnsi="Times New Roman" w:eastAsia="宋体" w:cs="Times New Roman"/>
                <w:color w:val="auto"/>
                <w:kern w:val="0"/>
                <w:sz w:val="21"/>
                <w:szCs w:val="20"/>
                <w:highlight w:val="none"/>
                <w:lang w:val="en-US" w:eastAsia="zh-CN" w:bidi="ar-SA"/>
              </w:rPr>
              <w:t>个工作日；</w:t>
            </w:r>
          </w:p>
          <w:p>
            <w:pPr>
              <w:keepNext w:val="0"/>
              <w:keepLines w:val="0"/>
              <w:widowControl w:val="0"/>
              <w:suppressLineNumbers w:val="0"/>
              <w:overflowPunct w:val="0"/>
              <w:bidi w:val="0"/>
              <w:adjustRightInd w:val="0"/>
              <w:spacing w:before="0" w:beforeAutospacing="0" w:after="0" w:afterAutospacing="0" w:line="240" w:lineRule="auto"/>
              <w:ind w:left="0" w:right="0" w:firstLine="420" w:firstLineChars="200"/>
              <w:jc w:val="left"/>
              <w:textAlignment w:val="baseline"/>
              <w:rPr>
                <w:rFonts w:hint="default" w:ascii="Times New Roman" w:hAnsi="Times New Roman" w:eastAsia="宋体" w:cs="Times New Roman"/>
                <w:color w:val="auto"/>
                <w:kern w:val="0"/>
                <w:sz w:val="21"/>
                <w:szCs w:val="20"/>
                <w:highlight w:val="none"/>
                <w:lang w:val="en-US" w:eastAsia="zh-CN" w:bidi="ar-SA"/>
              </w:rPr>
            </w:pPr>
            <w:r>
              <w:rPr>
                <w:rFonts w:hint="default" w:ascii="Times New Roman" w:hAnsi="Times New Roman" w:eastAsia="宋体" w:cs="Times New Roman"/>
                <w:color w:val="auto"/>
                <w:kern w:val="0"/>
                <w:sz w:val="21"/>
                <w:szCs w:val="20"/>
                <w:highlight w:val="none"/>
                <w:lang w:val="en-US" w:eastAsia="zh-CN" w:bidi="ar-SA"/>
              </w:rPr>
              <w:t>③废气污染物排放总量计算值计算公式为：监测期间实测计算得到的污染物排放速率平均值×确定的设施年运行时间。</w:t>
            </w:r>
          </w:p>
          <w:p>
            <w:pPr>
              <w:keepNext w:val="0"/>
              <w:keepLines w:val="0"/>
              <w:widowControl w:val="0"/>
              <w:suppressLineNumbers w:val="0"/>
              <w:overflowPunct w:val="0"/>
              <w:bidi w:val="0"/>
              <w:adjustRightInd w:val="0"/>
              <w:spacing w:before="0" w:beforeAutospacing="0" w:after="0" w:afterAutospacing="0" w:line="240" w:lineRule="auto"/>
              <w:ind w:left="0" w:right="0" w:firstLine="420" w:firstLineChars="200"/>
              <w:jc w:val="left"/>
              <w:textAlignment w:val="baseline"/>
              <w:rPr>
                <w:rFonts w:hint="default" w:ascii="Times New Roman" w:hAnsi="Times New Roman" w:eastAsia="宋体" w:cs="Times New Roman"/>
                <w:color w:val="auto"/>
                <w:kern w:val="0"/>
                <w:sz w:val="21"/>
                <w:szCs w:val="20"/>
                <w:highlight w:val="red"/>
                <w:lang w:val="en-US" w:eastAsia="zh-CN" w:bidi="ar-SA"/>
              </w:rPr>
            </w:pPr>
          </w:p>
        </w:tc>
      </w:tr>
    </w:tbl>
    <w:p>
      <w:pPr>
        <w:pStyle w:val="7"/>
        <w:bidi w:val="0"/>
        <w:ind w:left="0" w:leftChars="0" w:firstLine="0" w:firstLineChars="0"/>
        <w:rPr>
          <w:rFonts w:hint="default" w:ascii="Times New Roman" w:hAnsi="Times New Roman" w:eastAsia="宋体" w:cs="Times New Roman"/>
          <w:color w:val="auto"/>
          <w:lang w:val="en-US" w:eastAsia="zh-CN"/>
        </w:rPr>
      </w:pPr>
      <w:bookmarkStart w:id="28" w:name="_Toc28683"/>
      <w:bookmarkStart w:id="29" w:name="_Toc3831"/>
      <w:r>
        <w:rPr>
          <w:rFonts w:hint="default" w:ascii="Times New Roman" w:hAnsi="Times New Roman" w:eastAsia="宋体" w:cs="Times New Roman"/>
          <w:color w:val="auto"/>
          <w:lang w:val="en-US" w:eastAsia="zh-CN"/>
        </w:rPr>
        <w:t>表十</w:t>
      </w:r>
      <w:r>
        <w:rPr>
          <w:rFonts w:hint="eastAsia" w:cs="Times New Roman"/>
          <w:color w:val="auto"/>
          <w:lang w:val="en-US" w:eastAsia="zh-CN"/>
        </w:rPr>
        <w:t>二</w:t>
      </w:r>
      <w:r>
        <w:rPr>
          <w:rFonts w:hint="default" w:ascii="Times New Roman" w:hAnsi="Times New Roman" w:eastAsia="宋体" w:cs="Times New Roman"/>
          <w:color w:val="auto"/>
          <w:lang w:val="en-US" w:eastAsia="zh-CN"/>
        </w:rPr>
        <w:t>、验收监测结论及建议</w:t>
      </w:r>
      <w:bookmarkEnd w:id="28"/>
      <w:bookmarkEnd w:id="29"/>
    </w:p>
    <w:tbl>
      <w:tblPr>
        <w:tblStyle w:val="16"/>
        <w:tblW w:w="84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2" w:hRule="atLeast"/>
        </w:trPr>
        <w:tc>
          <w:tcPr>
            <w:tcW w:w="8400" w:type="dxa"/>
            <w:vAlign w:val="top"/>
          </w:tcPr>
          <w:p>
            <w:pPr>
              <w:spacing w:line="360" w:lineRule="auto"/>
              <w:ind w:firstLine="480" w:firstLineChars="200"/>
              <w:rPr>
                <w:rFonts w:hint="default"/>
              </w:rPr>
            </w:pPr>
            <w:r>
              <w:rPr>
                <w:rFonts w:hint="default"/>
              </w:rPr>
              <w:t>1、验收监测结论：</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lang w:val="en-US" w:eastAsia="zh-CN"/>
              </w:rPr>
            </w:pPr>
            <w:r>
              <w:rPr>
                <w:rFonts w:hint="eastAsia"/>
                <w:lang w:val="en-US" w:eastAsia="zh-CN"/>
              </w:rPr>
              <w:t>张家港市骏马钢帘线有限公司委托江苏新锐环境监测有限公司分别于2023年6月8日、9日、16日对公司环保节能技术改造项目进行了验收监测，</w:t>
            </w:r>
            <w:r>
              <w:rPr>
                <w:rFonts w:hint="default"/>
                <w:lang w:val="en-US" w:eastAsia="zh-CN"/>
              </w:rPr>
              <w:t>验收监测期间正常生产，</w:t>
            </w:r>
            <w:r>
              <w:rPr>
                <w:rFonts w:hint="eastAsia"/>
                <w:lang w:val="en-US" w:eastAsia="zh-CN"/>
              </w:rPr>
              <w:t>生产平均负荷为97.5%，满足监测规范要求，</w:t>
            </w:r>
            <w:r>
              <w:rPr>
                <w:rFonts w:hint="default"/>
                <w:lang w:val="en-US" w:eastAsia="zh-CN"/>
              </w:rPr>
              <w:t>各项环保治理设施均运转正常</w:t>
            </w:r>
            <w:r>
              <w:rPr>
                <w:rFonts w:hint="eastAsia"/>
                <w:lang w:val="en-US" w:eastAsia="zh-CN"/>
              </w:rPr>
              <w:t>。</w:t>
            </w:r>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firstLine="480" w:firstLineChars="200"/>
              <w:jc w:val="left"/>
              <w:textAlignment w:val="auto"/>
              <w:rPr>
                <w:rFonts w:hint="default"/>
                <w:lang w:val="en-US" w:eastAsia="zh-CN"/>
              </w:rPr>
            </w:pPr>
            <w:r>
              <w:rPr>
                <w:rFonts w:hint="default"/>
                <w:lang w:val="en-US" w:eastAsia="zh-CN"/>
              </w:rPr>
              <w:t>废水监测结果</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lang w:val="en-US" w:eastAsia="zh-CN"/>
              </w:rPr>
            </w:pPr>
            <w:r>
              <w:rPr>
                <w:rFonts w:hint="default"/>
                <w:lang w:val="en-US" w:eastAsia="zh-CN"/>
              </w:rPr>
              <w:t>污水站出口</w:t>
            </w:r>
            <w:r>
              <w:rPr>
                <w:rFonts w:hint="eastAsia"/>
                <w:lang w:val="en-US" w:eastAsia="zh-CN"/>
              </w:rPr>
              <w:t>pH值、悬浮物、总铜和总锌</w:t>
            </w:r>
            <w:r>
              <w:rPr>
                <w:rFonts w:hint="default"/>
                <w:lang w:val="en-US" w:eastAsia="zh-CN"/>
              </w:rPr>
              <w:t>浓度日均值均满足</w:t>
            </w:r>
            <w:r>
              <w:rPr>
                <w:rFonts w:hint="eastAsia"/>
                <w:lang w:val="en-US" w:eastAsia="zh-CN"/>
              </w:rPr>
              <w:t>《电镀污染物排放标准》（GB 21900-2008）表3标准</w:t>
            </w:r>
            <w:r>
              <w:rPr>
                <w:rFonts w:hint="default"/>
                <w:lang w:val="en-US" w:eastAsia="zh-CN"/>
              </w:rPr>
              <w:t>限值要求，</w:t>
            </w:r>
            <w:r>
              <w:rPr>
                <w:rFonts w:hint="eastAsia"/>
                <w:lang w:val="en-US" w:eastAsia="zh-CN"/>
              </w:rPr>
              <w:t>总锰</w:t>
            </w:r>
            <w:r>
              <w:rPr>
                <w:rFonts w:hint="default"/>
                <w:lang w:val="en-US" w:eastAsia="zh-CN"/>
              </w:rPr>
              <w:t>浓度日均值均满足</w:t>
            </w:r>
            <w:r>
              <w:rPr>
                <w:rFonts w:hint="eastAsia"/>
                <w:lang w:val="en-US" w:eastAsia="zh-CN"/>
              </w:rPr>
              <w:t>《污水综合排放标准》（GB 8978-1996）表4一级标准</w:t>
            </w:r>
            <w:r>
              <w:rPr>
                <w:rFonts w:hint="default"/>
                <w:lang w:val="en-US" w:eastAsia="zh-CN"/>
              </w:rPr>
              <w:t>限值要求</w:t>
            </w:r>
            <w:r>
              <w:rPr>
                <w:rFonts w:hint="eastAsia"/>
                <w:lang w:val="en-US" w:eastAsia="zh-CN"/>
              </w:rPr>
              <w:t>，化学需氧量、氨氮和总磷浓度日均值均满足《太湖地区城镇污水处理厂及重点工业行业主要水污染物排放限值》（DB 32/1072-2018）表2标准限值要求。</w:t>
            </w:r>
          </w:p>
          <w:p>
            <w:pPr>
              <w:ind w:firstLine="480"/>
              <w:jc w:val="both"/>
              <w:rPr>
                <w:rFonts w:hint="default"/>
                <w:lang w:val="en-US" w:eastAsia="zh-CN"/>
              </w:rPr>
            </w:pPr>
            <w:r>
              <w:rPr>
                <w:rFonts w:hint="default"/>
                <w:lang w:val="en-US" w:eastAsia="zh-CN"/>
              </w:rPr>
              <w:t>（2）废气监测结果</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lang w:val="en-US" w:eastAsia="zh-CN"/>
              </w:rPr>
            </w:pPr>
            <w:r>
              <w:rPr>
                <w:rFonts w:hint="default"/>
                <w:lang w:val="en-US" w:eastAsia="zh-CN"/>
              </w:rPr>
              <w:t>硫酸回收设备有组织废气</w:t>
            </w:r>
            <w:r>
              <w:rPr>
                <w:rFonts w:hint="eastAsia"/>
                <w:lang w:val="en-US" w:eastAsia="zh-CN"/>
              </w:rPr>
              <w:t>硫酸雾</w:t>
            </w:r>
            <w:r>
              <w:rPr>
                <w:rFonts w:hint="default"/>
                <w:lang w:eastAsia="zh-CN"/>
              </w:rPr>
              <w:t>排放浓度值满足</w:t>
            </w:r>
            <w:r>
              <w:rPr>
                <w:rFonts w:hint="default"/>
                <w:lang w:val="en-US" w:eastAsia="zh-CN"/>
              </w:rPr>
              <w:t>《大气污染物综合排放标准》（DB32/4041-2021）表1标准</w:t>
            </w:r>
            <w:r>
              <w:rPr>
                <w:rFonts w:hint="default"/>
                <w:lang w:eastAsia="zh-CN"/>
              </w:rPr>
              <w:t>限值要求。</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lang w:eastAsia="zh-CN"/>
              </w:rPr>
            </w:pPr>
            <w:r>
              <w:rPr>
                <w:rFonts w:hint="default"/>
                <w:lang w:val="en-US" w:eastAsia="zh-CN"/>
              </w:rPr>
              <w:t>污泥烘干设备有组织</w:t>
            </w:r>
            <w:r>
              <w:rPr>
                <w:rFonts w:hint="eastAsia"/>
                <w:lang w:val="en-US" w:eastAsia="zh-CN"/>
              </w:rPr>
              <w:t>废气氨和硫化氢</w:t>
            </w:r>
            <w:r>
              <w:rPr>
                <w:rFonts w:hint="default"/>
                <w:lang w:val="en-US" w:eastAsia="zh-CN"/>
              </w:rPr>
              <w:t>排放速率满足《恶臭污染物排放标准》（GB14554-93）</w:t>
            </w:r>
            <w:r>
              <w:rPr>
                <w:rFonts w:hint="eastAsia"/>
                <w:lang w:val="en-US" w:eastAsia="zh-CN"/>
              </w:rPr>
              <w:t>表2</w:t>
            </w:r>
            <w:r>
              <w:rPr>
                <w:rFonts w:hint="default"/>
                <w:lang w:val="en-US" w:eastAsia="zh-CN"/>
              </w:rPr>
              <w:t>标准</w:t>
            </w:r>
            <w:r>
              <w:rPr>
                <w:rFonts w:hint="default"/>
                <w:lang w:eastAsia="zh-CN"/>
              </w:rPr>
              <w:t>限值要求。</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lang w:val="en-US" w:eastAsia="zh-CN"/>
              </w:rPr>
            </w:pPr>
            <w:r>
              <w:rPr>
                <w:rFonts w:hint="eastAsia"/>
                <w:lang w:val="en-US" w:eastAsia="zh-CN"/>
              </w:rPr>
              <w:t>一期101车间、二期201车间和二期301车间天然气改电加热，原排气筒排放废气烟尘、二氧化硫和氮氧化物</w:t>
            </w:r>
            <w:r>
              <w:rPr>
                <w:rFonts w:hint="default"/>
                <w:lang w:val="en-US" w:eastAsia="zh-CN"/>
              </w:rPr>
              <w:t>排放浓度满足</w:t>
            </w:r>
            <w:r>
              <w:rPr>
                <w:rFonts w:hint="eastAsia"/>
                <w:lang w:val="en-US" w:eastAsia="zh-CN"/>
              </w:rPr>
              <w:t>《工业炉窑大气污染物排放标准》（DB 32/ 3728-2019）</w:t>
            </w:r>
            <w:r>
              <w:rPr>
                <w:rFonts w:hint="default"/>
                <w:lang w:val="en-US" w:eastAsia="zh-CN"/>
              </w:rPr>
              <w:t>表1标准</w:t>
            </w:r>
            <w:r>
              <w:rPr>
                <w:rFonts w:hint="eastAsia"/>
                <w:lang w:val="en-US" w:eastAsia="zh-CN"/>
              </w:rPr>
              <w:t>限值要求。</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lang w:val="en-US" w:eastAsia="zh-CN"/>
              </w:rPr>
            </w:pPr>
            <w:r>
              <w:rPr>
                <w:rFonts w:hint="default"/>
                <w:lang w:eastAsia="zh-CN"/>
              </w:rPr>
              <w:t>厂界无组织废</w:t>
            </w:r>
            <w:r>
              <w:rPr>
                <w:rFonts w:hint="default"/>
                <w:lang w:val="en-US" w:eastAsia="zh-CN"/>
              </w:rPr>
              <w:t>气</w:t>
            </w:r>
            <w:r>
              <w:rPr>
                <w:rFonts w:hint="eastAsia"/>
                <w:lang w:val="en-US" w:eastAsia="zh-CN"/>
              </w:rPr>
              <w:t>氨和硫化氢</w:t>
            </w:r>
            <w:r>
              <w:rPr>
                <w:rFonts w:hint="default"/>
                <w:lang w:eastAsia="zh-CN"/>
              </w:rPr>
              <w:t>排放浓度</w:t>
            </w:r>
            <w:r>
              <w:rPr>
                <w:rFonts w:hint="default"/>
                <w:lang w:val="en-US" w:eastAsia="zh-CN"/>
              </w:rPr>
              <w:t>最大值</w:t>
            </w:r>
            <w:r>
              <w:rPr>
                <w:rFonts w:hint="eastAsia"/>
                <w:lang w:val="en-US" w:eastAsia="zh-CN"/>
              </w:rPr>
              <w:t>满足</w:t>
            </w:r>
            <w:r>
              <w:rPr>
                <w:rFonts w:hint="default"/>
                <w:lang w:val="en-US" w:eastAsia="zh-CN"/>
              </w:rPr>
              <w:t>《恶臭污染物排放标准》（GB14554-93）</w:t>
            </w:r>
            <w:r>
              <w:rPr>
                <w:rFonts w:hint="eastAsia"/>
                <w:lang w:val="en-US" w:eastAsia="zh-CN"/>
              </w:rPr>
              <w:t>表1标准</w:t>
            </w:r>
            <w:r>
              <w:rPr>
                <w:rFonts w:hint="default"/>
                <w:lang w:val="en-US" w:eastAsia="zh-CN"/>
              </w:rPr>
              <w:t>限值要求</w:t>
            </w:r>
            <w:r>
              <w:rPr>
                <w:rFonts w:hint="eastAsia"/>
                <w:lang w:val="en-US" w:eastAsia="zh-CN"/>
              </w:rPr>
              <w:t>。硫酸雾</w:t>
            </w:r>
            <w:r>
              <w:rPr>
                <w:rFonts w:hint="default"/>
                <w:lang w:eastAsia="zh-CN"/>
              </w:rPr>
              <w:t>排放浓度</w:t>
            </w:r>
            <w:r>
              <w:rPr>
                <w:rFonts w:hint="default"/>
                <w:lang w:val="en-US" w:eastAsia="zh-CN"/>
              </w:rPr>
              <w:t>最大值</w:t>
            </w:r>
            <w:r>
              <w:rPr>
                <w:rFonts w:hint="default"/>
                <w:lang w:eastAsia="zh-CN"/>
              </w:rPr>
              <w:t>满足</w:t>
            </w:r>
            <w:r>
              <w:rPr>
                <w:rFonts w:hint="default"/>
                <w:lang w:val="en-US" w:eastAsia="zh-CN"/>
              </w:rPr>
              <w:t>《大气污染物综合排放标准》（DB32/4041-2021）表3标准限值要求</w:t>
            </w:r>
            <w:r>
              <w:rPr>
                <w:rFonts w:hint="default"/>
                <w:lang w:eastAsia="zh-CN"/>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lang w:val="en-US" w:eastAsia="zh-CN"/>
              </w:rPr>
            </w:pPr>
            <w:r>
              <w:rPr>
                <w:rFonts w:hint="default"/>
                <w:lang w:val="en-US" w:eastAsia="zh-CN"/>
              </w:rPr>
              <w:t>（3）噪声监测结果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rPr>
            </w:pPr>
            <w:r>
              <w:rPr>
                <w:rFonts w:hint="eastAsia"/>
                <w:lang w:val="en-US" w:eastAsia="zh-CN"/>
              </w:rPr>
              <w:t>东、</w:t>
            </w:r>
            <w:r>
              <w:rPr>
                <w:rFonts w:hint="default"/>
              </w:rPr>
              <w:t>南、</w:t>
            </w:r>
            <w:r>
              <w:rPr>
                <w:rFonts w:hint="eastAsia"/>
                <w:lang w:val="en-US" w:eastAsia="zh-CN"/>
              </w:rPr>
              <w:t>北</w:t>
            </w:r>
            <w:r>
              <w:rPr>
                <w:rFonts w:hint="default"/>
              </w:rPr>
              <w:t>厂界环境噪声测点昼间</w:t>
            </w:r>
            <w:r>
              <w:rPr>
                <w:rFonts w:hint="eastAsia"/>
                <w:lang w:eastAsia="zh-CN"/>
              </w:rPr>
              <w:t>、</w:t>
            </w:r>
            <w:r>
              <w:rPr>
                <w:rFonts w:hint="eastAsia"/>
                <w:lang w:val="en-US" w:eastAsia="zh-CN"/>
              </w:rPr>
              <w:t>夜间</w:t>
            </w:r>
            <w:r>
              <w:rPr>
                <w:rFonts w:hint="default"/>
              </w:rPr>
              <w:t>等效声级值</w:t>
            </w:r>
            <w:r>
              <w:rPr>
                <w:rFonts w:hint="default"/>
                <w:lang w:eastAsia="zh-CN"/>
              </w:rPr>
              <w:t>均满足</w:t>
            </w:r>
            <w:r>
              <w:rPr>
                <w:rFonts w:hint="default"/>
              </w:rPr>
              <w:t>《工业企业厂界环境噪声排放标准》（GB 12348-2008）</w:t>
            </w:r>
            <w:r>
              <w:rPr>
                <w:rFonts w:hint="default"/>
                <w:lang w:eastAsia="zh-CN"/>
              </w:rPr>
              <w:t>表</w:t>
            </w:r>
            <w:r>
              <w:rPr>
                <w:rFonts w:hint="default"/>
                <w:lang w:val="en-US" w:eastAsia="zh-CN"/>
              </w:rPr>
              <w:t>1，</w:t>
            </w:r>
            <w:r>
              <w:rPr>
                <w:rFonts w:hint="eastAsia"/>
                <w:lang w:val="en-US" w:eastAsia="zh-CN"/>
              </w:rPr>
              <w:t>3</w:t>
            </w:r>
            <w:r>
              <w:rPr>
                <w:rFonts w:hint="default"/>
              </w:rPr>
              <w:t>类标准限值要求</w:t>
            </w:r>
            <w:r>
              <w:rPr>
                <w:rFonts w:hint="default"/>
                <w:lang w:eastAsia="zh-CN"/>
              </w:rPr>
              <w:t>。</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lang w:val="en-US" w:eastAsia="zh-CN"/>
              </w:rPr>
            </w:pPr>
            <w:r>
              <w:rPr>
                <w:rFonts w:hint="default"/>
                <w:lang w:val="en-US" w:eastAsia="zh-CN"/>
              </w:rPr>
              <w:t>（4）固废</w:t>
            </w:r>
          </w:p>
          <w:p>
            <w:pPr>
              <w:keepNext w:val="0"/>
              <w:keepLines w:val="0"/>
              <w:pageBreakBefore w:val="0"/>
              <w:widowControl w:val="0"/>
              <w:tabs>
                <w:tab w:val="left" w:pos="612"/>
              </w:tabs>
              <w:kinsoku/>
              <w:wordWrap/>
              <w:overflowPunct/>
              <w:topLinePunct w:val="0"/>
              <w:bidi w:val="0"/>
              <w:spacing w:line="360" w:lineRule="auto"/>
              <w:ind w:firstLine="480" w:firstLineChars="200"/>
              <w:rPr>
                <w:rFonts w:hint="default"/>
              </w:rPr>
            </w:pPr>
            <w:r>
              <w:rPr>
                <w:rFonts w:hint="eastAsia"/>
                <w:lang w:val="en-US" w:eastAsia="zh-CN"/>
              </w:rPr>
              <w:t>硫酸亚铁经鉴别确认属性为一般固废，作为水处理剂点对点供给污水处理厂使用。废铁（屑）、废砂带为一般固废，委托常州隆恒固废处置有限公司处置；喷淋废液属于危险废物，委托常州市和润环保科技有限公司处置。</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lang w:val="en-US" w:eastAsia="zh-CN"/>
              </w:rPr>
            </w:pPr>
            <w:r>
              <w:rPr>
                <w:rFonts w:hint="default"/>
                <w:lang w:val="en-US" w:eastAsia="zh-CN"/>
              </w:rPr>
              <w:t>（</w:t>
            </w:r>
            <w:r>
              <w:rPr>
                <w:rFonts w:hint="eastAsia"/>
                <w:lang w:val="en-US" w:eastAsia="zh-CN"/>
              </w:rPr>
              <w:t>5</w:t>
            </w:r>
            <w:r>
              <w:rPr>
                <w:rFonts w:hint="default"/>
                <w:lang w:val="en-US" w:eastAsia="zh-CN"/>
              </w:rPr>
              <w:t>）污染物排放总量核算结果及达标情况</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lang w:val="en-US" w:eastAsia="zh-CN"/>
              </w:rPr>
            </w:pPr>
            <w:r>
              <w:rPr>
                <w:rFonts w:hint="eastAsia"/>
                <w:lang w:val="en-US" w:eastAsia="zh-CN"/>
              </w:rPr>
              <w:t>排放废气中</w:t>
            </w:r>
            <w:r>
              <w:rPr>
                <w:rFonts w:hint="default"/>
                <w:lang w:val="en-US" w:eastAsia="zh-CN"/>
              </w:rPr>
              <w:t>各类污染物</w:t>
            </w:r>
            <w:r>
              <w:rPr>
                <w:rFonts w:hint="eastAsia"/>
                <w:lang w:val="en-US" w:eastAsia="zh-CN"/>
              </w:rPr>
              <w:t>年</w:t>
            </w:r>
            <w:r>
              <w:rPr>
                <w:rFonts w:hint="default"/>
                <w:lang w:val="en-US" w:eastAsia="zh-CN"/>
              </w:rPr>
              <w:t>排放量满足《审批意见》中的总量控制指标要求</w:t>
            </w:r>
            <w:r>
              <w:rPr>
                <w:rFonts w:hint="eastAsia"/>
                <w:lang w:val="en-US" w:eastAsia="zh-CN"/>
              </w:rPr>
              <w:t>。</w:t>
            </w:r>
          </w:p>
          <w:p>
            <w:pPr>
              <w:spacing w:line="360" w:lineRule="auto"/>
              <w:ind w:firstLine="480" w:firstLineChars="200"/>
              <w:rPr>
                <w:rFonts w:hint="default"/>
              </w:rPr>
            </w:pPr>
            <w:r>
              <w:rPr>
                <w:rFonts w:hint="default"/>
                <w:lang w:val="en-US" w:eastAsia="zh-CN"/>
              </w:rPr>
              <w:t>2</w:t>
            </w:r>
            <w:r>
              <w:rPr>
                <w:rFonts w:hint="default"/>
              </w:rPr>
              <w:t>、建议：</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rPr>
            </w:pPr>
            <w:r>
              <w:rPr>
                <w:rFonts w:hint="default"/>
                <w:lang w:val="en-US" w:eastAsia="zh-CN"/>
              </w:rPr>
              <w:t>（1）</w:t>
            </w:r>
            <w:r>
              <w:rPr>
                <w:rFonts w:hint="eastAsia"/>
                <w:lang w:eastAsia="zh-CN"/>
              </w:rPr>
              <w:t>健全环保设施的运行维护制度，确保环保设施高效运行</w:t>
            </w:r>
            <w:r>
              <w:rPr>
                <w:rFonts w:hint="eastAsia"/>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rPr>
            </w:pPr>
            <w:r>
              <w:rPr>
                <w:rFonts w:hint="eastAsia"/>
                <w:lang w:eastAsia="zh-CN"/>
              </w:rPr>
              <w:t>（</w:t>
            </w:r>
            <w:r>
              <w:rPr>
                <w:rFonts w:hint="eastAsia"/>
                <w:lang w:val="en-US" w:eastAsia="zh-CN"/>
              </w:rPr>
              <w:t>2</w:t>
            </w:r>
            <w:r>
              <w:rPr>
                <w:rFonts w:hint="eastAsia"/>
                <w:lang w:eastAsia="zh-CN"/>
              </w:rPr>
              <w:t>）</w:t>
            </w:r>
            <w:r>
              <w:rPr>
                <w:rFonts w:hint="eastAsia"/>
              </w:rPr>
              <w:t>如生产规模、生产设备等计划发生变化，须按有关规定，履行相关环保手续后方可进行；</w:t>
            </w:r>
          </w:p>
          <w:p>
            <w:pPr>
              <w:spacing w:line="360" w:lineRule="auto"/>
              <w:ind w:firstLine="480" w:firstLineChars="200"/>
              <w:rPr>
                <w:rFonts w:hint="eastAsia"/>
                <w:lang w:val="en-US" w:eastAsia="zh-CN"/>
              </w:rPr>
            </w:pPr>
            <w:r>
              <w:rPr>
                <w:rFonts w:hint="eastAsia"/>
                <w:lang w:eastAsia="zh-CN"/>
              </w:rPr>
              <w:t>（</w:t>
            </w:r>
            <w:r>
              <w:rPr>
                <w:rFonts w:hint="eastAsia"/>
                <w:lang w:val="en-US" w:eastAsia="zh-CN"/>
              </w:rPr>
              <w:t>3</w:t>
            </w:r>
            <w:r>
              <w:rPr>
                <w:rFonts w:hint="eastAsia"/>
                <w:lang w:eastAsia="zh-CN"/>
              </w:rPr>
              <w:t>）</w:t>
            </w:r>
            <w:r>
              <w:rPr>
                <w:rFonts w:hint="eastAsia"/>
              </w:rPr>
              <w:t>加强固废管理，确保产生的各类固废得到规范贮存、合法处置</w:t>
            </w:r>
            <w:r>
              <w:rPr>
                <w:rFonts w:hint="eastAsia"/>
                <w:lang w:val="en-US" w:eastAsia="zh-CN"/>
              </w:rPr>
              <w:t>；</w:t>
            </w:r>
          </w:p>
          <w:p>
            <w:pPr>
              <w:pStyle w:val="2"/>
              <w:ind w:left="0" w:leftChars="0" w:firstLine="480" w:firstLineChars="200"/>
              <w:rPr>
                <w:rFonts w:hint="default"/>
              </w:rPr>
            </w:pPr>
            <w:r>
              <w:rPr>
                <w:rFonts w:hint="eastAsia" w:ascii="宋体" w:hAnsi="宋体" w:eastAsia="宋体" w:cs="Times New Roman"/>
                <w:kern w:val="2"/>
                <w:sz w:val="24"/>
                <w:szCs w:val="24"/>
                <w:lang w:val="en-US" w:eastAsia="zh-CN" w:bidi="ar-SA"/>
              </w:rPr>
              <w:t>（4）</w:t>
            </w:r>
            <w:r>
              <w:rPr>
                <w:rFonts w:hint="default" w:ascii="宋体" w:hAnsi="宋体" w:eastAsia="宋体" w:cs="Times New Roman"/>
                <w:kern w:val="2"/>
                <w:sz w:val="24"/>
                <w:szCs w:val="24"/>
                <w:lang w:val="en-US" w:eastAsia="zh-CN" w:bidi="ar-SA"/>
              </w:rPr>
              <w:t>进一步强化公司的应急预案，确保废气治理设施安全、持续稳定的正常运行</w:t>
            </w:r>
            <w:r>
              <w:rPr>
                <w:rFonts w:hint="eastAsia" w:hAnsi="宋体" w:eastAsia="宋体" w:cs="Times New Roman"/>
                <w:kern w:val="2"/>
                <w:sz w:val="24"/>
                <w:szCs w:val="24"/>
                <w:lang w:val="en-US" w:eastAsia="zh-CN" w:bidi="ar-SA"/>
              </w:rPr>
              <w:t>。</w:t>
            </w:r>
          </w:p>
        </w:tc>
      </w:tr>
    </w:tbl>
    <w:p>
      <w:pPr>
        <w:bidi w:val="0"/>
        <w:rPr>
          <w:rFonts w:hint="default" w:ascii="Times New Roman" w:hAnsi="Times New Roman" w:eastAsia="宋体" w:cs="Times New Roman"/>
          <w:color w:val="auto"/>
          <w:lang w:val="zh-CN"/>
        </w:rPr>
      </w:pPr>
    </w:p>
    <w:p>
      <w:pPr>
        <w:rPr>
          <w:rFonts w:hint="default" w:ascii="Times New Roman" w:hAnsi="Times New Roman" w:eastAsia="宋体" w:cs="Times New Roman"/>
          <w:b/>
          <w:bCs/>
          <w:color w:val="auto"/>
          <w:sz w:val="28"/>
          <w:szCs w:val="28"/>
          <w:lang w:val="zh-CN"/>
        </w:rPr>
      </w:pPr>
      <w:r>
        <w:rPr>
          <w:rFonts w:hint="default" w:ascii="Times New Roman" w:hAnsi="Times New Roman" w:eastAsia="宋体" w:cs="Times New Roman"/>
          <w:b/>
          <w:bCs/>
          <w:color w:val="auto"/>
          <w:sz w:val="28"/>
          <w:szCs w:val="28"/>
          <w:lang w:val="zh-CN"/>
        </w:rPr>
        <w:br w:type="page"/>
      </w:r>
    </w:p>
    <w:p>
      <w:pPr>
        <w:ind w:left="0" w:leftChars="0" w:firstLine="0" w:firstLineChars="0"/>
        <w:outlineLvl w:val="0"/>
        <w:rPr>
          <w:rFonts w:hint="default" w:ascii="Times New Roman" w:hAnsi="Times New Roman" w:eastAsia="宋体" w:cs="Times New Roman"/>
          <w:b/>
          <w:bCs/>
          <w:color w:val="auto"/>
          <w:sz w:val="28"/>
          <w:szCs w:val="28"/>
          <w:lang w:val="zh-CN"/>
        </w:rPr>
      </w:pPr>
      <w:bookmarkStart w:id="30" w:name="_Toc156"/>
      <w:bookmarkStart w:id="31" w:name="_Toc18773"/>
      <w:r>
        <w:rPr>
          <w:rFonts w:hint="default" w:ascii="Times New Roman" w:hAnsi="Times New Roman" w:eastAsia="宋体" w:cs="Times New Roman"/>
          <w:b/>
          <w:bCs/>
          <w:color w:val="auto"/>
          <w:sz w:val="28"/>
          <w:szCs w:val="28"/>
          <w:lang w:val="zh-CN"/>
        </w:rPr>
        <w:t>表十</w:t>
      </w:r>
      <w:r>
        <w:rPr>
          <w:rFonts w:hint="default" w:ascii="Times New Roman" w:hAnsi="Times New Roman" w:eastAsia="宋体" w:cs="Times New Roman"/>
          <w:b/>
          <w:bCs/>
          <w:color w:val="auto"/>
          <w:sz w:val="28"/>
          <w:szCs w:val="28"/>
          <w:lang w:val="en-US" w:eastAsia="zh-CN"/>
        </w:rPr>
        <w:t>三</w:t>
      </w:r>
      <w:r>
        <w:rPr>
          <w:rFonts w:hint="default" w:ascii="Times New Roman" w:hAnsi="Times New Roman" w:eastAsia="宋体" w:cs="Times New Roman"/>
          <w:b/>
          <w:bCs/>
          <w:color w:val="auto"/>
          <w:sz w:val="28"/>
          <w:szCs w:val="28"/>
          <w:lang w:val="zh-CN"/>
        </w:rPr>
        <w:t>、附件</w:t>
      </w:r>
      <w:bookmarkEnd w:id="30"/>
      <w:bookmarkEnd w:id="31"/>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13" w:type="dxa"/>
          <w:bottom w:w="57" w:type="dxa"/>
          <w:right w:w="113"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12179" w:hRule="atLeast"/>
        </w:trPr>
        <w:tc>
          <w:tcPr>
            <w:tcW w:w="8522" w:type="dxa"/>
            <w:vAlign w:val="top"/>
          </w:tcPr>
          <w:p>
            <w:pPr>
              <w:numPr>
                <w:ilvl w:val="0"/>
                <w:numId w:val="8"/>
              </w:numPr>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江苏省投资项目备案证（张家港市行政审批局，2021年7月13日）；</w:t>
            </w:r>
          </w:p>
          <w:p>
            <w:pPr>
              <w:numPr>
                <w:ilvl w:val="0"/>
                <w:numId w:val="8"/>
              </w:numPr>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《建设项目环境影响报告表》批复（苏州市生态环境局</w:t>
            </w:r>
            <w:r>
              <w:rPr>
                <w:rFonts w:hint="default" w:ascii="Times New Roman" w:hAnsi="Times New Roman" w:cs="Times New Roman"/>
                <w:color w:val="auto"/>
                <w:lang w:eastAsia="zh-CN"/>
              </w:rPr>
              <w:t>，20</w:t>
            </w:r>
            <w:r>
              <w:rPr>
                <w:rFonts w:hint="default" w:ascii="Times New Roman" w:hAnsi="Times New Roman" w:cs="Times New Roman"/>
                <w:color w:val="auto"/>
                <w:lang w:val="en-US" w:eastAsia="zh-CN"/>
              </w:rPr>
              <w:t>22</w:t>
            </w:r>
            <w:r>
              <w:rPr>
                <w:rFonts w:hint="default" w:ascii="Times New Roman" w:hAnsi="Times New Roman" w:cs="Times New Roman"/>
                <w:color w:val="auto"/>
                <w:lang w:eastAsia="zh-CN"/>
              </w:rPr>
              <w:t>年</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月</w:t>
            </w:r>
            <w:r>
              <w:rPr>
                <w:rFonts w:hint="default" w:ascii="Times New Roman" w:hAnsi="Times New Roman" w:cs="Times New Roman"/>
                <w:color w:val="auto"/>
                <w:lang w:val="en-US" w:eastAsia="zh-CN"/>
              </w:rPr>
              <w:t>16</w:t>
            </w:r>
            <w:r>
              <w:rPr>
                <w:rFonts w:hint="default" w:ascii="Times New Roman" w:hAnsi="Times New Roman" w:cs="Times New Roman"/>
                <w:color w:val="auto"/>
                <w:lang w:eastAsia="zh-CN"/>
              </w:rPr>
              <w:t>日）</w:t>
            </w:r>
            <w:r>
              <w:rPr>
                <w:rFonts w:hint="default" w:ascii="Times New Roman" w:hAnsi="Times New Roman" w:cs="Times New Roman"/>
                <w:color w:val="auto"/>
                <w:lang w:val="en-US" w:eastAsia="zh-CN"/>
              </w:rPr>
              <w:t>；</w:t>
            </w:r>
          </w:p>
          <w:p>
            <w:pPr>
              <w:numPr>
                <w:ilvl w:val="0"/>
                <w:numId w:val="8"/>
              </w:numPr>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排水证；</w:t>
            </w:r>
          </w:p>
          <w:p>
            <w:pPr>
              <w:numPr>
                <w:ilvl w:val="0"/>
                <w:numId w:val="8"/>
              </w:numPr>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排污</w:t>
            </w:r>
            <w:r>
              <w:rPr>
                <w:rFonts w:hint="eastAsia" w:ascii="Times New Roman" w:hAnsi="Times New Roman" w:cs="Times New Roman"/>
                <w:color w:val="auto"/>
                <w:lang w:val="en-US" w:eastAsia="zh-CN"/>
              </w:rPr>
              <w:t>许可证</w:t>
            </w:r>
            <w:r>
              <w:rPr>
                <w:rFonts w:hint="default" w:ascii="Times New Roman" w:hAnsi="Times New Roman" w:cs="Times New Roman"/>
                <w:color w:val="auto"/>
                <w:lang w:val="en-US" w:eastAsia="zh-CN"/>
              </w:rPr>
              <w:t>；</w:t>
            </w:r>
          </w:p>
          <w:p>
            <w:pPr>
              <w:numPr>
                <w:ilvl w:val="0"/>
                <w:numId w:val="8"/>
              </w:numPr>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一般工业固废处置协议；</w:t>
            </w:r>
          </w:p>
          <w:p>
            <w:pPr>
              <w:numPr>
                <w:ilvl w:val="0"/>
                <w:numId w:val="8"/>
              </w:numPr>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危废处置协议及处置单位资质证明；</w:t>
            </w:r>
          </w:p>
          <w:p>
            <w:pPr>
              <w:numPr>
                <w:ilvl w:val="0"/>
                <w:numId w:val="8"/>
              </w:numPr>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检测报告（（2023）新锐（综）字第（</w:t>
            </w:r>
            <w:r>
              <w:rPr>
                <w:rFonts w:hint="eastAsia" w:ascii="Times New Roman" w:hAnsi="Times New Roman" w:cs="Times New Roman"/>
                <w:color w:val="auto"/>
                <w:lang w:val="en-US" w:eastAsia="zh-CN"/>
              </w:rPr>
              <w:t>07635</w:t>
            </w:r>
            <w:r>
              <w:rPr>
                <w:rFonts w:hint="default" w:ascii="Times New Roman" w:hAnsi="Times New Roman" w:cs="Times New Roman"/>
                <w:color w:val="auto"/>
                <w:lang w:val="en-US" w:eastAsia="zh-CN"/>
              </w:rPr>
              <w:t>）号）；</w:t>
            </w:r>
          </w:p>
          <w:p>
            <w:pPr>
              <w:numPr>
                <w:ilvl w:val="0"/>
                <w:numId w:val="8"/>
              </w:numPr>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江苏新锐环境监测有限公司检验检测机构资质认定证书；</w:t>
            </w:r>
          </w:p>
          <w:p>
            <w:pPr>
              <w:numPr>
                <w:ilvl w:val="0"/>
                <w:numId w:val="8"/>
              </w:numPr>
              <w:bidi w:val="0"/>
              <w:ind w:left="0" w:leftChars="0" w:firstLine="0" w:firstLineChars="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应急预案备案表；</w:t>
            </w:r>
          </w:p>
          <w:p>
            <w:pPr>
              <w:numPr>
                <w:ilvl w:val="0"/>
                <w:numId w:val="8"/>
              </w:numPr>
              <w:bidi w:val="0"/>
              <w:ind w:left="0" w:leftChars="0" w:firstLine="0" w:firstLineChars="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副产物硫酸亚铁鉴别报告。</w:t>
            </w:r>
          </w:p>
          <w:p>
            <w:pPr>
              <w:numPr>
                <w:ilvl w:val="0"/>
                <w:numId w:val="8"/>
              </w:numPr>
              <w:bidi w:val="0"/>
              <w:ind w:left="0" w:leftChars="0"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附图：</w:t>
            </w:r>
          </w:p>
          <w:p>
            <w:pPr>
              <w:numPr>
                <w:ilvl w:val="0"/>
                <w:numId w:val="0"/>
              </w:numPr>
              <w:bidi w:val="0"/>
              <w:ind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附图1  项目地理位置图；</w:t>
            </w:r>
          </w:p>
          <w:p>
            <w:pPr>
              <w:numPr>
                <w:ilvl w:val="0"/>
                <w:numId w:val="0"/>
              </w:numPr>
              <w:bidi w:val="0"/>
              <w:ind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附图2  项目周边环境示意图；</w:t>
            </w:r>
          </w:p>
          <w:p>
            <w:pPr>
              <w:numPr>
                <w:ilvl w:val="0"/>
                <w:numId w:val="0"/>
              </w:numPr>
              <w:bidi w:val="0"/>
              <w:ind w:lef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附图3  项目厂区平面布置图。</w:t>
            </w:r>
          </w:p>
          <w:p>
            <w:pPr>
              <w:pStyle w:val="19"/>
              <w:jc w:val="both"/>
              <w:rPr>
                <w:rFonts w:hint="default" w:ascii="Times New Roman" w:hAnsi="Times New Roman" w:cs="Times New Roman"/>
                <w:color w:val="auto"/>
                <w:lang w:val="en-US" w:eastAsia="zh-CN"/>
              </w:rPr>
            </w:pPr>
          </w:p>
        </w:tc>
      </w:tr>
    </w:tbl>
    <w:p>
      <w:pPr>
        <w:pStyle w:val="19"/>
        <w:rPr>
          <w:rFonts w:hint="default" w:ascii="Times New Roman" w:hAnsi="Times New Roman" w:eastAsia="宋体" w:cs="Times New Roman"/>
          <w:b/>
          <w:bCs/>
          <w:color w:val="auto"/>
          <w:sz w:val="28"/>
          <w:szCs w:val="28"/>
          <w:lang w:val="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ageBreakBefore w:val="0"/>
        <w:widowControl w:val="0"/>
        <w:kinsoku/>
        <w:wordWrap/>
        <w:topLinePunct w:val="0"/>
        <w:autoSpaceDE w:val="0"/>
        <w:autoSpaceDN w:val="0"/>
        <w:bidi w:val="0"/>
        <w:spacing w:line="360" w:lineRule="auto"/>
        <w:ind w:left="0" w:leftChars="0" w:firstLine="0" w:firstLineChars="0"/>
        <w:jc w:val="center"/>
        <w:outlineLvl w:val="0"/>
        <w:rPr>
          <w:rFonts w:hint="eastAsia" w:ascii="宋体" w:hAnsi="宋体" w:eastAsia="宋体" w:cs="宋体"/>
          <w:b/>
          <w:bCs/>
          <w:color w:val="auto"/>
          <w:sz w:val="28"/>
          <w:szCs w:val="28"/>
          <w:lang w:val="en-US" w:eastAsia="en-US" w:bidi="ar-SA"/>
        </w:rPr>
      </w:pPr>
      <w:bookmarkStart w:id="32" w:name="_Toc3317"/>
      <w:r>
        <w:rPr>
          <w:rFonts w:hint="eastAsia" w:ascii="宋体" w:hAnsi="宋体" w:eastAsia="宋体" w:cs="宋体"/>
          <w:b/>
          <w:bCs/>
          <w:color w:val="auto"/>
          <w:sz w:val="28"/>
          <w:szCs w:val="28"/>
          <w:lang w:val="en-US" w:eastAsia="en-US" w:bidi="ar-SA"/>
        </w:rPr>
        <w:t>建设项目竣工环境保护“三同时”验收登记表</w:t>
      </w:r>
      <w:bookmarkEnd w:id="32"/>
    </w:p>
    <w:p>
      <w:pPr>
        <w:pageBreakBefore w:val="0"/>
        <w:kinsoku/>
        <w:wordWrap/>
        <w:topLinePunct w:val="0"/>
        <w:autoSpaceDE w:val="0"/>
        <w:autoSpaceDN w:val="0"/>
        <w:bidi w:val="0"/>
        <w:spacing w:after="0" w:afterLines="0"/>
        <w:ind w:firstLine="0" w:firstLineChars="0"/>
        <w:jc w:val="both"/>
        <w:rPr>
          <w:rFonts w:hint="eastAsia" w:ascii="宋体" w:hAnsi="宋体" w:eastAsia="宋体" w:cs="宋体"/>
          <w:b/>
          <w:color w:val="auto"/>
          <w:kern w:val="0"/>
          <w:sz w:val="21"/>
          <w:szCs w:val="21"/>
          <w:lang w:eastAsia="en-US"/>
        </w:rPr>
      </w:pPr>
      <w:r>
        <w:rPr>
          <w:rFonts w:hint="eastAsia" w:ascii="宋体" w:hAnsi="宋体" w:eastAsia="宋体" w:cs="宋体"/>
          <w:b/>
          <w:color w:val="auto"/>
          <w:kern w:val="0"/>
          <w:sz w:val="21"/>
          <w:szCs w:val="21"/>
          <w:lang w:eastAsia="en-US"/>
        </w:rPr>
        <w:t>填表单位（盖章）</w:t>
      </w:r>
      <w:r>
        <w:rPr>
          <w:rFonts w:hint="eastAsia" w:ascii="宋体" w:hAnsi="宋体" w:eastAsia="宋体" w:cs="宋体"/>
          <w:b/>
          <w:color w:val="auto"/>
          <w:kern w:val="2"/>
          <w:sz w:val="21"/>
          <w:szCs w:val="21"/>
          <w:lang w:eastAsia="en-US"/>
        </w:rPr>
        <w:t>：</w:t>
      </w:r>
      <w:r>
        <w:rPr>
          <w:rFonts w:hint="eastAsia" w:ascii="宋体" w:hAnsi="宋体" w:eastAsia="宋体" w:cs="宋体"/>
          <w:b/>
          <w:color w:val="auto"/>
          <w:kern w:val="0"/>
          <w:sz w:val="21"/>
          <w:szCs w:val="21"/>
          <w:lang w:eastAsia="en-US"/>
        </w:rPr>
        <w:t xml:space="preserve">       </w:t>
      </w:r>
      <w:r>
        <w:rPr>
          <w:rFonts w:hint="eastAsia" w:ascii="宋体" w:hAnsi="宋体" w:eastAsia="宋体" w:cs="宋体"/>
          <w:b/>
          <w:color w:val="auto"/>
          <w:kern w:val="0"/>
          <w:sz w:val="21"/>
          <w:szCs w:val="21"/>
          <w:lang w:val="en-US" w:eastAsia="zh-CN"/>
        </w:rPr>
        <w:t xml:space="preserve">                     </w:t>
      </w:r>
      <w:r>
        <w:rPr>
          <w:rFonts w:hint="eastAsia" w:ascii="宋体" w:hAnsi="宋体" w:eastAsia="宋体" w:cs="宋体"/>
          <w:b/>
          <w:color w:val="auto"/>
          <w:kern w:val="0"/>
          <w:sz w:val="21"/>
          <w:szCs w:val="21"/>
          <w:lang w:eastAsia="en-US"/>
        </w:rPr>
        <w:t xml:space="preserve">           填表人（签字）：                      项目经办人（签字）：</w:t>
      </w:r>
    </w:p>
    <w:tbl>
      <w:tblPr>
        <w:tblStyle w:val="16"/>
        <w:tblW w:w="511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6"/>
        <w:gridCol w:w="453"/>
        <w:gridCol w:w="1240"/>
        <w:gridCol w:w="664"/>
        <w:gridCol w:w="1057"/>
        <w:gridCol w:w="123"/>
        <w:gridCol w:w="990"/>
        <w:gridCol w:w="876"/>
        <w:gridCol w:w="428"/>
        <w:gridCol w:w="591"/>
        <w:gridCol w:w="970"/>
        <w:gridCol w:w="642"/>
        <w:gridCol w:w="494"/>
        <w:gridCol w:w="1489"/>
        <w:gridCol w:w="765"/>
        <w:gridCol w:w="770"/>
        <w:gridCol w:w="311"/>
        <w:gridCol w:w="374"/>
        <w:gridCol w:w="591"/>
        <w:gridCol w:w="10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5" w:type="pct"/>
            <w:vMerge w:val="restart"/>
            <w:noWrap w:val="0"/>
            <w:tcMar>
              <w:left w:w="57" w:type="dxa"/>
              <w:right w:w="57" w:type="dxa"/>
            </w:tcMar>
            <w:textDirection w:val="tbRlV"/>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113" w:right="113"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建设项目</w:t>
            </w:r>
          </w:p>
        </w:tc>
        <w:tc>
          <w:tcPr>
            <w:tcW w:w="593"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项目名称</w:t>
            </w:r>
          </w:p>
        </w:tc>
        <w:tc>
          <w:tcPr>
            <w:tcW w:w="1658"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highlight w:val="none"/>
                <w:lang w:eastAsia="en-US"/>
              </w:rPr>
            </w:pPr>
            <w:r>
              <w:rPr>
                <w:rFonts w:hint="eastAsia" w:ascii="微软雅黑" w:hAnsi="微软雅黑" w:eastAsia="微软雅黑" w:cs="微软雅黑"/>
                <w:b w:val="0"/>
                <w:bCs/>
                <w:color w:val="auto"/>
                <w:kern w:val="2"/>
                <w:sz w:val="15"/>
                <w:szCs w:val="15"/>
                <w:highlight w:val="none"/>
                <w:lang w:val="en-US" w:eastAsia="en-US"/>
              </w:rPr>
              <w:t>环保节能技术改造项目</w:t>
            </w:r>
          </w:p>
        </w:tc>
        <w:tc>
          <w:tcPr>
            <w:tcW w:w="56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highlight w:val="none"/>
                <w:lang w:eastAsia="en-US"/>
              </w:rPr>
            </w:pPr>
            <w:r>
              <w:rPr>
                <w:rFonts w:hint="eastAsia" w:ascii="微软雅黑" w:hAnsi="微软雅黑" w:eastAsia="微软雅黑" w:cs="微软雅黑"/>
                <w:b/>
                <w:bCs w:val="0"/>
                <w:color w:val="auto"/>
                <w:kern w:val="2"/>
                <w:sz w:val="15"/>
                <w:szCs w:val="15"/>
                <w:highlight w:val="none"/>
                <w:lang w:eastAsia="en-US"/>
              </w:rPr>
              <w:t>项目代码</w:t>
            </w:r>
          </w:p>
        </w:tc>
        <w:tc>
          <w:tcPr>
            <w:tcW w:w="69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r>
              <w:rPr>
                <w:rFonts w:hint="eastAsia" w:ascii="微软雅黑" w:hAnsi="微软雅黑" w:eastAsia="微软雅黑" w:cs="微软雅黑"/>
                <w:b w:val="0"/>
                <w:bCs/>
                <w:color w:val="auto"/>
                <w:kern w:val="2"/>
                <w:sz w:val="15"/>
                <w:szCs w:val="15"/>
                <w:lang w:val="en-US" w:eastAsia="zh-CN"/>
              </w:rPr>
              <w:t>张行审投备〔2021〕397号</w:t>
            </w:r>
          </w:p>
        </w:tc>
        <w:tc>
          <w:tcPr>
            <w:tcW w:w="5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建设地点</w:t>
            </w:r>
          </w:p>
        </w:tc>
        <w:tc>
          <w:tcPr>
            <w:tcW w:w="813"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eastAsia="en-US"/>
              </w:rPr>
            </w:pPr>
            <w:r>
              <w:rPr>
                <w:rFonts w:hint="eastAsia" w:ascii="微软雅黑" w:hAnsi="微软雅黑" w:eastAsia="微软雅黑" w:cs="微软雅黑"/>
                <w:b w:val="0"/>
                <w:bCs/>
                <w:color w:val="auto"/>
                <w:kern w:val="2"/>
                <w:sz w:val="15"/>
                <w:szCs w:val="15"/>
                <w:lang w:val="en-US" w:eastAsia="en-US"/>
              </w:rPr>
              <w:t>张家港市杨舍镇乘航河东路80号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5"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auto"/>
                <w:kern w:val="2"/>
                <w:sz w:val="15"/>
                <w:szCs w:val="15"/>
                <w:lang w:eastAsia="en-US"/>
              </w:rPr>
            </w:pPr>
          </w:p>
        </w:tc>
        <w:tc>
          <w:tcPr>
            <w:tcW w:w="593"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行业类别（分类管理名录）</w:t>
            </w:r>
          </w:p>
        </w:tc>
        <w:tc>
          <w:tcPr>
            <w:tcW w:w="1658"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r>
              <w:rPr>
                <w:rFonts w:hint="default" w:ascii="Times New Roman" w:hAnsi="Times New Roman" w:eastAsia="微软雅黑" w:cs="Times New Roman"/>
                <w:b w:val="0"/>
                <w:bCs/>
                <w:color w:val="auto"/>
                <w:kern w:val="2"/>
                <w:sz w:val="15"/>
                <w:szCs w:val="15"/>
                <w:lang w:val="en-US" w:eastAsia="zh-CN"/>
              </w:rPr>
              <w:t>C3340 金属丝绳及其制品制造、N7724 危险废物治理</w:t>
            </w:r>
          </w:p>
        </w:tc>
        <w:tc>
          <w:tcPr>
            <w:tcW w:w="56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建设性质</w:t>
            </w:r>
          </w:p>
        </w:tc>
        <w:tc>
          <w:tcPr>
            <w:tcW w:w="69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eastAsia="en-US"/>
              </w:rPr>
            </w:pPr>
            <w:r>
              <w:rPr>
                <w:rFonts w:hint="eastAsia" w:ascii="微软雅黑" w:hAnsi="微软雅黑" w:eastAsia="微软雅黑" w:cs="微软雅黑"/>
                <w:b w:val="0"/>
                <w:bCs/>
                <w:color w:val="auto"/>
                <w:kern w:val="2"/>
                <w:sz w:val="15"/>
                <w:szCs w:val="15"/>
                <w:lang w:eastAsia="en-US"/>
              </w:rPr>
              <w:t xml:space="preserve"> □新建 </w:t>
            </w:r>
            <w:r>
              <w:rPr>
                <w:rFonts w:hint="eastAsia" w:ascii="微软雅黑" w:hAnsi="微软雅黑" w:eastAsia="微软雅黑" w:cs="微软雅黑"/>
                <w:b w:val="0"/>
                <w:bCs/>
                <w:color w:val="auto"/>
                <w:kern w:val="2"/>
                <w:sz w:val="15"/>
                <w:szCs w:val="15"/>
                <w:lang w:eastAsia="zh-CN"/>
              </w:rPr>
              <w:t>□</w:t>
            </w:r>
            <w:r>
              <w:rPr>
                <w:rFonts w:hint="eastAsia" w:ascii="微软雅黑" w:hAnsi="微软雅黑" w:eastAsia="微软雅黑" w:cs="微软雅黑"/>
                <w:b w:val="0"/>
                <w:bCs/>
                <w:color w:val="auto"/>
                <w:kern w:val="2"/>
                <w:sz w:val="15"/>
                <w:szCs w:val="15"/>
                <w:lang w:eastAsia="en-US"/>
              </w:rPr>
              <w:t>改扩建  ■技术改造</w:t>
            </w:r>
          </w:p>
        </w:tc>
        <w:tc>
          <w:tcPr>
            <w:tcW w:w="5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项目厂区中心经度/纬度</w:t>
            </w:r>
          </w:p>
        </w:tc>
        <w:tc>
          <w:tcPr>
            <w:tcW w:w="813"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both"/>
              <w:rPr>
                <w:rFonts w:hint="default" w:ascii="微软雅黑" w:hAnsi="微软雅黑" w:eastAsia="微软雅黑" w:cs="微软雅黑"/>
                <w:b w:val="0"/>
                <w:bCs/>
                <w:color w:val="auto"/>
                <w:kern w:val="2"/>
                <w:sz w:val="15"/>
                <w:szCs w:val="15"/>
                <w:lang w:val="en-US" w:eastAsia="en-US"/>
              </w:rPr>
            </w:pPr>
            <w:r>
              <w:rPr>
                <w:rFonts w:hint="eastAsia" w:ascii="微软雅黑" w:hAnsi="微软雅黑" w:eastAsia="微软雅黑" w:cs="微软雅黑"/>
                <w:color w:val="auto"/>
                <w:kern w:val="0"/>
                <w:sz w:val="15"/>
                <w:szCs w:val="15"/>
                <w:highlight w:val="none"/>
                <w:lang w:val="en-US" w:eastAsia="zh-CN"/>
              </w:rPr>
              <w:t>(</w:t>
            </w:r>
            <w:r>
              <w:rPr>
                <w:rFonts w:hint="eastAsia" w:ascii="微软雅黑" w:hAnsi="微软雅黑" w:eastAsia="微软雅黑" w:cs="微软雅黑"/>
                <w:color w:val="auto"/>
                <w:kern w:val="0"/>
                <w:sz w:val="15"/>
                <w:szCs w:val="15"/>
                <w:highlight w:val="none"/>
                <w:lang w:eastAsia="zh-CN"/>
              </w:rPr>
              <w:t>E</w:t>
            </w:r>
            <w:r>
              <w:rPr>
                <w:rFonts w:hint="eastAsia" w:ascii="微软雅黑" w:hAnsi="微软雅黑" w:eastAsia="微软雅黑" w:cs="微软雅黑"/>
                <w:color w:val="auto"/>
                <w:kern w:val="0"/>
                <w:sz w:val="15"/>
                <w:szCs w:val="15"/>
                <w:highlight w:val="none"/>
                <w:lang w:val="en-US" w:eastAsia="zh-CN"/>
              </w:rPr>
              <w:t>)</w:t>
            </w:r>
            <w:r>
              <w:rPr>
                <w:rFonts w:hint="eastAsia" w:ascii="微软雅黑" w:hAnsi="微软雅黑" w:eastAsia="微软雅黑" w:cs="微软雅黑"/>
                <w:color w:val="auto"/>
                <w:kern w:val="0"/>
                <w:sz w:val="15"/>
                <w:szCs w:val="15"/>
                <w:highlight w:val="none"/>
                <w:lang w:eastAsia="en-US"/>
              </w:rPr>
              <w:t>120°2</w:t>
            </w:r>
            <w:r>
              <w:rPr>
                <w:rFonts w:hint="eastAsia" w:ascii="微软雅黑" w:hAnsi="微软雅黑" w:eastAsia="微软雅黑" w:cs="微软雅黑"/>
                <w:color w:val="auto"/>
                <w:kern w:val="0"/>
                <w:sz w:val="15"/>
                <w:szCs w:val="15"/>
                <w:highlight w:val="none"/>
                <w:lang w:val="en-US" w:eastAsia="zh-CN"/>
              </w:rPr>
              <w:t>4＇769"</w:t>
            </w:r>
            <w:r>
              <w:rPr>
                <w:rFonts w:hint="eastAsia" w:ascii="微软雅黑" w:hAnsi="微软雅黑" w:eastAsia="微软雅黑" w:cs="微软雅黑"/>
                <w:color w:val="auto"/>
                <w:kern w:val="0"/>
                <w:sz w:val="15"/>
                <w:szCs w:val="15"/>
                <w:highlight w:val="none"/>
                <w:lang w:eastAsia="zh-CN"/>
              </w:rPr>
              <w:t>，</w:t>
            </w:r>
            <w:r>
              <w:rPr>
                <w:rFonts w:hint="eastAsia" w:ascii="微软雅黑" w:hAnsi="微软雅黑" w:eastAsia="微软雅黑" w:cs="微软雅黑"/>
                <w:color w:val="auto"/>
                <w:kern w:val="0"/>
                <w:sz w:val="15"/>
                <w:szCs w:val="15"/>
                <w:highlight w:val="none"/>
                <w:lang w:val="en-US" w:eastAsia="zh-CN"/>
              </w:rPr>
              <w:t>(</w:t>
            </w:r>
            <w:r>
              <w:rPr>
                <w:rFonts w:hint="eastAsia" w:ascii="微软雅黑" w:hAnsi="微软雅黑" w:eastAsia="微软雅黑" w:cs="微软雅黑"/>
                <w:color w:val="auto"/>
                <w:kern w:val="0"/>
                <w:sz w:val="15"/>
                <w:szCs w:val="15"/>
                <w:highlight w:val="none"/>
                <w:lang w:eastAsia="zh-CN"/>
              </w:rPr>
              <w:t>N</w:t>
            </w:r>
            <w:r>
              <w:rPr>
                <w:rFonts w:hint="eastAsia" w:ascii="微软雅黑" w:hAnsi="微软雅黑" w:eastAsia="微软雅黑" w:cs="微软雅黑"/>
                <w:color w:val="auto"/>
                <w:kern w:val="0"/>
                <w:sz w:val="15"/>
                <w:szCs w:val="15"/>
                <w:highlight w:val="none"/>
                <w:lang w:val="en-US" w:eastAsia="zh-CN"/>
              </w:rPr>
              <w:t>)</w:t>
            </w:r>
            <w:r>
              <w:rPr>
                <w:rFonts w:hint="eastAsia" w:ascii="微软雅黑" w:hAnsi="微软雅黑" w:eastAsia="微软雅黑" w:cs="微软雅黑"/>
                <w:color w:val="auto"/>
                <w:kern w:val="0"/>
                <w:sz w:val="15"/>
                <w:szCs w:val="15"/>
                <w:highlight w:val="none"/>
                <w:lang w:eastAsia="en-US"/>
              </w:rPr>
              <w:t>31°5</w:t>
            </w:r>
            <w:r>
              <w:rPr>
                <w:rFonts w:hint="eastAsia" w:ascii="微软雅黑" w:hAnsi="微软雅黑" w:eastAsia="微软雅黑" w:cs="微软雅黑"/>
                <w:color w:val="auto"/>
                <w:kern w:val="0"/>
                <w:sz w:val="15"/>
                <w:szCs w:val="15"/>
                <w:highlight w:val="none"/>
                <w:lang w:val="en-US" w:eastAsia="zh-CN"/>
              </w:rPr>
              <w:t>4＇844"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5"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auto"/>
                <w:kern w:val="2"/>
                <w:sz w:val="15"/>
                <w:szCs w:val="15"/>
                <w:lang w:eastAsia="en-US"/>
              </w:rPr>
            </w:pPr>
          </w:p>
        </w:tc>
        <w:tc>
          <w:tcPr>
            <w:tcW w:w="593"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设计生产能力</w:t>
            </w:r>
          </w:p>
        </w:tc>
        <w:tc>
          <w:tcPr>
            <w:tcW w:w="1658"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rPr>
            </w:pPr>
            <w:r>
              <w:rPr>
                <w:rFonts w:hint="eastAsia" w:ascii="微软雅黑" w:hAnsi="微软雅黑" w:eastAsia="微软雅黑" w:cs="微软雅黑"/>
                <w:b w:val="0"/>
                <w:bCs/>
                <w:color w:val="auto"/>
                <w:kern w:val="2"/>
                <w:sz w:val="15"/>
                <w:szCs w:val="15"/>
                <w:lang w:val="en-US" w:eastAsia="zh-CN"/>
              </w:rPr>
              <w:t>180000吨/a钢帘线</w:t>
            </w:r>
          </w:p>
        </w:tc>
        <w:tc>
          <w:tcPr>
            <w:tcW w:w="56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实际生产能力</w:t>
            </w:r>
          </w:p>
        </w:tc>
        <w:tc>
          <w:tcPr>
            <w:tcW w:w="69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eastAsia="en-US"/>
              </w:rPr>
            </w:pPr>
            <w:r>
              <w:rPr>
                <w:rFonts w:hint="eastAsia" w:ascii="微软雅黑" w:hAnsi="微软雅黑" w:eastAsia="微软雅黑" w:cs="微软雅黑"/>
                <w:b w:val="0"/>
                <w:bCs/>
                <w:color w:val="auto"/>
                <w:kern w:val="2"/>
                <w:sz w:val="15"/>
                <w:szCs w:val="15"/>
                <w:lang w:val="en-US" w:eastAsia="zh-CN"/>
              </w:rPr>
              <w:t>180000吨/a钢帘线</w:t>
            </w:r>
          </w:p>
        </w:tc>
        <w:tc>
          <w:tcPr>
            <w:tcW w:w="5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环评单位</w:t>
            </w:r>
          </w:p>
        </w:tc>
        <w:tc>
          <w:tcPr>
            <w:tcW w:w="813"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en-US"/>
              </w:rPr>
            </w:pPr>
            <w:r>
              <w:rPr>
                <w:rFonts w:hint="eastAsia" w:ascii="微软雅黑" w:hAnsi="微软雅黑" w:eastAsia="微软雅黑" w:cs="微软雅黑"/>
                <w:b w:val="0"/>
                <w:bCs/>
                <w:color w:val="auto"/>
                <w:kern w:val="2"/>
                <w:sz w:val="15"/>
                <w:szCs w:val="15"/>
                <w:lang w:val="en-US" w:eastAsia="en-US"/>
              </w:rPr>
              <w:t>南京国环科技股份有限公司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5"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auto"/>
                <w:kern w:val="2"/>
                <w:sz w:val="15"/>
                <w:szCs w:val="15"/>
                <w:lang w:eastAsia="en-US"/>
              </w:rPr>
            </w:pPr>
          </w:p>
        </w:tc>
        <w:tc>
          <w:tcPr>
            <w:tcW w:w="593"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环评文件审批机关</w:t>
            </w:r>
          </w:p>
        </w:tc>
        <w:tc>
          <w:tcPr>
            <w:tcW w:w="1658"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rPr>
            </w:pPr>
            <w:r>
              <w:rPr>
                <w:rFonts w:hint="eastAsia" w:ascii="微软雅黑" w:hAnsi="微软雅黑" w:eastAsia="微软雅黑" w:cs="微软雅黑"/>
                <w:b w:val="0"/>
                <w:bCs/>
                <w:color w:val="auto"/>
                <w:kern w:val="2"/>
                <w:sz w:val="15"/>
                <w:szCs w:val="15"/>
                <w:lang w:val="en-US" w:eastAsia="zh-CN"/>
              </w:rPr>
              <w:t>苏州市生态环境局</w:t>
            </w:r>
          </w:p>
        </w:tc>
        <w:tc>
          <w:tcPr>
            <w:tcW w:w="56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审批文号</w:t>
            </w:r>
          </w:p>
        </w:tc>
        <w:tc>
          <w:tcPr>
            <w:tcW w:w="69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eastAsia="en-US"/>
              </w:rPr>
            </w:pPr>
            <w:r>
              <w:rPr>
                <w:rFonts w:hint="eastAsia" w:ascii="微软雅黑" w:hAnsi="微软雅黑" w:eastAsia="微软雅黑" w:cs="微软雅黑"/>
                <w:b w:val="0"/>
                <w:bCs/>
                <w:color w:val="auto"/>
                <w:kern w:val="2"/>
                <w:sz w:val="15"/>
                <w:szCs w:val="15"/>
                <w:lang w:val="en-US" w:eastAsia="en-US"/>
              </w:rPr>
              <w:t>苏环建〔2022〕82第0098号</w:t>
            </w:r>
          </w:p>
        </w:tc>
        <w:tc>
          <w:tcPr>
            <w:tcW w:w="5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环评文件类型</w:t>
            </w:r>
          </w:p>
        </w:tc>
        <w:tc>
          <w:tcPr>
            <w:tcW w:w="813"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rPr>
            </w:pPr>
            <w:r>
              <w:rPr>
                <w:rFonts w:hint="eastAsia" w:ascii="微软雅黑" w:hAnsi="微软雅黑" w:eastAsia="微软雅黑" w:cs="微软雅黑"/>
                <w:b w:val="0"/>
                <w:bCs/>
                <w:color w:val="auto"/>
                <w:kern w:val="2"/>
                <w:sz w:val="15"/>
                <w:szCs w:val="15"/>
                <w:lang w:val="en-US" w:eastAsia="zh-CN"/>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5"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auto"/>
                <w:kern w:val="2"/>
                <w:sz w:val="15"/>
                <w:szCs w:val="15"/>
                <w:lang w:eastAsia="en-US"/>
              </w:rPr>
            </w:pPr>
          </w:p>
        </w:tc>
        <w:tc>
          <w:tcPr>
            <w:tcW w:w="593"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highlight w:val="none"/>
                <w:lang w:eastAsia="en-US"/>
              </w:rPr>
            </w:pPr>
            <w:r>
              <w:rPr>
                <w:rFonts w:hint="eastAsia" w:ascii="微软雅黑" w:hAnsi="微软雅黑" w:eastAsia="微软雅黑" w:cs="微软雅黑"/>
                <w:b/>
                <w:bCs w:val="0"/>
                <w:color w:val="auto"/>
                <w:kern w:val="2"/>
                <w:sz w:val="15"/>
                <w:szCs w:val="15"/>
                <w:highlight w:val="none"/>
                <w:lang w:eastAsia="en-US"/>
              </w:rPr>
              <w:t>开工日期</w:t>
            </w:r>
          </w:p>
        </w:tc>
        <w:tc>
          <w:tcPr>
            <w:tcW w:w="1658"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highlight w:val="none"/>
                <w:lang w:eastAsia="en-US"/>
              </w:rPr>
            </w:pPr>
            <w:r>
              <w:rPr>
                <w:rFonts w:hint="eastAsia" w:ascii="微软雅黑" w:hAnsi="微软雅黑" w:eastAsia="微软雅黑" w:cs="微软雅黑"/>
                <w:b w:val="0"/>
                <w:bCs/>
                <w:color w:val="auto"/>
                <w:kern w:val="2"/>
                <w:sz w:val="15"/>
                <w:szCs w:val="15"/>
                <w:highlight w:val="none"/>
                <w:lang w:val="en-US" w:eastAsia="en-US"/>
              </w:rPr>
              <w:t>202</w:t>
            </w:r>
            <w:r>
              <w:rPr>
                <w:rFonts w:hint="eastAsia" w:ascii="微软雅黑" w:hAnsi="微软雅黑" w:eastAsia="微软雅黑" w:cs="微软雅黑"/>
                <w:b w:val="0"/>
                <w:bCs/>
                <w:color w:val="auto"/>
                <w:kern w:val="2"/>
                <w:sz w:val="15"/>
                <w:szCs w:val="15"/>
                <w:highlight w:val="none"/>
                <w:lang w:val="en-US" w:eastAsia="zh-CN"/>
              </w:rPr>
              <w:t>2</w:t>
            </w:r>
            <w:r>
              <w:rPr>
                <w:rFonts w:hint="eastAsia" w:ascii="微软雅黑" w:hAnsi="微软雅黑" w:eastAsia="微软雅黑" w:cs="微软雅黑"/>
                <w:b w:val="0"/>
                <w:bCs/>
                <w:color w:val="auto"/>
                <w:kern w:val="2"/>
                <w:sz w:val="15"/>
                <w:szCs w:val="15"/>
                <w:highlight w:val="none"/>
                <w:lang w:val="en-US" w:eastAsia="en-US"/>
              </w:rPr>
              <w:t>年</w:t>
            </w:r>
            <w:r>
              <w:rPr>
                <w:rFonts w:hint="eastAsia" w:ascii="微软雅黑" w:hAnsi="微软雅黑" w:eastAsia="微软雅黑" w:cs="微软雅黑"/>
                <w:b w:val="0"/>
                <w:bCs/>
                <w:color w:val="auto"/>
                <w:kern w:val="2"/>
                <w:sz w:val="15"/>
                <w:szCs w:val="15"/>
                <w:highlight w:val="none"/>
                <w:lang w:val="en-US" w:eastAsia="zh-CN"/>
              </w:rPr>
              <w:t>6</w:t>
            </w:r>
            <w:r>
              <w:rPr>
                <w:rFonts w:hint="eastAsia" w:ascii="微软雅黑" w:hAnsi="微软雅黑" w:eastAsia="微软雅黑" w:cs="微软雅黑"/>
                <w:b w:val="0"/>
                <w:bCs/>
                <w:color w:val="auto"/>
                <w:kern w:val="2"/>
                <w:sz w:val="15"/>
                <w:szCs w:val="15"/>
                <w:highlight w:val="none"/>
                <w:lang w:val="en-US" w:eastAsia="en-US"/>
              </w:rPr>
              <w:t>月</w:t>
            </w:r>
          </w:p>
        </w:tc>
        <w:tc>
          <w:tcPr>
            <w:tcW w:w="56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highlight w:val="none"/>
                <w:lang w:eastAsia="en-US"/>
              </w:rPr>
            </w:pPr>
            <w:r>
              <w:rPr>
                <w:rFonts w:hint="eastAsia" w:ascii="微软雅黑" w:hAnsi="微软雅黑" w:eastAsia="微软雅黑" w:cs="微软雅黑"/>
                <w:b/>
                <w:bCs w:val="0"/>
                <w:color w:val="auto"/>
                <w:kern w:val="2"/>
                <w:sz w:val="15"/>
                <w:szCs w:val="15"/>
                <w:highlight w:val="none"/>
                <w:lang w:eastAsia="en-US"/>
              </w:rPr>
              <w:t>竣工日期</w:t>
            </w:r>
          </w:p>
        </w:tc>
        <w:tc>
          <w:tcPr>
            <w:tcW w:w="69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highlight w:val="none"/>
                <w:lang w:eastAsia="en-US"/>
              </w:rPr>
            </w:pPr>
            <w:r>
              <w:rPr>
                <w:rFonts w:hint="eastAsia" w:ascii="微软雅黑" w:hAnsi="微软雅黑" w:eastAsia="微软雅黑" w:cs="微软雅黑"/>
                <w:b w:val="0"/>
                <w:bCs/>
                <w:color w:val="auto"/>
                <w:kern w:val="2"/>
                <w:sz w:val="15"/>
                <w:szCs w:val="15"/>
                <w:highlight w:val="none"/>
                <w:lang w:val="en-US" w:eastAsia="en-US"/>
              </w:rPr>
              <w:t>20</w:t>
            </w:r>
            <w:r>
              <w:rPr>
                <w:rFonts w:hint="eastAsia" w:ascii="微软雅黑" w:hAnsi="微软雅黑" w:eastAsia="微软雅黑" w:cs="微软雅黑"/>
                <w:b w:val="0"/>
                <w:bCs/>
                <w:color w:val="auto"/>
                <w:kern w:val="2"/>
                <w:sz w:val="15"/>
                <w:szCs w:val="15"/>
                <w:highlight w:val="none"/>
                <w:lang w:val="en-US" w:eastAsia="zh-CN"/>
              </w:rPr>
              <w:t>22</w:t>
            </w:r>
            <w:r>
              <w:rPr>
                <w:rFonts w:hint="eastAsia" w:ascii="微软雅黑" w:hAnsi="微软雅黑" w:eastAsia="微软雅黑" w:cs="微软雅黑"/>
                <w:b w:val="0"/>
                <w:bCs/>
                <w:color w:val="auto"/>
                <w:kern w:val="2"/>
                <w:sz w:val="15"/>
                <w:szCs w:val="15"/>
                <w:highlight w:val="none"/>
                <w:lang w:val="en-US" w:eastAsia="en-US"/>
              </w:rPr>
              <w:t>年1</w:t>
            </w:r>
            <w:r>
              <w:rPr>
                <w:rFonts w:hint="eastAsia" w:ascii="微软雅黑" w:hAnsi="微软雅黑" w:eastAsia="微软雅黑" w:cs="微软雅黑"/>
                <w:b w:val="0"/>
                <w:bCs/>
                <w:color w:val="auto"/>
                <w:kern w:val="2"/>
                <w:sz w:val="15"/>
                <w:szCs w:val="15"/>
                <w:highlight w:val="none"/>
                <w:lang w:val="en-US" w:eastAsia="zh-CN"/>
              </w:rPr>
              <w:t>2</w:t>
            </w:r>
            <w:r>
              <w:rPr>
                <w:rFonts w:hint="eastAsia" w:ascii="微软雅黑" w:hAnsi="微软雅黑" w:eastAsia="微软雅黑" w:cs="微软雅黑"/>
                <w:b w:val="0"/>
                <w:bCs/>
                <w:color w:val="auto"/>
                <w:kern w:val="2"/>
                <w:sz w:val="15"/>
                <w:szCs w:val="15"/>
                <w:highlight w:val="none"/>
                <w:lang w:val="en-US" w:eastAsia="en-US"/>
              </w:rPr>
              <w:t>月</w:t>
            </w:r>
          </w:p>
        </w:tc>
        <w:tc>
          <w:tcPr>
            <w:tcW w:w="5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highlight w:val="none"/>
                <w:lang w:eastAsia="en-US"/>
              </w:rPr>
            </w:pPr>
            <w:r>
              <w:rPr>
                <w:rFonts w:hint="eastAsia" w:ascii="微软雅黑" w:hAnsi="微软雅黑" w:eastAsia="微软雅黑" w:cs="微软雅黑"/>
                <w:b/>
                <w:bCs w:val="0"/>
                <w:color w:val="auto"/>
                <w:kern w:val="2"/>
                <w:sz w:val="15"/>
                <w:szCs w:val="15"/>
                <w:highlight w:val="none"/>
                <w:lang w:eastAsia="en-US"/>
              </w:rPr>
              <w:t>排污许</w:t>
            </w:r>
            <w:r>
              <w:rPr>
                <w:rFonts w:hint="eastAsia" w:ascii="微软雅黑" w:hAnsi="微软雅黑" w:eastAsia="微软雅黑" w:cs="微软雅黑"/>
                <w:b/>
                <w:bCs w:val="0"/>
                <w:color w:val="auto"/>
                <w:kern w:val="2"/>
                <w:sz w:val="15"/>
                <w:szCs w:val="15"/>
                <w:highlight w:val="none"/>
                <w:lang w:val="en-US" w:eastAsia="zh-CN"/>
              </w:rPr>
              <w:t>登记</w:t>
            </w:r>
            <w:r>
              <w:rPr>
                <w:rFonts w:hint="eastAsia" w:ascii="微软雅黑" w:hAnsi="微软雅黑" w:eastAsia="微软雅黑" w:cs="微软雅黑"/>
                <w:b/>
                <w:bCs w:val="0"/>
                <w:color w:val="auto"/>
                <w:kern w:val="2"/>
                <w:sz w:val="15"/>
                <w:szCs w:val="15"/>
                <w:highlight w:val="none"/>
                <w:lang w:eastAsia="en-US"/>
              </w:rPr>
              <w:t>时间</w:t>
            </w:r>
          </w:p>
        </w:tc>
        <w:tc>
          <w:tcPr>
            <w:tcW w:w="813"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highlight w:val="none"/>
                <w:lang w:val="en-US" w:eastAsia="zh-CN"/>
              </w:rPr>
            </w:pPr>
            <w:r>
              <w:rPr>
                <w:rFonts w:hint="default" w:ascii="微软雅黑" w:hAnsi="微软雅黑" w:eastAsia="微软雅黑" w:cs="微软雅黑"/>
                <w:b w:val="0"/>
                <w:bCs/>
                <w:color w:val="auto"/>
                <w:kern w:val="2"/>
                <w:sz w:val="15"/>
                <w:szCs w:val="15"/>
                <w:highlight w:val="none"/>
                <w:lang w:val="en-US" w:eastAsia="zh-CN"/>
              </w:rPr>
              <w:t>202</w:t>
            </w:r>
            <w:r>
              <w:rPr>
                <w:rFonts w:hint="eastAsia" w:ascii="微软雅黑" w:hAnsi="微软雅黑" w:eastAsia="微软雅黑" w:cs="微软雅黑"/>
                <w:b w:val="0"/>
                <w:bCs/>
                <w:color w:val="auto"/>
                <w:kern w:val="2"/>
                <w:sz w:val="15"/>
                <w:szCs w:val="15"/>
                <w:highlight w:val="none"/>
                <w:lang w:val="en-US" w:eastAsia="zh-CN"/>
              </w:rPr>
              <w:t>3</w:t>
            </w:r>
            <w:r>
              <w:rPr>
                <w:rFonts w:hint="default" w:ascii="微软雅黑" w:hAnsi="微软雅黑" w:eastAsia="微软雅黑" w:cs="微软雅黑"/>
                <w:b w:val="0"/>
                <w:bCs/>
                <w:color w:val="auto"/>
                <w:kern w:val="2"/>
                <w:sz w:val="15"/>
                <w:szCs w:val="15"/>
                <w:highlight w:val="none"/>
                <w:lang w:val="en-US" w:eastAsia="zh-CN"/>
              </w:rPr>
              <w:t>年</w:t>
            </w:r>
            <w:r>
              <w:rPr>
                <w:rFonts w:hint="eastAsia" w:ascii="微软雅黑" w:hAnsi="微软雅黑" w:eastAsia="微软雅黑" w:cs="微软雅黑"/>
                <w:b w:val="0"/>
                <w:bCs/>
                <w:color w:val="auto"/>
                <w:kern w:val="2"/>
                <w:sz w:val="15"/>
                <w:szCs w:val="15"/>
                <w:highlight w:val="none"/>
                <w:lang w:val="en-US" w:eastAsia="zh-CN"/>
              </w:rPr>
              <w:t>1</w:t>
            </w:r>
            <w:r>
              <w:rPr>
                <w:rFonts w:hint="default" w:ascii="微软雅黑" w:hAnsi="微软雅黑" w:eastAsia="微软雅黑" w:cs="微软雅黑"/>
                <w:b w:val="0"/>
                <w:bCs/>
                <w:color w:val="auto"/>
                <w:kern w:val="2"/>
                <w:sz w:val="15"/>
                <w:szCs w:val="15"/>
                <w:highlight w:val="none"/>
                <w:lang w:val="en-US" w:eastAsia="zh-CN"/>
              </w:rPr>
              <w:t>月</w:t>
            </w:r>
            <w:r>
              <w:rPr>
                <w:rFonts w:hint="eastAsia" w:ascii="微软雅黑" w:hAnsi="微软雅黑" w:eastAsia="微软雅黑" w:cs="微软雅黑"/>
                <w:b w:val="0"/>
                <w:bCs/>
                <w:color w:val="auto"/>
                <w:kern w:val="2"/>
                <w:sz w:val="15"/>
                <w:szCs w:val="15"/>
                <w:highlight w:val="none"/>
                <w:lang w:val="en-US" w:eastAsia="zh-CN"/>
              </w:rPr>
              <w:t>15</w:t>
            </w:r>
            <w:r>
              <w:rPr>
                <w:rFonts w:hint="default" w:ascii="微软雅黑" w:hAnsi="微软雅黑" w:eastAsia="微软雅黑" w:cs="微软雅黑"/>
                <w:b w:val="0"/>
                <w:bCs/>
                <w:color w:val="auto"/>
                <w:kern w:val="2"/>
                <w:sz w:val="15"/>
                <w:szCs w:val="15"/>
                <w:highlight w:val="none"/>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5"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auto"/>
                <w:kern w:val="2"/>
                <w:sz w:val="15"/>
                <w:szCs w:val="15"/>
                <w:lang w:eastAsia="en-US"/>
              </w:rPr>
            </w:pPr>
          </w:p>
        </w:tc>
        <w:tc>
          <w:tcPr>
            <w:tcW w:w="593"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highlight w:val="none"/>
                <w:lang w:eastAsia="en-US"/>
              </w:rPr>
            </w:pPr>
            <w:r>
              <w:rPr>
                <w:rFonts w:hint="eastAsia" w:ascii="微软雅黑" w:hAnsi="微软雅黑" w:eastAsia="微软雅黑" w:cs="微软雅黑"/>
                <w:b/>
                <w:bCs w:val="0"/>
                <w:color w:val="auto"/>
                <w:kern w:val="2"/>
                <w:sz w:val="15"/>
                <w:szCs w:val="15"/>
                <w:highlight w:val="none"/>
                <w:lang w:eastAsia="en-US"/>
              </w:rPr>
              <w:t>环保设施设计单位</w:t>
            </w:r>
          </w:p>
        </w:tc>
        <w:tc>
          <w:tcPr>
            <w:tcW w:w="1658"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0"/>
                <w:sz w:val="15"/>
                <w:szCs w:val="15"/>
                <w:highlight w:val="none"/>
                <w:lang w:val="en-US" w:eastAsia="zh-CN"/>
              </w:rPr>
            </w:pPr>
          </w:p>
        </w:tc>
        <w:tc>
          <w:tcPr>
            <w:tcW w:w="56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0"/>
                <w:sz w:val="15"/>
                <w:szCs w:val="15"/>
                <w:highlight w:val="none"/>
                <w:lang w:eastAsia="en-US"/>
              </w:rPr>
            </w:pPr>
            <w:r>
              <w:rPr>
                <w:rFonts w:hint="eastAsia" w:ascii="微软雅黑" w:hAnsi="微软雅黑" w:eastAsia="微软雅黑" w:cs="微软雅黑"/>
                <w:b/>
                <w:bCs w:val="0"/>
                <w:color w:val="auto"/>
                <w:kern w:val="0"/>
                <w:sz w:val="15"/>
                <w:szCs w:val="15"/>
                <w:highlight w:val="none"/>
                <w:lang w:eastAsia="en-US"/>
              </w:rPr>
              <w:t>环保设施施工单位</w:t>
            </w:r>
          </w:p>
        </w:tc>
        <w:tc>
          <w:tcPr>
            <w:tcW w:w="69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highlight w:val="none"/>
                <w:lang w:eastAsia="zh-CN"/>
              </w:rPr>
            </w:pPr>
          </w:p>
        </w:tc>
        <w:tc>
          <w:tcPr>
            <w:tcW w:w="5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highlight w:val="none"/>
                <w:lang w:eastAsia="en-US"/>
              </w:rPr>
            </w:pPr>
            <w:r>
              <w:rPr>
                <w:rFonts w:hint="eastAsia" w:ascii="微软雅黑" w:hAnsi="微软雅黑" w:eastAsia="微软雅黑" w:cs="微软雅黑"/>
                <w:b/>
                <w:bCs w:val="0"/>
                <w:color w:val="auto"/>
                <w:kern w:val="2"/>
                <w:sz w:val="15"/>
                <w:szCs w:val="15"/>
                <w:highlight w:val="none"/>
                <w:lang w:eastAsia="en-US"/>
              </w:rPr>
              <w:t>本工程排污许可证编号</w:t>
            </w:r>
          </w:p>
        </w:tc>
        <w:tc>
          <w:tcPr>
            <w:tcW w:w="813"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highlight w:val="none"/>
                <w:lang w:val="en-US" w:eastAsia="zh-CN"/>
              </w:rPr>
            </w:pPr>
            <w:r>
              <w:rPr>
                <w:rFonts w:hint="default" w:ascii="微软雅黑" w:hAnsi="微软雅黑" w:eastAsia="微软雅黑" w:cs="微软雅黑"/>
                <w:b w:val="0"/>
                <w:bCs/>
                <w:color w:val="auto"/>
                <w:kern w:val="2"/>
                <w:sz w:val="15"/>
                <w:szCs w:val="15"/>
                <w:highlight w:val="none"/>
                <w:lang w:val="en-US" w:eastAsia="zh-CN"/>
              </w:rPr>
              <w:t>91320582746242612B001W</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5"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auto"/>
                <w:kern w:val="2"/>
                <w:sz w:val="15"/>
                <w:szCs w:val="15"/>
                <w:lang w:eastAsia="en-US"/>
              </w:rPr>
            </w:pPr>
          </w:p>
        </w:tc>
        <w:tc>
          <w:tcPr>
            <w:tcW w:w="593"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highlight w:val="none"/>
                <w:lang w:eastAsia="en-US"/>
              </w:rPr>
              <w:t>验收单位</w:t>
            </w:r>
          </w:p>
        </w:tc>
        <w:tc>
          <w:tcPr>
            <w:tcW w:w="1658"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eastAsia="zh-CN"/>
              </w:rPr>
            </w:pPr>
            <w:r>
              <w:rPr>
                <w:rFonts w:hint="eastAsia" w:ascii="微软雅黑" w:hAnsi="微软雅黑" w:eastAsia="微软雅黑" w:cs="微软雅黑"/>
                <w:b w:val="0"/>
                <w:bCs/>
                <w:color w:val="auto"/>
                <w:kern w:val="2"/>
                <w:sz w:val="15"/>
                <w:szCs w:val="15"/>
                <w:lang w:val="en-US" w:eastAsia="zh-CN"/>
              </w:rPr>
              <w:t>张家港市骏马钢帘线有限公司</w:t>
            </w:r>
          </w:p>
        </w:tc>
        <w:tc>
          <w:tcPr>
            <w:tcW w:w="56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环保设施监测单位</w:t>
            </w:r>
          </w:p>
        </w:tc>
        <w:tc>
          <w:tcPr>
            <w:tcW w:w="69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120" w:leftChars="-50" w:right="-120" w:rightChars="-50" w:firstLine="0" w:firstLineChars="0"/>
              <w:jc w:val="center"/>
              <w:textAlignment w:val="auto"/>
              <w:rPr>
                <w:rFonts w:hint="eastAsia" w:ascii="微软雅黑" w:hAnsi="微软雅黑" w:eastAsia="微软雅黑" w:cs="微软雅黑"/>
                <w:b w:val="0"/>
                <w:bCs/>
                <w:color w:val="auto"/>
                <w:kern w:val="2"/>
                <w:sz w:val="15"/>
                <w:szCs w:val="15"/>
                <w:lang w:val="en-US" w:eastAsia="en-US"/>
              </w:rPr>
            </w:pPr>
            <w:r>
              <w:rPr>
                <w:rFonts w:hint="eastAsia" w:ascii="微软雅黑" w:hAnsi="微软雅黑" w:eastAsia="微软雅黑" w:cs="微软雅黑"/>
                <w:b w:val="0"/>
                <w:bCs/>
                <w:color w:val="auto"/>
                <w:kern w:val="2"/>
                <w:sz w:val="15"/>
                <w:szCs w:val="15"/>
                <w:lang w:val="en-US" w:eastAsia="zh-CN"/>
              </w:rPr>
              <w:t>江苏新锐环境监测有限公司</w:t>
            </w:r>
          </w:p>
        </w:tc>
        <w:tc>
          <w:tcPr>
            <w:tcW w:w="5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highlight w:val="none"/>
                <w:lang w:eastAsia="en-US"/>
              </w:rPr>
            </w:pPr>
            <w:r>
              <w:rPr>
                <w:rFonts w:hint="eastAsia" w:ascii="微软雅黑" w:hAnsi="微软雅黑" w:eastAsia="微软雅黑" w:cs="微软雅黑"/>
                <w:b/>
                <w:bCs w:val="0"/>
                <w:color w:val="auto"/>
                <w:kern w:val="2"/>
                <w:sz w:val="15"/>
                <w:szCs w:val="15"/>
                <w:highlight w:val="none"/>
                <w:lang w:eastAsia="en-US"/>
              </w:rPr>
              <w:t>验收监测时工况</w:t>
            </w:r>
          </w:p>
        </w:tc>
        <w:tc>
          <w:tcPr>
            <w:tcW w:w="813"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highlight w:val="none"/>
                <w:lang w:val="en-US" w:eastAsia="zh-CN"/>
              </w:rPr>
            </w:pPr>
            <w:r>
              <w:rPr>
                <w:rFonts w:hint="eastAsia" w:ascii="微软雅黑" w:hAnsi="微软雅黑" w:eastAsia="微软雅黑" w:cs="微软雅黑"/>
                <w:b w:val="0"/>
                <w:bCs/>
                <w:color w:val="auto"/>
                <w:kern w:val="2"/>
                <w:sz w:val="15"/>
                <w:szCs w:val="15"/>
                <w:highlight w:val="none"/>
                <w:lang w:val="en-US" w:eastAsia="zh-CN"/>
              </w:rPr>
              <w:t>94.4-101%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5"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auto"/>
                <w:kern w:val="2"/>
                <w:sz w:val="15"/>
                <w:szCs w:val="15"/>
                <w:lang w:eastAsia="en-US"/>
              </w:rPr>
            </w:pPr>
          </w:p>
        </w:tc>
        <w:tc>
          <w:tcPr>
            <w:tcW w:w="593"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投资总概算（万元）</w:t>
            </w:r>
          </w:p>
        </w:tc>
        <w:tc>
          <w:tcPr>
            <w:tcW w:w="1658"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rPr>
            </w:pPr>
            <w:r>
              <w:rPr>
                <w:rFonts w:hint="eastAsia" w:ascii="微软雅黑" w:hAnsi="微软雅黑" w:eastAsia="微软雅黑" w:cs="微软雅黑"/>
                <w:b w:val="0"/>
                <w:bCs/>
                <w:color w:val="auto"/>
                <w:kern w:val="2"/>
                <w:sz w:val="15"/>
                <w:szCs w:val="15"/>
                <w:lang w:val="en-US" w:eastAsia="zh-CN"/>
              </w:rPr>
              <w:t>2097</w:t>
            </w:r>
          </w:p>
        </w:tc>
        <w:tc>
          <w:tcPr>
            <w:tcW w:w="565" w:type="pct"/>
            <w:gridSpan w:val="2"/>
            <w:noWrap w:val="0"/>
            <w:tcMar>
              <w:left w:w="57" w:type="dxa"/>
              <w:right w:w="57" w:type="dxa"/>
            </w:tcMar>
            <w:vAlign w:val="center"/>
          </w:tcPr>
          <w:p>
            <w:pPr>
              <w:keepNext w:val="0"/>
              <w:keepLines w:val="0"/>
              <w:pageBreakBefore w:val="0"/>
              <w:widowControl w:val="0"/>
              <w:tabs>
                <w:tab w:val="left" w:pos="690"/>
              </w:tabs>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环保投资总概算（万元）</w:t>
            </w:r>
          </w:p>
        </w:tc>
        <w:tc>
          <w:tcPr>
            <w:tcW w:w="69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rPr>
            </w:pPr>
            <w:r>
              <w:rPr>
                <w:rFonts w:hint="eastAsia" w:ascii="微软雅黑" w:hAnsi="微软雅黑" w:eastAsia="微软雅黑" w:cs="微软雅黑"/>
                <w:b w:val="0"/>
                <w:bCs/>
                <w:color w:val="auto"/>
                <w:kern w:val="2"/>
                <w:sz w:val="15"/>
                <w:szCs w:val="15"/>
                <w:lang w:val="en-US" w:eastAsia="zh-CN"/>
              </w:rPr>
              <w:t>297</w:t>
            </w:r>
          </w:p>
        </w:tc>
        <w:tc>
          <w:tcPr>
            <w:tcW w:w="538" w:type="pct"/>
            <w:gridSpan w:val="2"/>
            <w:noWrap w:val="0"/>
            <w:tcMar>
              <w:left w:w="57" w:type="dxa"/>
              <w:right w:w="57" w:type="dxa"/>
            </w:tcMar>
            <w:vAlign w:val="center"/>
          </w:tcPr>
          <w:p>
            <w:pPr>
              <w:keepNext w:val="0"/>
              <w:keepLines w:val="0"/>
              <w:pageBreakBefore w:val="0"/>
              <w:widowControl w:val="0"/>
              <w:tabs>
                <w:tab w:val="left" w:pos="690"/>
              </w:tabs>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所占比例（%）</w:t>
            </w:r>
          </w:p>
        </w:tc>
        <w:tc>
          <w:tcPr>
            <w:tcW w:w="813" w:type="pct"/>
            <w:gridSpan w:val="4"/>
            <w:noWrap w:val="0"/>
            <w:tcMar>
              <w:left w:w="57" w:type="dxa"/>
              <w:right w:w="57" w:type="dxa"/>
            </w:tcMar>
            <w:vAlign w:val="center"/>
          </w:tcPr>
          <w:p>
            <w:pPr>
              <w:keepNext w:val="0"/>
              <w:keepLines w:val="0"/>
              <w:pageBreakBefore w:val="0"/>
              <w:widowControl w:val="0"/>
              <w:tabs>
                <w:tab w:val="left" w:pos="690"/>
              </w:tabs>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rPr>
            </w:pPr>
            <w:r>
              <w:rPr>
                <w:rFonts w:hint="eastAsia" w:ascii="微软雅黑" w:hAnsi="微软雅黑" w:eastAsia="微软雅黑" w:cs="微软雅黑"/>
                <w:b w:val="0"/>
                <w:bCs/>
                <w:color w:val="auto"/>
                <w:kern w:val="2"/>
                <w:sz w:val="15"/>
                <w:szCs w:val="15"/>
                <w:lang w:val="en-US" w:eastAsia="zh-CN"/>
              </w:rPr>
              <w:t>14.2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135"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auto"/>
                <w:kern w:val="2"/>
                <w:sz w:val="15"/>
                <w:szCs w:val="15"/>
                <w:lang w:eastAsia="en-US"/>
              </w:rPr>
            </w:pPr>
          </w:p>
        </w:tc>
        <w:tc>
          <w:tcPr>
            <w:tcW w:w="593"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实际总投资</w:t>
            </w:r>
          </w:p>
        </w:tc>
        <w:tc>
          <w:tcPr>
            <w:tcW w:w="1658"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rPr>
            </w:pPr>
            <w:r>
              <w:rPr>
                <w:rFonts w:hint="eastAsia" w:ascii="微软雅黑" w:hAnsi="微软雅黑" w:eastAsia="微软雅黑" w:cs="微软雅黑"/>
                <w:b w:val="0"/>
                <w:bCs/>
                <w:color w:val="auto"/>
                <w:kern w:val="2"/>
                <w:sz w:val="15"/>
                <w:szCs w:val="15"/>
                <w:lang w:val="en-US" w:eastAsia="zh-CN"/>
              </w:rPr>
              <w:t>2097</w:t>
            </w:r>
          </w:p>
        </w:tc>
        <w:tc>
          <w:tcPr>
            <w:tcW w:w="56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300"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实际环保投资（万元）</w:t>
            </w:r>
          </w:p>
        </w:tc>
        <w:tc>
          <w:tcPr>
            <w:tcW w:w="69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rPr>
            </w:pPr>
            <w:r>
              <w:rPr>
                <w:rFonts w:hint="eastAsia" w:ascii="微软雅黑" w:hAnsi="微软雅黑" w:eastAsia="微软雅黑" w:cs="微软雅黑"/>
                <w:b w:val="0"/>
                <w:bCs/>
                <w:color w:val="auto"/>
                <w:kern w:val="2"/>
                <w:sz w:val="15"/>
                <w:szCs w:val="15"/>
                <w:lang w:val="en-US" w:eastAsia="zh-CN"/>
              </w:rPr>
              <w:t>297</w:t>
            </w:r>
          </w:p>
        </w:tc>
        <w:tc>
          <w:tcPr>
            <w:tcW w:w="5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所占比例（%）</w:t>
            </w:r>
          </w:p>
        </w:tc>
        <w:tc>
          <w:tcPr>
            <w:tcW w:w="813"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rPr>
            </w:pPr>
            <w:r>
              <w:rPr>
                <w:rFonts w:hint="eastAsia" w:ascii="微软雅黑" w:hAnsi="微软雅黑" w:eastAsia="微软雅黑" w:cs="微软雅黑"/>
                <w:b w:val="0"/>
                <w:bCs/>
                <w:color w:val="auto"/>
                <w:kern w:val="2"/>
                <w:sz w:val="15"/>
                <w:szCs w:val="15"/>
                <w:lang w:val="en-US" w:eastAsia="zh-CN"/>
              </w:rPr>
              <w:t>14.2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135"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auto"/>
                <w:kern w:val="2"/>
                <w:sz w:val="15"/>
                <w:szCs w:val="15"/>
                <w:lang w:eastAsia="en-US"/>
              </w:rPr>
            </w:pPr>
          </w:p>
        </w:tc>
        <w:tc>
          <w:tcPr>
            <w:tcW w:w="593"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highlight w:val="none"/>
                <w:lang w:eastAsia="en-US"/>
              </w:rPr>
            </w:pPr>
            <w:r>
              <w:rPr>
                <w:rFonts w:hint="eastAsia" w:ascii="微软雅黑" w:hAnsi="微软雅黑" w:eastAsia="微软雅黑" w:cs="微软雅黑"/>
                <w:b/>
                <w:bCs w:val="0"/>
                <w:color w:val="auto"/>
                <w:kern w:val="2"/>
                <w:sz w:val="15"/>
                <w:szCs w:val="15"/>
                <w:highlight w:val="none"/>
                <w:lang w:eastAsia="en-US"/>
              </w:rPr>
              <w:t>废水治理（万元）</w:t>
            </w:r>
          </w:p>
        </w:tc>
        <w:tc>
          <w:tcPr>
            <w:tcW w:w="23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highlight w:val="none"/>
                <w:lang w:val="en-US" w:eastAsia="zh-CN"/>
              </w:rPr>
            </w:pPr>
            <w:r>
              <w:rPr>
                <w:rFonts w:hint="eastAsia" w:ascii="微软雅黑" w:hAnsi="微软雅黑" w:eastAsia="微软雅黑" w:cs="微软雅黑"/>
                <w:b w:val="0"/>
                <w:bCs/>
                <w:color w:val="auto"/>
                <w:kern w:val="2"/>
                <w:sz w:val="15"/>
                <w:szCs w:val="15"/>
                <w:highlight w:val="none"/>
                <w:lang w:val="en-US" w:eastAsia="zh-CN"/>
              </w:rPr>
              <w:t>90</w:t>
            </w:r>
          </w:p>
        </w:tc>
        <w:tc>
          <w:tcPr>
            <w:tcW w:w="414"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highlight w:val="none"/>
                <w:lang w:eastAsia="en-US"/>
              </w:rPr>
            </w:pPr>
            <w:r>
              <w:rPr>
                <w:rFonts w:hint="eastAsia" w:ascii="微软雅黑" w:hAnsi="微软雅黑" w:eastAsia="微软雅黑" w:cs="微软雅黑"/>
                <w:b/>
                <w:bCs w:val="0"/>
                <w:color w:val="auto"/>
                <w:kern w:val="2"/>
                <w:sz w:val="15"/>
                <w:szCs w:val="15"/>
                <w:highlight w:val="none"/>
                <w:lang w:eastAsia="en-US"/>
              </w:rPr>
              <w:t>废气治理</w:t>
            </w:r>
          </w:p>
        </w:tc>
        <w:tc>
          <w:tcPr>
            <w:tcW w:w="346"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highlight w:val="none"/>
                <w:lang w:val="en-US" w:eastAsia="zh-CN"/>
              </w:rPr>
            </w:pPr>
            <w:r>
              <w:rPr>
                <w:rFonts w:hint="eastAsia" w:ascii="微软雅黑" w:hAnsi="微软雅黑" w:eastAsia="微软雅黑" w:cs="微软雅黑"/>
                <w:b w:val="0"/>
                <w:bCs/>
                <w:color w:val="auto"/>
                <w:kern w:val="2"/>
                <w:sz w:val="15"/>
                <w:szCs w:val="15"/>
                <w:highlight w:val="none"/>
                <w:lang w:val="en-US" w:eastAsia="zh-CN"/>
              </w:rPr>
              <w:t>76</w:t>
            </w:r>
          </w:p>
        </w:tc>
        <w:tc>
          <w:tcPr>
            <w:tcW w:w="457"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highlight w:val="none"/>
                <w:lang w:eastAsia="en-US"/>
              </w:rPr>
            </w:pPr>
            <w:r>
              <w:rPr>
                <w:rFonts w:hint="eastAsia" w:ascii="微软雅黑" w:hAnsi="微软雅黑" w:eastAsia="微软雅黑" w:cs="微软雅黑"/>
                <w:b/>
                <w:bCs w:val="0"/>
                <w:color w:val="auto"/>
                <w:kern w:val="2"/>
                <w:sz w:val="15"/>
                <w:szCs w:val="15"/>
                <w:highlight w:val="none"/>
                <w:lang w:eastAsia="en-US"/>
              </w:rPr>
              <w:t>噪声治理</w:t>
            </w:r>
          </w:p>
        </w:tc>
        <w:tc>
          <w:tcPr>
            <w:tcW w:w="206"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highlight w:val="none"/>
                <w:lang w:val="en-US" w:eastAsia="zh-CN"/>
              </w:rPr>
            </w:pPr>
            <w:r>
              <w:rPr>
                <w:rFonts w:hint="eastAsia" w:ascii="微软雅黑" w:hAnsi="微软雅黑" w:eastAsia="微软雅黑" w:cs="微软雅黑"/>
                <w:b w:val="0"/>
                <w:bCs/>
                <w:color w:val="auto"/>
                <w:kern w:val="2"/>
                <w:sz w:val="15"/>
                <w:szCs w:val="15"/>
                <w:highlight w:val="none"/>
                <w:lang w:val="en-US" w:eastAsia="zh-CN"/>
              </w:rPr>
              <w:t>20</w:t>
            </w:r>
          </w:p>
        </w:tc>
        <w:tc>
          <w:tcPr>
            <w:tcW w:w="56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highlight w:val="none"/>
                <w:lang w:eastAsia="en-US"/>
              </w:rPr>
            </w:pPr>
            <w:r>
              <w:rPr>
                <w:rFonts w:hint="eastAsia" w:ascii="微软雅黑" w:hAnsi="微软雅黑" w:eastAsia="微软雅黑" w:cs="微软雅黑"/>
                <w:b/>
                <w:bCs w:val="0"/>
                <w:color w:val="auto"/>
                <w:kern w:val="2"/>
                <w:sz w:val="15"/>
                <w:szCs w:val="15"/>
                <w:highlight w:val="none"/>
                <w:lang w:eastAsia="en-US"/>
              </w:rPr>
              <w:t>固体废物治理</w:t>
            </w:r>
          </w:p>
        </w:tc>
        <w:tc>
          <w:tcPr>
            <w:tcW w:w="69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highlight w:val="none"/>
                <w:lang w:val="en-US" w:eastAsia="zh-CN"/>
              </w:rPr>
            </w:pPr>
            <w:r>
              <w:rPr>
                <w:rFonts w:hint="eastAsia" w:ascii="微软雅黑" w:hAnsi="微软雅黑" w:eastAsia="微软雅黑" w:cs="微软雅黑"/>
                <w:b w:val="0"/>
                <w:bCs/>
                <w:color w:val="auto"/>
                <w:kern w:val="2"/>
                <w:sz w:val="15"/>
                <w:szCs w:val="15"/>
                <w:highlight w:val="none"/>
                <w:lang w:val="en-US" w:eastAsia="zh-CN"/>
              </w:rPr>
              <w:t>60</w:t>
            </w:r>
          </w:p>
        </w:tc>
        <w:tc>
          <w:tcPr>
            <w:tcW w:w="5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highlight w:val="none"/>
                <w:lang w:eastAsia="en-US"/>
              </w:rPr>
            </w:pPr>
            <w:r>
              <w:rPr>
                <w:rFonts w:hint="eastAsia" w:ascii="微软雅黑" w:hAnsi="微软雅黑" w:eastAsia="微软雅黑" w:cs="微软雅黑"/>
                <w:b/>
                <w:bCs w:val="0"/>
                <w:color w:val="auto"/>
                <w:kern w:val="2"/>
                <w:sz w:val="15"/>
                <w:szCs w:val="15"/>
                <w:highlight w:val="none"/>
                <w:lang w:eastAsia="en-US"/>
              </w:rPr>
              <w:t>绿化及生态</w:t>
            </w:r>
          </w:p>
        </w:tc>
        <w:tc>
          <w:tcPr>
            <w:tcW w:w="240"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highlight w:val="none"/>
                <w:lang w:val="en-US" w:eastAsia="zh-CN"/>
              </w:rPr>
            </w:pPr>
            <w:r>
              <w:rPr>
                <w:rFonts w:hint="eastAsia" w:ascii="微软雅黑" w:hAnsi="微软雅黑" w:eastAsia="微软雅黑" w:cs="微软雅黑"/>
                <w:b w:val="0"/>
                <w:bCs/>
                <w:color w:val="auto"/>
                <w:kern w:val="2"/>
                <w:sz w:val="15"/>
                <w:szCs w:val="15"/>
                <w:highlight w:val="none"/>
                <w:lang w:val="en-US" w:eastAsia="zh-CN"/>
              </w:rPr>
              <w:t>15</w:t>
            </w:r>
          </w:p>
        </w:tc>
        <w:tc>
          <w:tcPr>
            <w:tcW w:w="207"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highlight w:val="none"/>
                <w:lang w:eastAsia="en-US"/>
              </w:rPr>
            </w:pPr>
            <w:r>
              <w:rPr>
                <w:rFonts w:hint="eastAsia" w:ascii="微软雅黑" w:hAnsi="微软雅黑" w:eastAsia="微软雅黑" w:cs="微软雅黑"/>
                <w:b/>
                <w:bCs w:val="0"/>
                <w:color w:val="auto"/>
                <w:kern w:val="2"/>
                <w:sz w:val="15"/>
                <w:szCs w:val="15"/>
                <w:highlight w:val="none"/>
                <w:lang w:eastAsia="en-US"/>
              </w:rPr>
              <w:t>其他</w:t>
            </w:r>
          </w:p>
        </w:tc>
        <w:tc>
          <w:tcPr>
            <w:tcW w:w="366"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highlight w:val="none"/>
                <w:lang w:val="en-US" w:eastAsia="zh-CN"/>
              </w:rPr>
            </w:pPr>
            <w:r>
              <w:rPr>
                <w:rFonts w:hint="eastAsia" w:ascii="微软雅黑" w:hAnsi="微软雅黑" w:eastAsia="微软雅黑" w:cs="微软雅黑"/>
                <w:b w:val="0"/>
                <w:bCs/>
                <w:color w:val="auto"/>
                <w:kern w:val="2"/>
                <w:sz w:val="15"/>
                <w:szCs w:val="15"/>
                <w:highlight w:val="none"/>
                <w:lang w:val="en-US" w:eastAsia="zh-CN"/>
              </w:rPr>
              <w:t>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5"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auto"/>
                <w:kern w:val="2"/>
                <w:sz w:val="15"/>
                <w:szCs w:val="15"/>
                <w:lang w:eastAsia="en-US"/>
              </w:rPr>
            </w:pPr>
          </w:p>
        </w:tc>
        <w:tc>
          <w:tcPr>
            <w:tcW w:w="593"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新增废水处理设施能力</w:t>
            </w:r>
          </w:p>
        </w:tc>
        <w:tc>
          <w:tcPr>
            <w:tcW w:w="1658"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eastAsia="zh-CN"/>
              </w:rPr>
            </w:pPr>
            <w:r>
              <w:rPr>
                <w:rFonts w:hint="eastAsia" w:ascii="微软雅黑" w:hAnsi="微软雅黑" w:eastAsia="微软雅黑" w:cs="微软雅黑"/>
                <w:b w:val="0"/>
                <w:bCs/>
                <w:color w:val="auto"/>
                <w:kern w:val="2"/>
                <w:sz w:val="15"/>
                <w:szCs w:val="15"/>
                <w:lang w:eastAsia="zh-CN"/>
              </w:rPr>
              <w:t>无</w:t>
            </w:r>
          </w:p>
        </w:tc>
        <w:tc>
          <w:tcPr>
            <w:tcW w:w="56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新增废气处理设施能力</w:t>
            </w:r>
          </w:p>
        </w:tc>
        <w:tc>
          <w:tcPr>
            <w:tcW w:w="69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r>
              <w:rPr>
                <w:rFonts w:hint="eastAsia" w:ascii="微软雅黑" w:hAnsi="微软雅黑" w:eastAsia="微软雅黑" w:cs="微软雅黑"/>
                <w:b w:val="0"/>
                <w:bCs/>
                <w:color w:val="auto"/>
                <w:kern w:val="2"/>
                <w:sz w:val="15"/>
                <w:szCs w:val="15"/>
                <w:lang w:val="en-US" w:eastAsia="zh-CN"/>
              </w:rPr>
              <w:t>/</w:t>
            </w:r>
          </w:p>
        </w:tc>
        <w:tc>
          <w:tcPr>
            <w:tcW w:w="5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年平均工作时</w:t>
            </w:r>
          </w:p>
        </w:tc>
        <w:tc>
          <w:tcPr>
            <w:tcW w:w="813"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rPr>
            </w:pPr>
            <w:r>
              <w:rPr>
                <w:rFonts w:hint="eastAsia" w:ascii="微软雅黑" w:hAnsi="微软雅黑" w:eastAsia="微软雅黑" w:cs="微软雅黑"/>
                <w:b w:val="0"/>
                <w:bCs/>
                <w:color w:val="auto"/>
                <w:kern w:val="2"/>
                <w:sz w:val="15"/>
                <w:szCs w:val="15"/>
                <w:lang w:val="en-US" w:eastAsia="zh-CN"/>
              </w:rPr>
              <w:t>7290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29" w:type="pct"/>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highlight w:val="none"/>
                <w:lang w:eastAsia="en-US"/>
              </w:rPr>
            </w:pPr>
            <w:r>
              <w:rPr>
                <w:rFonts w:hint="eastAsia" w:ascii="微软雅黑" w:hAnsi="微软雅黑" w:eastAsia="微软雅黑" w:cs="微软雅黑"/>
                <w:b/>
                <w:bCs w:val="0"/>
                <w:color w:val="auto"/>
                <w:kern w:val="2"/>
                <w:sz w:val="15"/>
                <w:szCs w:val="15"/>
                <w:highlight w:val="none"/>
                <w:lang w:eastAsia="en-US"/>
              </w:rPr>
              <w:t>运营单位</w:t>
            </w:r>
          </w:p>
        </w:tc>
        <w:tc>
          <w:tcPr>
            <w:tcW w:w="994"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highlight w:val="none"/>
                <w:lang w:eastAsia="zh-CN"/>
              </w:rPr>
            </w:pPr>
            <w:r>
              <w:rPr>
                <w:rFonts w:hint="eastAsia" w:ascii="微软雅黑" w:hAnsi="微软雅黑" w:eastAsia="微软雅黑" w:cs="微软雅黑"/>
                <w:b w:val="0"/>
                <w:bCs/>
                <w:color w:val="auto"/>
                <w:kern w:val="2"/>
                <w:sz w:val="15"/>
                <w:szCs w:val="15"/>
                <w:lang w:val="en-US" w:eastAsia="zh-CN"/>
              </w:rPr>
              <w:t>张家港市骏马钢帘线有限公司</w:t>
            </w:r>
          </w:p>
        </w:tc>
        <w:tc>
          <w:tcPr>
            <w:tcW w:w="1228" w:type="pct"/>
            <w:gridSpan w:val="5"/>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highlight w:val="none"/>
                <w:lang w:eastAsia="en-US"/>
              </w:rPr>
            </w:pPr>
            <w:r>
              <w:rPr>
                <w:rFonts w:hint="eastAsia" w:ascii="微软雅黑" w:hAnsi="微软雅黑" w:eastAsia="微软雅黑" w:cs="微软雅黑"/>
                <w:b/>
                <w:bCs w:val="0"/>
                <w:color w:val="auto"/>
                <w:kern w:val="2"/>
                <w:sz w:val="15"/>
                <w:szCs w:val="15"/>
                <w:highlight w:val="none"/>
                <w:lang w:eastAsia="en-US"/>
              </w:rPr>
              <w:t>运营单位社会统一信用代码（或组织机构代码）</w:t>
            </w:r>
          </w:p>
        </w:tc>
        <w:tc>
          <w:tcPr>
            <w:tcW w:w="69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highlight w:val="yellow"/>
                <w:lang w:val="en-US" w:eastAsia="zh-CN"/>
              </w:rPr>
            </w:pPr>
          </w:p>
        </w:tc>
        <w:tc>
          <w:tcPr>
            <w:tcW w:w="5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highlight w:val="yellow"/>
                <w:lang w:eastAsia="en-US"/>
              </w:rPr>
            </w:pPr>
            <w:r>
              <w:rPr>
                <w:rFonts w:hint="eastAsia" w:ascii="微软雅黑" w:hAnsi="微软雅黑" w:eastAsia="微软雅黑" w:cs="微软雅黑"/>
                <w:b/>
                <w:bCs w:val="0"/>
                <w:color w:val="auto"/>
                <w:kern w:val="2"/>
                <w:sz w:val="15"/>
                <w:szCs w:val="15"/>
                <w:highlight w:val="none"/>
                <w:lang w:eastAsia="en-US"/>
              </w:rPr>
              <w:t>验收时间</w:t>
            </w:r>
          </w:p>
        </w:tc>
        <w:tc>
          <w:tcPr>
            <w:tcW w:w="813"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rPr>
            </w:pPr>
            <w:r>
              <w:rPr>
                <w:rFonts w:hint="eastAsia" w:ascii="微软雅黑" w:hAnsi="微软雅黑" w:eastAsia="微软雅黑" w:cs="微软雅黑"/>
                <w:b w:val="0"/>
                <w:bCs/>
                <w:color w:val="auto"/>
                <w:kern w:val="2"/>
                <w:sz w:val="15"/>
                <w:szCs w:val="15"/>
                <w:lang w:val="en-US" w:eastAsia="zh-CN"/>
              </w:rPr>
              <w:t>2023.7.15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19" w:hRule="atLeast"/>
          <w:jc w:val="center"/>
        </w:trPr>
        <w:tc>
          <w:tcPr>
            <w:tcW w:w="294" w:type="pct"/>
            <w:gridSpan w:val="2"/>
            <w:vMerge w:val="restar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spacing w:val="20"/>
                <w:kern w:val="2"/>
                <w:sz w:val="15"/>
                <w:szCs w:val="15"/>
                <w:lang w:eastAsia="en-US"/>
              </w:rPr>
            </w:pPr>
            <w:r>
              <w:rPr>
                <w:rFonts w:hint="eastAsia" w:ascii="微软雅黑" w:hAnsi="微软雅黑" w:eastAsia="微软雅黑" w:cs="微软雅黑"/>
                <w:b/>
                <w:bCs w:val="0"/>
                <w:color w:val="auto"/>
                <w:spacing w:val="20"/>
                <w:kern w:val="2"/>
                <w:sz w:val="15"/>
                <w:szCs w:val="15"/>
                <w:lang w:eastAsia="en-US"/>
              </w:rPr>
              <w:t>污染</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spacing w:val="20"/>
                <w:kern w:val="2"/>
                <w:sz w:val="15"/>
                <w:szCs w:val="15"/>
                <w:lang w:eastAsia="en-US"/>
              </w:rPr>
            </w:pPr>
            <w:r>
              <w:rPr>
                <w:rFonts w:hint="eastAsia" w:ascii="微软雅黑" w:hAnsi="微软雅黑" w:eastAsia="微软雅黑" w:cs="微软雅黑"/>
                <w:b/>
                <w:bCs w:val="0"/>
                <w:color w:val="auto"/>
                <w:spacing w:val="20"/>
                <w:kern w:val="2"/>
                <w:sz w:val="15"/>
                <w:szCs w:val="15"/>
                <w:lang w:eastAsia="en-US"/>
              </w:rPr>
              <w:t>物排</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spacing w:val="20"/>
                <w:kern w:val="2"/>
                <w:sz w:val="15"/>
                <w:szCs w:val="15"/>
                <w:lang w:eastAsia="en-US"/>
              </w:rPr>
            </w:pPr>
            <w:r>
              <w:rPr>
                <w:rFonts w:hint="eastAsia" w:ascii="微软雅黑" w:hAnsi="微软雅黑" w:eastAsia="微软雅黑" w:cs="微软雅黑"/>
                <w:b/>
                <w:bCs w:val="0"/>
                <w:color w:val="auto"/>
                <w:spacing w:val="20"/>
                <w:kern w:val="2"/>
                <w:sz w:val="15"/>
                <w:szCs w:val="15"/>
                <w:lang w:eastAsia="en-US"/>
              </w:rPr>
              <w:t>放达</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spacing w:val="20"/>
                <w:kern w:val="2"/>
                <w:sz w:val="15"/>
                <w:szCs w:val="15"/>
                <w:lang w:eastAsia="en-US"/>
              </w:rPr>
            </w:pPr>
            <w:r>
              <w:rPr>
                <w:rFonts w:hint="eastAsia" w:ascii="微软雅黑" w:hAnsi="微软雅黑" w:eastAsia="微软雅黑" w:cs="微软雅黑"/>
                <w:b/>
                <w:bCs w:val="0"/>
                <w:color w:val="auto"/>
                <w:spacing w:val="20"/>
                <w:kern w:val="2"/>
                <w:sz w:val="15"/>
                <w:szCs w:val="15"/>
                <w:lang w:eastAsia="en-US"/>
              </w:rPr>
              <w:t>标与</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spacing w:val="20"/>
                <w:kern w:val="2"/>
                <w:sz w:val="15"/>
                <w:szCs w:val="15"/>
                <w:lang w:eastAsia="en-US"/>
              </w:rPr>
            </w:pPr>
            <w:r>
              <w:rPr>
                <w:rFonts w:hint="eastAsia" w:ascii="微软雅黑" w:hAnsi="微软雅黑" w:eastAsia="微软雅黑" w:cs="微软雅黑"/>
                <w:b/>
                <w:bCs w:val="0"/>
                <w:color w:val="auto"/>
                <w:spacing w:val="20"/>
                <w:kern w:val="2"/>
                <w:sz w:val="15"/>
                <w:szCs w:val="15"/>
                <w:lang w:eastAsia="en-US"/>
              </w:rPr>
              <w:t>总量</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spacing w:val="20"/>
                <w:kern w:val="2"/>
                <w:sz w:val="15"/>
                <w:szCs w:val="15"/>
                <w:lang w:eastAsia="en-US"/>
              </w:rPr>
            </w:pPr>
            <w:r>
              <w:rPr>
                <w:rFonts w:hint="eastAsia" w:ascii="微软雅黑" w:hAnsi="微软雅黑" w:eastAsia="微软雅黑" w:cs="微软雅黑"/>
                <w:b/>
                <w:bCs w:val="0"/>
                <w:color w:val="auto"/>
                <w:spacing w:val="20"/>
                <w:kern w:val="2"/>
                <w:sz w:val="15"/>
                <w:szCs w:val="15"/>
                <w:lang w:eastAsia="en-US"/>
              </w:rPr>
              <w:t>控制（工</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spacing w:val="20"/>
                <w:kern w:val="2"/>
                <w:sz w:val="15"/>
                <w:szCs w:val="15"/>
                <w:lang w:eastAsia="en-US"/>
              </w:rPr>
            </w:pPr>
            <w:r>
              <w:rPr>
                <w:rFonts w:hint="eastAsia" w:ascii="微软雅黑" w:hAnsi="微软雅黑" w:eastAsia="微软雅黑" w:cs="微软雅黑"/>
                <w:b/>
                <w:bCs w:val="0"/>
                <w:color w:val="auto"/>
                <w:spacing w:val="20"/>
                <w:kern w:val="2"/>
                <w:sz w:val="15"/>
                <w:szCs w:val="15"/>
                <w:lang w:eastAsia="en-US"/>
              </w:rPr>
              <w:t>业建</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spacing w:val="20"/>
                <w:kern w:val="2"/>
                <w:sz w:val="15"/>
                <w:szCs w:val="15"/>
                <w:lang w:eastAsia="en-US"/>
              </w:rPr>
            </w:pPr>
            <w:r>
              <w:rPr>
                <w:rFonts w:hint="eastAsia" w:ascii="微软雅黑" w:hAnsi="微软雅黑" w:eastAsia="微软雅黑" w:cs="微软雅黑"/>
                <w:b/>
                <w:bCs w:val="0"/>
                <w:color w:val="auto"/>
                <w:spacing w:val="20"/>
                <w:kern w:val="2"/>
                <w:sz w:val="15"/>
                <w:szCs w:val="15"/>
                <w:lang w:eastAsia="en-US"/>
              </w:rPr>
              <w:t>设项</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spacing w:val="20"/>
                <w:kern w:val="2"/>
                <w:sz w:val="15"/>
                <w:szCs w:val="15"/>
                <w:lang w:eastAsia="en-US"/>
              </w:rPr>
            </w:pPr>
            <w:r>
              <w:rPr>
                <w:rFonts w:hint="eastAsia" w:ascii="微软雅黑" w:hAnsi="微软雅黑" w:eastAsia="微软雅黑" w:cs="微软雅黑"/>
                <w:b/>
                <w:bCs w:val="0"/>
                <w:color w:val="auto"/>
                <w:spacing w:val="20"/>
                <w:kern w:val="2"/>
                <w:sz w:val="15"/>
                <w:szCs w:val="15"/>
                <w:lang w:eastAsia="en-US"/>
              </w:rPr>
              <w:t>目详填）</w:t>
            </w:r>
          </w:p>
        </w:tc>
        <w:tc>
          <w:tcPr>
            <w:tcW w:w="434"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污染物</w:t>
            </w:r>
          </w:p>
        </w:tc>
        <w:tc>
          <w:tcPr>
            <w:tcW w:w="23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原有排</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放量(1)</w:t>
            </w:r>
          </w:p>
        </w:tc>
        <w:tc>
          <w:tcPr>
            <w:tcW w:w="371"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本期工程实际排放浓度(2)</w:t>
            </w:r>
          </w:p>
        </w:tc>
        <w:tc>
          <w:tcPr>
            <w:tcW w:w="38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本期工程允许排放浓度(3)</w:t>
            </w:r>
          </w:p>
        </w:tc>
        <w:tc>
          <w:tcPr>
            <w:tcW w:w="307"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本期工程产生量(4)</w:t>
            </w:r>
          </w:p>
        </w:tc>
        <w:tc>
          <w:tcPr>
            <w:tcW w:w="356"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本期工程自身削减量(5)</w:t>
            </w:r>
          </w:p>
        </w:tc>
        <w:tc>
          <w:tcPr>
            <w:tcW w:w="340"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本期工程实际排放量(6)</w:t>
            </w:r>
          </w:p>
        </w:tc>
        <w:tc>
          <w:tcPr>
            <w:tcW w:w="39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本期工程核定排放总量(7)</w:t>
            </w:r>
          </w:p>
        </w:tc>
        <w:tc>
          <w:tcPr>
            <w:tcW w:w="522"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本期工程“以新带老”削减量(8)</w:t>
            </w:r>
          </w:p>
        </w:tc>
        <w:tc>
          <w:tcPr>
            <w:tcW w:w="268"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全厂实际排放总量(9)</w:t>
            </w:r>
          </w:p>
        </w:tc>
        <w:tc>
          <w:tcPr>
            <w:tcW w:w="37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全厂核定排放总量(10)</w:t>
            </w:r>
          </w:p>
        </w:tc>
        <w:tc>
          <w:tcPr>
            <w:tcW w:w="3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区域平衡替代削减量(11)</w:t>
            </w:r>
          </w:p>
        </w:tc>
        <w:tc>
          <w:tcPr>
            <w:tcW w:w="366"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r>
              <w:rPr>
                <w:rFonts w:hint="eastAsia" w:ascii="微软雅黑" w:hAnsi="微软雅黑" w:eastAsia="微软雅黑" w:cs="微软雅黑"/>
                <w:b/>
                <w:bCs w:val="0"/>
                <w:color w:val="auto"/>
                <w:kern w:val="2"/>
                <w:sz w:val="15"/>
                <w:szCs w:val="15"/>
                <w:lang w:eastAsia="en-US"/>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294" w:type="pct"/>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p>
        </w:tc>
        <w:tc>
          <w:tcPr>
            <w:tcW w:w="434"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bCs w:val="0"/>
                <w:color w:val="auto"/>
                <w:kern w:val="2"/>
                <w:sz w:val="15"/>
                <w:szCs w:val="15"/>
                <w:highlight w:val="none"/>
                <w:lang w:val="en-US" w:eastAsia="zh-CN"/>
              </w:rPr>
            </w:pPr>
            <w:r>
              <w:rPr>
                <w:rFonts w:hint="eastAsia" w:ascii="微软雅黑" w:hAnsi="微软雅黑" w:eastAsia="微软雅黑" w:cs="微软雅黑"/>
                <w:b/>
                <w:bCs w:val="0"/>
                <w:color w:val="auto"/>
                <w:kern w:val="2"/>
                <w:sz w:val="15"/>
                <w:szCs w:val="15"/>
                <w:highlight w:val="none"/>
                <w:lang w:val="en-US" w:eastAsia="zh-CN"/>
              </w:rPr>
              <w:t>硫酸雾</w:t>
            </w:r>
          </w:p>
        </w:tc>
        <w:tc>
          <w:tcPr>
            <w:tcW w:w="23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p>
        </w:tc>
        <w:tc>
          <w:tcPr>
            <w:tcW w:w="371"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8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07"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56"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97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r>
              <w:rPr>
                <w:rFonts w:hint="eastAsia" w:ascii="微软雅黑" w:hAnsi="微软雅黑" w:eastAsia="微软雅黑" w:cs="微软雅黑"/>
                <w:b w:val="0"/>
                <w:bCs/>
                <w:color w:val="auto"/>
                <w:kern w:val="2"/>
                <w:sz w:val="15"/>
                <w:szCs w:val="15"/>
                <w:lang w:val="en-US" w:eastAsia="zh-CN" w:bidi="ar-SA"/>
              </w:rPr>
              <w:t>0.00041</w:t>
            </w:r>
          </w:p>
        </w:tc>
        <w:tc>
          <w:tcPr>
            <w:tcW w:w="39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r>
              <w:rPr>
                <w:rFonts w:hint="default" w:ascii="微软雅黑" w:hAnsi="微软雅黑" w:eastAsia="微软雅黑" w:cs="微软雅黑"/>
                <w:b w:val="0"/>
                <w:bCs/>
                <w:color w:val="auto"/>
                <w:kern w:val="2"/>
                <w:sz w:val="15"/>
                <w:szCs w:val="15"/>
                <w:lang w:val="en-US" w:eastAsia="zh-CN" w:bidi="ar-SA"/>
              </w:rPr>
              <w:t>0.0675</w:t>
            </w:r>
          </w:p>
        </w:tc>
        <w:tc>
          <w:tcPr>
            <w:tcW w:w="522"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268"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7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66"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294" w:type="pct"/>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lang w:eastAsia="en-US"/>
              </w:rPr>
            </w:pPr>
          </w:p>
        </w:tc>
        <w:tc>
          <w:tcPr>
            <w:tcW w:w="434"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bCs w:val="0"/>
                <w:color w:val="auto"/>
                <w:kern w:val="2"/>
                <w:sz w:val="15"/>
                <w:szCs w:val="15"/>
                <w:highlight w:val="none"/>
                <w:lang w:val="en-US" w:eastAsia="zh-CN"/>
              </w:rPr>
            </w:pPr>
            <w:r>
              <w:rPr>
                <w:rFonts w:hint="eastAsia" w:ascii="微软雅黑" w:hAnsi="微软雅黑" w:eastAsia="微软雅黑" w:cs="微软雅黑"/>
                <w:b/>
                <w:bCs w:val="0"/>
                <w:color w:val="auto"/>
                <w:kern w:val="2"/>
                <w:sz w:val="15"/>
                <w:szCs w:val="15"/>
                <w:highlight w:val="none"/>
                <w:lang w:val="en-US" w:eastAsia="zh-CN"/>
              </w:rPr>
              <w:t>氨</w:t>
            </w:r>
          </w:p>
        </w:tc>
        <w:tc>
          <w:tcPr>
            <w:tcW w:w="23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p>
        </w:tc>
        <w:tc>
          <w:tcPr>
            <w:tcW w:w="371"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8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07"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56"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97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r>
              <w:rPr>
                <w:rFonts w:hint="eastAsia" w:ascii="微软雅黑" w:hAnsi="微软雅黑" w:eastAsia="微软雅黑" w:cs="微软雅黑"/>
                <w:b w:val="0"/>
                <w:bCs/>
                <w:color w:val="auto"/>
                <w:kern w:val="2"/>
                <w:sz w:val="15"/>
                <w:szCs w:val="15"/>
                <w:lang w:val="en-US" w:eastAsia="zh-CN" w:bidi="ar-SA"/>
              </w:rPr>
              <w:t>0.0139</w:t>
            </w:r>
          </w:p>
        </w:tc>
        <w:tc>
          <w:tcPr>
            <w:tcW w:w="39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r>
              <w:rPr>
                <w:rFonts w:hint="default" w:ascii="微软雅黑" w:hAnsi="微软雅黑" w:eastAsia="微软雅黑" w:cs="微软雅黑"/>
                <w:b w:val="0"/>
                <w:bCs/>
                <w:color w:val="auto"/>
                <w:kern w:val="2"/>
                <w:sz w:val="15"/>
                <w:szCs w:val="15"/>
                <w:lang w:val="en-US" w:eastAsia="zh-CN" w:bidi="ar-SA"/>
              </w:rPr>
              <w:t>0.0224</w:t>
            </w:r>
          </w:p>
        </w:tc>
        <w:tc>
          <w:tcPr>
            <w:tcW w:w="522"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268"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7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rPr>
            </w:pPr>
          </w:p>
        </w:tc>
        <w:tc>
          <w:tcPr>
            <w:tcW w:w="3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66"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294" w:type="pct"/>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eastAsia="en-US"/>
              </w:rPr>
            </w:pPr>
          </w:p>
        </w:tc>
        <w:tc>
          <w:tcPr>
            <w:tcW w:w="434"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auto"/>
                <w:kern w:val="2"/>
                <w:sz w:val="15"/>
                <w:szCs w:val="15"/>
                <w:highlight w:val="none"/>
                <w:lang w:val="en-US" w:eastAsia="zh-CN"/>
              </w:rPr>
            </w:pPr>
            <w:r>
              <w:rPr>
                <w:rFonts w:hint="eastAsia" w:ascii="微软雅黑" w:hAnsi="微软雅黑" w:eastAsia="微软雅黑" w:cs="微软雅黑"/>
                <w:b/>
                <w:bCs w:val="0"/>
                <w:color w:val="auto"/>
                <w:kern w:val="2"/>
                <w:sz w:val="15"/>
                <w:szCs w:val="15"/>
                <w:highlight w:val="none"/>
                <w:lang w:val="en-US" w:eastAsia="zh-CN"/>
              </w:rPr>
              <w:t>硫化氢</w:t>
            </w:r>
          </w:p>
        </w:tc>
        <w:tc>
          <w:tcPr>
            <w:tcW w:w="23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p>
        </w:tc>
        <w:tc>
          <w:tcPr>
            <w:tcW w:w="371"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bidi="ar-SA"/>
              </w:rPr>
            </w:pPr>
          </w:p>
        </w:tc>
        <w:tc>
          <w:tcPr>
            <w:tcW w:w="38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bidi="ar-SA"/>
              </w:rPr>
            </w:pPr>
          </w:p>
        </w:tc>
        <w:tc>
          <w:tcPr>
            <w:tcW w:w="307"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bidi="ar-SA"/>
              </w:rPr>
            </w:pPr>
          </w:p>
        </w:tc>
        <w:tc>
          <w:tcPr>
            <w:tcW w:w="356"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bidi="ar-SA"/>
              </w:rPr>
            </w:pPr>
          </w:p>
        </w:tc>
        <w:tc>
          <w:tcPr>
            <w:tcW w:w="970" w:type="dxa"/>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r>
              <w:rPr>
                <w:rFonts w:hint="eastAsia" w:ascii="微软雅黑" w:hAnsi="微软雅黑" w:eastAsia="微软雅黑" w:cs="微软雅黑"/>
                <w:b w:val="0"/>
                <w:bCs/>
                <w:color w:val="auto"/>
                <w:kern w:val="2"/>
                <w:sz w:val="15"/>
                <w:szCs w:val="15"/>
                <w:lang w:val="en-US" w:eastAsia="zh-CN" w:bidi="ar-SA"/>
              </w:rPr>
              <w:t>0</w:t>
            </w:r>
          </w:p>
        </w:tc>
        <w:tc>
          <w:tcPr>
            <w:tcW w:w="39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r>
              <w:rPr>
                <w:rFonts w:hint="default" w:ascii="微软雅黑" w:hAnsi="微软雅黑" w:eastAsia="微软雅黑" w:cs="微软雅黑"/>
                <w:b w:val="0"/>
                <w:bCs/>
                <w:color w:val="auto"/>
                <w:kern w:val="2"/>
                <w:sz w:val="15"/>
                <w:szCs w:val="15"/>
                <w:lang w:val="en-US" w:eastAsia="zh-CN" w:bidi="ar-SA"/>
              </w:rPr>
              <w:t>0.0022</w:t>
            </w:r>
          </w:p>
        </w:tc>
        <w:tc>
          <w:tcPr>
            <w:tcW w:w="522"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p>
        </w:tc>
        <w:tc>
          <w:tcPr>
            <w:tcW w:w="268"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7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rPr>
            </w:pPr>
          </w:p>
        </w:tc>
        <w:tc>
          <w:tcPr>
            <w:tcW w:w="3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66"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294" w:type="pct"/>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eastAsia="en-US"/>
              </w:rPr>
            </w:pPr>
          </w:p>
        </w:tc>
        <w:tc>
          <w:tcPr>
            <w:tcW w:w="434"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bCs w:val="0"/>
                <w:color w:val="auto"/>
                <w:kern w:val="2"/>
                <w:sz w:val="15"/>
                <w:szCs w:val="15"/>
                <w:highlight w:val="none"/>
                <w:lang w:val="en-US" w:eastAsia="zh-CN"/>
              </w:rPr>
            </w:pPr>
          </w:p>
        </w:tc>
        <w:tc>
          <w:tcPr>
            <w:tcW w:w="23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p>
        </w:tc>
        <w:tc>
          <w:tcPr>
            <w:tcW w:w="371"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bidi="ar-SA"/>
              </w:rPr>
            </w:pPr>
          </w:p>
        </w:tc>
        <w:tc>
          <w:tcPr>
            <w:tcW w:w="38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bidi="ar-SA"/>
              </w:rPr>
            </w:pPr>
          </w:p>
        </w:tc>
        <w:tc>
          <w:tcPr>
            <w:tcW w:w="307"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bidi="ar-SA"/>
              </w:rPr>
            </w:pPr>
          </w:p>
        </w:tc>
        <w:tc>
          <w:tcPr>
            <w:tcW w:w="356"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bidi="ar-SA"/>
              </w:rPr>
            </w:pPr>
          </w:p>
        </w:tc>
        <w:tc>
          <w:tcPr>
            <w:tcW w:w="340"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p>
        </w:tc>
        <w:tc>
          <w:tcPr>
            <w:tcW w:w="39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p>
        </w:tc>
        <w:tc>
          <w:tcPr>
            <w:tcW w:w="522"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bidi="ar-SA"/>
              </w:rPr>
            </w:pPr>
          </w:p>
        </w:tc>
        <w:tc>
          <w:tcPr>
            <w:tcW w:w="268"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7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66"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294" w:type="pct"/>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eastAsia="en-US"/>
              </w:rPr>
            </w:pPr>
          </w:p>
        </w:tc>
        <w:tc>
          <w:tcPr>
            <w:tcW w:w="434"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bCs w:val="0"/>
                <w:color w:val="auto"/>
                <w:kern w:val="2"/>
                <w:sz w:val="15"/>
                <w:szCs w:val="15"/>
                <w:highlight w:val="none"/>
                <w:lang w:val="en-US" w:eastAsia="zh-CN"/>
              </w:rPr>
            </w:pPr>
          </w:p>
        </w:tc>
        <w:tc>
          <w:tcPr>
            <w:tcW w:w="23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p>
        </w:tc>
        <w:tc>
          <w:tcPr>
            <w:tcW w:w="371"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8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07"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56"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40"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p>
        </w:tc>
        <w:tc>
          <w:tcPr>
            <w:tcW w:w="39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p>
        </w:tc>
        <w:tc>
          <w:tcPr>
            <w:tcW w:w="522"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268"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7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66"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294" w:type="pct"/>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eastAsia="en-US"/>
              </w:rPr>
            </w:pPr>
          </w:p>
        </w:tc>
        <w:tc>
          <w:tcPr>
            <w:tcW w:w="434"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bCs w:val="0"/>
                <w:color w:val="auto"/>
                <w:kern w:val="2"/>
                <w:sz w:val="15"/>
                <w:szCs w:val="15"/>
                <w:highlight w:val="none"/>
                <w:lang w:val="en-US" w:eastAsia="zh-CN"/>
              </w:rPr>
            </w:pPr>
          </w:p>
        </w:tc>
        <w:tc>
          <w:tcPr>
            <w:tcW w:w="23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bidi="ar-SA"/>
              </w:rPr>
            </w:pPr>
          </w:p>
        </w:tc>
        <w:tc>
          <w:tcPr>
            <w:tcW w:w="371"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8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07"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56"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40"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p>
        </w:tc>
        <w:tc>
          <w:tcPr>
            <w:tcW w:w="39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auto"/>
                <w:kern w:val="2"/>
                <w:sz w:val="15"/>
                <w:szCs w:val="15"/>
                <w:lang w:val="en-US" w:eastAsia="zh-CN" w:bidi="ar-SA"/>
              </w:rPr>
            </w:pPr>
          </w:p>
        </w:tc>
        <w:tc>
          <w:tcPr>
            <w:tcW w:w="522"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268"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7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auto"/>
                <w:kern w:val="2"/>
                <w:sz w:val="15"/>
                <w:szCs w:val="15"/>
                <w:lang w:val="en-US" w:eastAsia="zh-CN"/>
              </w:rPr>
            </w:pPr>
          </w:p>
        </w:tc>
        <w:tc>
          <w:tcPr>
            <w:tcW w:w="33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center"/>
              <w:rPr>
                <w:rFonts w:hint="eastAsia" w:ascii="微软雅黑" w:hAnsi="微软雅黑" w:eastAsia="微软雅黑" w:cs="微软雅黑"/>
                <w:b w:val="0"/>
                <w:bCs/>
                <w:color w:val="auto"/>
                <w:kern w:val="2"/>
                <w:sz w:val="15"/>
                <w:szCs w:val="15"/>
                <w:lang w:val="en-US" w:eastAsia="zh-CN"/>
              </w:rPr>
            </w:pPr>
          </w:p>
        </w:tc>
        <w:tc>
          <w:tcPr>
            <w:tcW w:w="366" w:type="pct"/>
            <w:noWrap w:val="0"/>
            <w:tcMar>
              <w:left w:w="57" w:type="dxa"/>
              <w:right w:w="57" w:type="dxa"/>
            </w:tcMar>
            <w:vAlign w:val="center"/>
          </w:tcPr>
          <w:p>
            <w:pPr>
              <w:autoSpaceDE w:val="0"/>
              <w:autoSpaceDN w:val="0"/>
              <w:ind w:firstLine="0" w:firstLineChars="0"/>
              <w:jc w:val="left"/>
              <w:rPr>
                <w:rFonts w:hint="eastAsia" w:ascii="宋体" w:hAnsi="宋体" w:eastAsia="宋体" w:cs="宋体"/>
                <w:color w:val="auto"/>
                <w:kern w:val="0"/>
                <w:szCs w:val="22"/>
                <w:lang w:val="en-US" w:eastAsia="zh-CN"/>
              </w:rPr>
            </w:pPr>
          </w:p>
        </w:tc>
      </w:tr>
    </w:tbl>
    <w:p>
      <w:pPr>
        <w:pStyle w:val="19"/>
        <w:rPr>
          <w:rFonts w:hint="default" w:ascii="Times New Roman" w:hAnsi="Times New Roman" w:eastAsia="宋体" w:cs="Times New Roman"/>
          <w:b/>
          <w:bCs/>
          <w:color w:val="auto"/>
          <w:sz w:val="28"/>
          <w:szCs w:val="28"/>
          <w:lang w:val="zh-CN"/>
        </w:rPr>
      </w:pPr>
      <w:r>
        <w:rPr>
          <w:rFonts w:hint="eastAsia" w:ascii="宋体" w:hAnsi="宋体" w:eastAsia="宋体" w:cs="宋体"/>
          <w:b/>
          <w:color w:val="auto"/>
          <w:kern w:val="0"/>
          <w:sz w:val="15"/>
          <w:szCs w:val="15"/>
          <w:lang w:eastAsia="en-US"/>
        </w:rPr>
        <w:t>注</w:t>
      </w:r>
      <w:r>
        <w:rPr>
          <w:rFonts w:hint="eastAsia" w:ascii="宋体" w:hAnsi="宋体" w:eastAsia="宋体" w:cs="宋体"/>
          <w:color w:val="auto"/>
          <w:kern w:val="0"/>
          <w:sz w:val="15"/>
          <w:szCs w:val="15"/>
          <w:lang w:eastAsia="en-US"/>
        </w:rPr>
        <w:t>：1、</w:t>
      </w:r>
      <w:r>
        <w:rPr>
          <w:rFonts w:hint="eastAsia" w:ascii="宋体" w:hAnsi="宋体" w:eastAsia="宋体" w:cs="宋体"/>
          <w:color w:val="auto"/>
          <w:spacing w:val="-4"/>
          <w:kern w:val="0"/>
          <w:sz w:val="15"/>
          <w:szCs w:val="15"/>
          <w:lang w:eastAsia="en-US"/>
        </w:rPr>
        <w:t>排放增减量：（+）表示增加，（-）表示减少。2、(12)=(6)-(8)-(11)，（9）= (4)-(5)-(8)- (11) +（1）。3、计量单位：废水排放量——吨/年；废气排放量——</w:t>
      </w:r>
      <w:r>
        <w:rPr>
          <w:rFonts w:hint="eastAsia" w:ascii="宋体" w:hAnsi="宋体" w:eastAsia="宋体" w:cs="宋体"/>
          <w:color w:val="auto"/>
          <w:spacing w:val="-4"/>
          <w:kern w:val="0"/>
          <w:sz w:val="15"/>
          <w:szCs w:val="15"/>
          <w:lang w:eastAsia="zh-CN"/>
        </w:rPr>
        <w:t>吨</w:t>
      </w:r>
      <w:r>
        <w:rPr>
          <w:rFonts w:hint="eastAsia" w:ascii="宋体" w:hAnsi="宋体" w:eastAsia="宋体" w:cs="宋体"/>
          <w:color w:val="auto"/>
          <w:spacing w:val="-4"/>
          <w:kern w:val="0"/>
          <w:sz w:val="15"/>
          <w:szCs w:val="15"/>
          <w:lang w:eastAsia="en-US"/>
        </w:rPr>
        <w:t>/年；工业固体废物排放量——吨/年；水污染物排放浓度——毫克/</w:t>
      </w:r>
      <w:r>
        <w:rPr>
          <w:rFonts w:hint="eastAsia" w:ascii="宋体" w:hAnsi="宋体" w:eastAsia="宋体" w:cs="宋体"/>
          <w:color w:val="auto"/>
          <w:spacing w:val="-4"/>
          <w:kern w:val="0"/>
          <w:sz w:val="15"/>
          <w:szCs w:val="15"/>
          <w:lang w:eastAsia="zh-CN"/>
        </w:rPr>
        <w:t>立方米。</w:t>
      </w:r>
    </w:p>
    <w:sectPr>
      <w:headerReference r:id="rId9" w:type="default"/>
      <w:footerReference r:id="rId10" w:type="default"/>
      <w:pgSz w:w="16838" w:h="11905" w:orient="landscape"/>
      <w:pgMar w:top="1701" w:right="1587" w:bottom="1417" w:left="1417" w:header="851" w:footer="850" w:gutter="0"/>
      <w:pgBorders>
        <w:top w:val="none" w:sz="0" w:space="0"/>
        <w:left w:val="none" w:sz="0" w:space="0"/>
        <w:bottom w:val="none" w:sz="0" w:space="0"/>
        <w:right w:val="none" w:sz="0" w:space="0"/>
      </w:pgBorders>
      <w:cols w:space="0" w:num="1"/>
      <w:rtlGutter w:val="0"/>
      <w:docGrid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仿宋体">
    <w:altName w:val="宋体"/>
    <w:panose1 w:val="00000000000000000000"/>
    <w:charset w:val="86"/>
    <w:family w:val="roma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华文新魏">
    <w:altName w:val="宋体"/>
    <w:panose1 w:val="0201080004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after="0" w:afterLines="0"/>
      <w:ind w:right="360" w:firstLine="360"/>
      <w:jc w:val="left"/>
      <w:rPr>
        <w:rFonts w:hint="eastAsia" w:ascii="Times New Roman" w:hAnsi="Times New Roman"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0" w:leftChars="0" w:firstLine="0" w:firstLineChars="0"/>
      <w:jc w:val="center"/>
      <w:rPr>
        <w:rFonts w:hint="default"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I</w:t>
                          </w:r>
                          <w:r>
                            <w:fldChar w:fldCharType="end"/>
                          </w:r>
                          <w:r>
                            <w:t xml:space="preserve"> 页 共 </w:t>
                          </w:r>
                          <w:r>
                            <w:rPr>
                              <w:rFonts w:hint="eastAsia"/>
                              <w:lang w:val="en-US" w:eastAsia="zh-CN"/>
                            </w:rPr>
                            <w:t>52</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I</w:t>
                    </w:r>
                    <w:r>
                      <w:fldChar w:fldCharType="end"/>
                    </w:r>
                    <w:r>
                      <w:t xml:space="preserve"> 页 共 </w:t>
                    </w:r>
                    <w:r>
                      <w:rPr>
                        <w:rFonts w:hint="eastAsia"/>
                        <w:lang w:val="en-US" w:eastAsia="zh-CN"/>
                      </w:rPr>
                      <w:t>52</w:t>
                    </w:r>
                    <w:r>
                      <w:t>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center" w:pos="4153"/>
        <w:tab w:val="right" w:pos="8306"/>
      </w:tabs>
      <w:jc w:val="center"/>
      <w:rPr>
        <w:rFonts w:hint="eastAsia" w:eastAsia="宋体"/>
        <w:spacing w:val="0"/>
        <w:sz w:val="18"/>
        <w:lang w:eastAsia="zh-CN"/>
      </w:rPr>
    </w:pPr>
    <w:r>
      <w:rPr>
        <w:rFonts w:hint="eastAsia"/>
        <w:spacing w:val="0"/>
        <w:sz w:val="18"/>
        <w:lang w:val="en-US" w:eastAsia="zh-CN"/>
      </w:rPr>
      <w:t>张家港市骏马钢帘线有限公司环保节能技术改造项目</w:t>
    </w:r>
    <w:r>
      <w:rPr>
        <w:rFonts w:hint="eastAsia"/>
        <w:spacing w:val="0"/>
        <w:sz w:val="18"/>
      </w:rPr>
      <w:t>竣工环境保护验收监测报告表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F4D779"/>
    <w:multiLevelType w:val="singleLevel"/>
    <w:tmpl w:val="AEF4D779"/>
    <w:lvl w:ilvl="0" w:tentative="0">
      <w:start w:val="4"/>
      <w:numFmt w:val="decimal"/>
      <w:suff w:val="nothing"/>
      <w:lvlText w:val="%1、"/>
      <w:lvlJc w:val="left"/>
    </w:lvl>
  </w:abstractNum>
  <w:abstractNum w:abstractNumId="1">
    <w:nsid w:val="DB1A2472"/>
    <w:multiLevelType w:val="singleLevel"/>
    <w:tmpl w:val="DB1A2472"/>
    <w:lvl w:ilvl="0" w:tentative="0">
      <w:start w:val="1"/>
      <w:numFmt w:val="decimal"/>
      <w:suff w:val="nothing"/>
      <w:lvlText w:val="%1、"/>
      <w:lvlJc w:val="left"/>
    </w:lvl>
  </w:abstractNum>
  <w:abstractNum w:abstractNumId="2">
    <w:nsid w:val="F2C8FA0E"/>
    <w:multiLevelType w:val="singleLevel"/>
    <w:tmpl w:val="F2C8FA0E"/>
    <w:lvl w:ilvl="0" w:tentative="0">
      <w:start w:val="1"/>
      <w:numFmt w:val="decimal"/>
      <w:suff w:val="nothing"/>
      <w:lvlText w:val="%1、"/>
      <w:lvlJc w:val="left"/>
    </w:lvl>
  </w:abstractNum>
  <w:abstractNum w:abstractNumId="3">
    <w:nsid w:val="1906B6F1"/>
    <w:multiLevelType w:val="singleLevel"/>
    <w:tmpl w:val="1906B6F1"/>
    <w:lvl w:ilvl="0" w:tentative="0">
      <w:start w:val="1"/>
      <w:numFmt w:val="decimal"/>
      <w:suff w:val="nothing"/>
      <w:lvlText w:val="%1．"/>
      <w:lvlJc w:val="left"/>
      <w:pPr>
        <w:ind w:left="0" w:firstLine="0"/>
      </w:pPr>
      <w:rPr>
        <w:rFonts w:hint="default"/>
      </w:rPr>
    </w:lvl>
  </w:abstractNum>
  <w:abstractNum w:abstractNumId="4">
    <w:nsid w:val="1CEF1348"/>
    <w:multiLevelType w:val="singleLevel"/>
    <w:tmpl w:val="1CEF1348"/>
    <w:lvl w:ilvl="0" w:tentative="0">
      <w:start w:val="1"/>
      <w:numFmt w:val="decimal"/>
      <w:suff w:val="nothing"/>
      <w:lvlText w:val="（%1）"/>
      <w:lvlJc w:val="left"/>
    </w:lvl>
  </w:abstractNum>
  <w:abstractNum w:abstractNumId="5">
    <w:nsid w:val="3F0CD154"/>
    <w:multiLevelType w:val="singleLevel"/>
    <w:tmpl w:val="3F0CD154"/>
    <w:lvl w:ilvl="0" w:tentative="0">
      <w:start w:val="1"/>
      <w:numFmt w:val="decimal"/>
      <w:suff w:val="nothing"/>
      <w:lvlText w:val="%1、"/>
      <w:lvlJc w:val="left"/>
    </w:lvl>
  </w:abstractNum>
  <w:abstractNum w:abstractNumId="6">
    <w:nsid w:val="6EC4CD47"/>
    <w:multiLevelType w:val="singleLevel"/>
    <w:tmpl w:val="6EC4CD47"/>
    <w:lvl w:ilvl="0" w:tentative="0">
      <w:start w:val="1"/>
      <w:numFmt w:val="decimal"/>
      <w:suff w:val="nothing"/>
      <w:lvlText w:val="%1．"/>
      <w:lvlJc w:val="left"/>
      <w:pPr>
        <w:ind w:left="0" w:firstLine="400"/>
      </w:pPr>
      <w:rPr>
        <w:rFonts w:hint="default"/>
      </w:rPr>
    </w:lvl>
  </w:abstractNum>
  <w:abstractNum w:abstractNumId="7">
    <w:nsid w:val="7DBADFD1"/>
    <w:multiLevelType w:val="singleLevel"/>
    <w:tmpl w:val="7DBADFD1"/>
    <w:lvl w:ilvl="0" w:tentative="0">
      <w:start w:val="1"/>
      <w:numFmt w:val="bullet"/>
      <w:pStyle w:val="11"/>
      <w:lvlText w:val=""/>
      <w:lvlJc w:val="left"/>
      <w:pPr>
        <w:tabs>
          <w:tab w:val="left" w:pos="2040"/>
        </w:tabs>
        <w:ind w:left="2040" w:hanging="360"/>
      </w:pPr>
      <w:rPr>
        <w:rFonts w:hint="default" w:ascii="Wingdings" w:hAnsi="Wingdings"/>
      </w:rPr>
    </w:lvl>
  </w:abstractNum>
  <w:num w:numId="1">
    <w:abstractNumId w:val="7"/>
  </w:num>
  <w:num w:numId="2">
    <w:abstractNumId w:val="2"/>
  </w:num>
  <w:num w:numId="3">
    <w:abstractNumId w:val="5"/>
  </w:num>
  <w:num w:numId="4">
    <w:abstractNumId w:val="6"/>
  </w:num>
  <w:num w:numId="5">
    <w:abstractNumId w:val="0"/>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RhYjEyYTkxOWJmNTMxMTg5ZTdkNDg0MzczMzhkZWQifQ=="/>
    <w:docVar w:name="KSO_WPS_MARK_KEY" w:val="f46520de-a02f-42f1-b1e9-33a3daf49fc1"/>
  </w:docVars>
  <w:rsids>
    <w:rsidRoot w:val="00172A27"/>
    <w:rsid w:val="000009F2"/>
    <w:rsid w:val="00002ADA"/>
    <w:rsid w:val="000060CB"/>
    <w:rsid w:val="00007D27"/>
    <w:rsid w:val="000120BC"/>
    <w:rsid w:val="00016590"/>
    <w:rsid w:val="00016B12"/>
    <w:rsid w:val="0002518A"/>
    <w:rsid w:val="00027A43"/>
    <w:rsid w:val="00033D2E"/>
    <w:rsid w:val="00035B29"/>
    <w:rsid w:val="00041709"/>
    <w:rsid w:val="00042A32"/>
    <w:rsid w:val="0004536F"/>
    <w:rsid w:val="000466B8"/>
    <w:rsid w:val="0005704A"/>
    <w:rsid w:val="0006066C"/>
    <w:rsid w:val="00070259"/>
    <w:rsid w:val="00073B6B"/>
    <w:rsid w:val="00074DA0"/>
    <w:rsid w:val="000819DB"/>
    <w:rsid w:val="0008456F"/>
    <w:rsid w:val="00091692"/>
    <w:rsid w:val="00092B3F"/>
    <w:rsid w:val="000A0105"/>
    <w:rsid w:val="000A4805"/>
    <w:rsid w:val="000B003F"/>
    <w:rsid w:val="000B04D6"/>
    <w:rsid w:val="000B44D1"/>
    <w:rsid w:val="000B5289"/>
    <w:rsid w:val="000B6432"/>
    <w:rsid w:val="000D2F27"/>
    <w:rsid w:val="000D66EF"/>
    <w:rsid w:val="000E153F"/>
    <w:rsid w:val="000E248F"/>
    <w:rsid w:val="000E2B9C"/>
    <w:rsid w:val="000E4012"/>
    <w:rsid w:val="000E41A6"/>
    <w:rsid w:val="000E4B5F"/>
    <w:rsid w:val="000E5141"/>
    <w:rsid w:val="00100F42"/>
    <w:rsid w:val="00101156"/>
    <w:rsid w:val="001011B5"/>
    <w:rsid w:val="001016EB"/>
    <w:rsid w:val="00102C65"/>
    <w:rsid w:val="00106C82"/>
    <w:rsid w:val="00125098"/>
    <w:rsid w:val="0012576C"/>
    <w:rsid w:val="0012641F"/>
    <w:rsid w:val="00132C18"/>
    <w:rsid w:val="0013519E"/>
    <w:rsid w:val="001351AD"/>
    <w:rsid w:val="0014698B"/>
    <w:rsid w:val="001472DE"/>
    <w:rsid w:val="001512CA"/>
    <w:rsid w:val="001532F6"/>
    <w:rsid w:val="001567A8"/>
    <w:rsid w:val="001575EF"/>
    <w:rsid w:val="00162425"/>
    <w:rsid w:val="0017260B"/>
    <w:rsid w:val="00180711"/>
    <w:rsid w:val="00182BBD"/>
    <w:rsid w:val="001839A9"/>
    <w:rsid w:val="00187A98"/>
    <w:rsid w:val="0019115F"/>
    <w:rsid w:val="00192283"/>
    <w:rsid w:val="001B1CF9"/>
    <w:rsid w:val="001B69CA"/>
    <w:rsid w:val="001C09EC"/>
    <w:rsid w:val="001C1CB4"/>
    <w:rsid w:val="001C3DF2"/>
    <w:rsid w:val="001C68F3"/>
    <w:rsid w:val="001C6BA9"/>
    <w:rsid w:val="001D51F9"/>
    <w:rsid w:val="001E431F"/>
    <w:rsid w:val="001E4F8B"/>
    <w:rsid w:val="001F04BD"/>
    <w:rsid w:val="001F1349"/>
    <w:rsid w:val="001F3041"/>
    <w:rsid w:val="001F76C2"/>
    <w:rsid w:val="00200289"/>
    <w:rsid w:val="00207D88"/>
    <w:rsid w:val="0021505B"/>
    <w:rsid w:val="002156BE"/>
    <w:rsid w:val="00220AEC"/>
    <w:rsid w:val="002230D1"/>
    <w:rsid w:val="00223D15"/>
    <w:rsid w:val="00227D92"/>
    <w:rsid w:val="00235426"/>
    <w:rsid w:val="00236452"/>
    <w:rsid w:val="00237717"/>
    <w:rsid w:val="002406E8"/>
    <w:rsid w:val="00241C56"/>
    <w:rsid w:val="00242653"/>
    <w:rsid w:val="00247181"/>
    <w:rsid w:val="002522F3"/>
    <w:rsid w:val="002544F4"/>
    <w:rsid w:val="002545A6"/>
    <w:rsid w:val="00267CDF"/>
    <w:rsid w:val="0027142E"/>
    <w:rsid w:val="00272175"/>
    <w:rsid w:val="0027612F"/>
    <w:rsid w:val="00277591"/>
    <w:rsid w:val="00277C9F"/>
    <w:rsid w:val="002833B7"/>
    <w:rsid w:val="00290063"/>
    <w:rsid w:val="002A10F8"/>
    <w:rsid w:val="002A32FA"/>
    <w:rsid w:val="002A58ED"/>
    <w:rsid w:val="002B2309"/>
    <w:rsid w:val="002B75E6"/>
    <w:rsid w:val="002C0647"/>
    <w:rsid w:val="002C18BF"/>
    <w:rsid w:val="002C286D"/>
    <w:rsid w:val="002C299B"/>
    <w:rsid w:val="002C4600"/>
    <w:rsid w:val="002C4DE1"/>
    <w:rsid w:val="002C522E"/>
    <w:rsid w:val="002C537A"/>
    <w:rsid w:val="002D5647"/>
    <w:rsid w:val="002D70F6"/>
    <w:rsid w:val="002E5759"/>
    <w:rsid w:val="002E743D"/>
    <w:rsid w:val="002F40E9"/>
    <w:rsid w:val="002F47AB"/>
    <w:rsid w:val="00301B75"/>
    <w:rsid w:val="00307D87"/>
    <w:rsid w:val="003113A2"/>
    <w:rsid w:val="00312D1E"/>
    <w:rsid w:val="003177C7"/>
    <w:rsid w:val="00327477"/>
    <w:rsid w:val="00330BCA"/>
    <w:rsid w:val="00331ED3"/>
    <w:rsid w:val="003326E5"/>
    <w:rsid w:val="00334587"/>
    <w:rsid w:val="00334F5D"/>
    <w:rsid w:val="00337170"/>
    <w:rsid w:val="003371C6"/>
    <w:rsid w:val="00340882"/>
    <w:rsid w:val="0034170C"/>
    <w:rsid w:val="00343290"/>
    <w:rsid w:val="00347650"/>
    <w:rsid w:val="00354563"/>
    <w:rsid w:val="003606CA"/>
    <w:rsid w:val="00361F94"/>
    <w:rsid w:val="0037128A"/>
    <w:rsid w:val="003717B5"/>
    <w:rsid w:val="00371C04"/>
    <w:rsid w:val="003732BE"/>
    <w:rsid w:val="0037518A"/>
    <w:rsid w:val="0037663E"/>
    <w:rsid w:val="00382209"/>
    <w:rsid w:val="00386DF0"/>
    <w:rsid w:val="00386FEE"/>
    <w:rsid w:val="00387074"/>
    <w:rsid w:val="003935C3"/>
    <w:rsid w:val="00393677"/>
    <w:rsid w:val="003941FF"/>
    <w:rsid w:val="00394CC7"/>
    <w:rsid w:val="003A268B"/>
    <w:rsid w:val="003A7270"/>
    <w:rsid w:val="003B0B1E"/>
    <w:rsid w:val="003B71E7"/>
    <w:rsid w:val="003C2F88"/>
    <w:rsid w:val="003C4D45"/>
    <w:rsid w:val="003C623F"/>
    <w:rsid w:val="003C6402"/>
    <w:rsid w:val="003C7C23"/>
    <w:rsid w:val="003D1C77"/>
    <w:rsid w:val="003D4552"/>
    <w:rsid w:val="003F0E23"/>
    <w:rsid w:val="00405824"/>
    <w:rsid w:val="004106B2"/>
    <w:rsid w:val="00410DC1"/>
    <w:rsid w:val="00411182"/>
    <w:rsid w:val="0041467B"/>
    <w:rsid w:val="00420624"/>
    <w:rsid w:val="0043088D"/>
    <w:rsid w:val="004312E3"/>
    <w:rsid w:val="004321C4"/>
    <w:rsid w:val="00434C02"/>
    <w:rsid w:val="00461B7D"/>
    <w:rsid w:val="00464A0A"/>
    <w:rsid w:val="0047263E"/>
    <w:rsid w:val="00473822"/>
    <w:rsid w:val="00477F3D"/>
    <w:rsid w:val="00482214"/>
    <w:rsid w:val="004873D9"/>
    <w:rsid w:val="00493813"/>
    <w:rsid w:val="00494618"/>
    <w:rsid w:val="00497D6D"/>
    <w:rsid w:val="004B3F7B"/>
    <w:rsid w:val="004B6D31"/>
    <w:rsid w:val="004C661D"/>
    <w:rsid w:val="004C77B5"/>
    <w:rsid w:val="004F3E51"/>
    <w:rsid w:val="004F6087"/>
    <w:rsid w:val="00512999"/>
    <w:rsid w:val="00515BC1"/>
    <w:rsid w:val="00527063"/>
    <w:rsid w:val="00531800"/>
    <w:rsid w:val="00531EB1"/>
    <w:rsid w:val="00533BEC"/>
    <w:rsid w:val="00540033"/>
    <w:rsid w:val="005429BF"/>
    <w:rsid w:val="00544571"/>
    <w:rsid w:val="005452EA"/>
    <w:rsid w:val="00550B12"/>
    <w:rsid w:val="00553C84"/>
    <w:rsid w:val="0056237C"/>
    <w:rsid w:val="005633E1"/>
    <w:rsid w:val="005761EB"/>
    <w:rsid w:val="005772CA"/>
    <w:rsid w:val="005826FD"/>
    <w:rsid w:val="00587EE7"/>
    <w:rsid w:val="00591029"/>
    <w:rsid w:val="005934B1"/>
    <w:rsid w:val="00594C2A"/>
    <w:rsid w:val="00595409"/>
    <w:rsid w:val="00596681"/>
    <w:rsid w:val="005A3A22"/>
    <w:rsid w:val="005A61E4"/>
    <w:rsid w:val="005B0CB6"/>
    <w:rsid w:val="005C1589"/>
    <w:rsid w:val="005C27D3"/>
    <w:rsid w:val="005C67DC"/>
    <w:rsid w:val="005D70B6"/>
    <w:rsid w:val="005E3539"/>
    <w:rsid w:val="005E4F9E"/>
    <w:rsid w:val="005F35AD"/>
    <w:rsid w:val="005F3D34"/>
    <w:rsid w:val="005F435A"/>
    <w:rsid w:val="005F577E"/>
    <w:rsid w:val="00604EAD"/>
    <w:rsid w:val="006117BA"/>
    <w:rsid w:val="00614455"/>
    <w:rsid w:val="00625DB4"/>
    <w:rsid w:val="00631482"/>
    <w:rsid w:val="00632DEE"/>
    <w:rsid w:val="006363F5"/>
    <w:rsid w:val="00636FBB"/>
    <w:rsid w:val="0064297A"/>
    <w:rsid w:val="00647692"/>
    <w:rsid w:val="006500FE"/>
    <w:rsid w:val="0065151B"/>
    <w:rsid w:val="00651D62"/>
    <w:rsid w:val="00654F31"/>
    <w:rsid w:val="00656A32"/>
    <w:rsid w:val="00657C7A"/>
    <w:rsid w:val="00660813"/>
    <w:rsid w:val="006630FB"/>
    <w:rsid w:val="00665399"/>
    <w:rsid w:val="006705FA"/>
    <w:rsid w:val="00672730"/>
    <w:rsid w:val="00672E9A"/>
    <w:rsid w:val="00681D9E"/>
    <w:rsid w:val="00682992"/>
    <w:rsid w:val="00683521"/>
    <w:rsid w:val="00683910"/>
    <w:rsid w:val="00692965"/>
    <w:rsid w:val="00694B7E"/>
    <w:rsid w:val="00697140"/>
    <w:rsid w:val="0069715F"/>
    <w:rsid w:val="006A1864"/>
    <w:rsid w:val="006C2BAE"/>
    <w:rsid w:val="006C2C82"/>
    <w:rsid w:val="006C6E0C"/>
    <w:rsid w:val="006C7008"/>
    <w:rsid w:val="006D12B6"/>
    <w:rsid w:val="006D50C7"/>
    <w:rsid w:val="006D61CA"/>
    <w:rsid w:val="006E0D8D"/>
    <w:rsid w:val="006E0EDB"/>
    <w:rsid w:val="006E23AC"/>
    <w:rsid w:val="006E4718"/>
    <w:rsid w:val="006E475D"/>
    <w:rsid w:val="006E623D"/>
    <w:rsid w:val="006E64B5"/>
    <w:rsid w:val="0070308A"/>
    <w:rsid w:val="0070383B"/>
    <w:rsid w:val="00703A9F"/>
    <w:rsid w:val="00705B46"/>
    <w:rsid w:val="007064C7"/>
    <w:rsid w:val="00707E76"/>
    <w:rsid w:val="00711246"/>
    <w:rsid w:val="007113EB"/>
    <w:rsid w:val="00712179"/>
    <w:rsid w:val="00726CED"/>
    <w:rsid w:val="00727B70"/>
    <w:rsid w:val="00727E77"/>
    <w:rsid w:val="0073422B"/>
    <w:rsid w:val="00744157"/>
    <w:rsid w:val="00751A40"/>
    <w:rsid w:val="00751B98"/>
    <w:rsid w:val="007650C6"/>
    <w:rsid w:val="007728D8"/>
    <w:rsid w:val="00776739"/>
    <w:rsid w:val="00780F92"/>
    <w:rsid w:val="0078374B"/>
    <w:rsid w:val="00792124"/>
    <w:rsid w:val="0079278E"/>
    <w:rsid w:val="00793C8A"/>
    <w:rsid w:val="007952B1"/>
    <w:rsid w:val="007967D9"/>
    <w:rsid w:val="007A65CD"/>
    <w:rsid w:val="007A75E4"/>
    <w:rsid w:val="007B0575"/>
    <w:rsid w:val="007B110B"/>
    <w:rsid w:val="007B2EB4"/>
    <w:rsid w:val="007C56F0"/>
    <w:rsid w:val="007D2119"/>
    <w:rsid w:val="007D2C1F"/>
    <w:rsid w:val="007D3BBF"/>
    <w:rsid w:val="007D4C7A"/>
    <w:rsid w:val="007E4BBD"/>
    <w:rsid w:val="007E5A85"/>
    <w:rsid w:val="007E72AB"/>
    <w:rsid w:val="007F1D1F"/>
    <w:rsid w:val="007F6DB2"/>
    <w:rsid w:val="007F79AC"/>
    <w:rsid w:val="00802849"/>
    <w:rsid w:val="00803B02"/>
    <w:rsid w:val="00807505"/>
    <w:rsid w:val="00814337"/>
    <w:rsid w:val="008169F0"/>
    <w:rsid w:val="00816D8A"/>
    <w:rsid w:val="00822363"/>
    <w:rsid w:val="008238B3"/>
    <w:rsid w:val="008266CF"/>
    <w:rsid w:val="00826FAE"/>
    <w:rsid w:val="008271CC"/>
    <w:rsid w:val="00830E85"/>
    <w:rsid w:val="008331D0"/>
    <w:rsid w:val="0084473E"/>
    <w:rsid w:val="0084651E"/>
    <w:rsid w:val="00851747"/>
    <w:rsid w:val="008525B3"/>
    <w:rsid w:val="008532E6"/>
    <w:rsid w:val="008534EE"/>
    <w:rsid w:val="008544B0"/>
    <w:rsid w:val="00857F2E"/>
    <w:rsid w:val="00867D9B"/>
    <w:rsid w:val="00871C34"/>
    <w:rsid w:val="0087412C"/>
    <w:rsid w:val="00877EFC"/>
    <w:rsid w:val="008810DC"/>
    <w:rsid w:val="00886D78"/>
    <w:rsid w:val="00887243"/>
    <w:rsid w:val="008967A7"/>
    <w:rsid w:val="008A2664"/>
    <w:rsid w:val="008A4192"/>
    <w:rsid w:val="008C34E2"/>
    <w:rsid w:val="008C38D2"/>
    <w:rsid w:val="008C3FAA"/>
    <w:rsid w:val="008C448A"/>
    <w:rsid w:val="008C5EFA"/>
    <w:rsid w:val="008C7113"/>
    <w:rsid w:val="008C756B"/>
    <w:rsid w:val="008D7035"/>
    <w:rsid w:val="008E1A2B"/>
    <w:rsid w:val="008E2F0F"/>
    <w:rsid w:val="008E6146"/>
    <w:rsid w:val="008E664B"/>
    <w:rsid w:val="008F0D87"/>
    <w:rsid w:val="008F2464"/>
    <w:rsid w:val="008F24BA"/>
    <w:rsid w:val="008F3907"/>
    <w:rsid w:val="008F7432"/>
    <w:rsid w:val="00900482"/>
    <w:rsid w:val="009067ED"/>
    <w:rsid w:val="0090710E"/>
    <w:rsid w:val="00911166"/>
    <w:rsid w:val="00917005"/>
    <w:rsid w:val="00920DE0"/>
    <w:rsid w:val="009274FF"/>
    <w:rsid w:val="009420B4"/>
    <w:rsid w:val="00946164"/>
    <w:rsid w:val="009469EB"/>
    <w:rsid w:val="009477D1"/>
    <w:rsid w:val="00955DC1"/>
    <w:rsid w:val="0095600A"/>
    <w:rsid w:val="00956583"/>
    <w:rsid w:val="00957643"/>
    <w:rsid w:val="00957EC0"/>
    <w:rsid w:val="0096021A"/>
    <w:rsid w:val="009608ED"/>
    <w:rsid w:val="00965920"/>
    <w:rsid w:val="00966BCA"/>
    <w:rsid w:val="0097599C"/>
    <w:rsid w:val="009820F0"/>
    <w:rsid w:val="009927C2"/>
    <w:rsid w:val="00993AB8"/>
    <w:rsid w:val="009A1C02"/>
    <w:rsid w:val="009A4F97"/>
    <w:rsid w:val="009B179D"/>
    <w:rsid w:val="009B25A2"/>
    <w:rsid w:val="009C4D5B"/>
    <w:rsid w:val="009C4FB2"/>
    <w:rsid w:val="009D2A26"/>
    <w:rsid w:val="009D2BCE"/>
    <w:rsid w:val="009D31FB"/>
    <w:rsid w:val="009D4DAE"/>
    <w:rsid w:val="009E026E"/>
    <w:rsid w:val="009E2B8E"/>
    <w:rsid w:val="009E3166"/>
    <w:rsid w:val="009E40CC"/>
    <w:rsid w:val="009F195B"/>
    <w:rsid w:val="009F1EC9"/>
    <w:rsid w:val="009F2347"/>
    <w:rsid w:val="00A01D7C"/>
    <w:rsid w:val="00A02A0F"/>
    <w:rsid w:val="00A073A7"/>
    <w:rsid w:val="00A10A94"/>
    <w:rsid w:val="00A112EA"/>
    <w:rsid w:val="00A13AF2"/>
    <w:rsid w:val="00A16AC9"/>
    <w:rsid w:val="00A2380B"/>
    <w:rsid w:val="00A26F9C"/>
    <w:rsid w:val="00A27DD5"/>
    <w:rsid w:val="00A33A33"/>
    <w:rsid w:val="00A36593"/>
    <w:rsid w:val="00A40793"/>
    <w:rsid w:val="00A4224E"/>
    <w:rsid w:val="00A4439C"/>
    <w:rsid w:val="00A445C5"/>
    <w:rsid w:val="00A4532C"/>
    <w:rsid w:val="00A47A74"/>
    <w:rsid w:val="00A51F92"/>
    <w:rsid w:val="00A53AB6"/>
    <w:rsid w:val="00A55318"/>
    <w:rsid w:val="00A5553F"/>
    <w:rsid w:val="00A56EFD"/>
    <w:rsid w:val="00A603BE"/>
    <w:rsid w:val="00A60E89"/>
    <w:rsid w:val="00A6454B"/>
    <w:rsid w:val="00A65B44"/>
    <w:rsid w:val="00A65BAE"/>
    <w:rsid w:val="00A76924"/>
    <w:rsid w:val="00A84026"/>
    <w:rsid w:val="00A84866"/>
    <w:rsid w:val="00A84934"/>
    <w:rsid w:val="00A8729F"/>
    <w:rsid w:val="00AA27FB"/>
    <w:rsid w:val="00AA6694"/>
    <w:rsid w:val="00AB0B26"/>
    <w:rsid w:val="00AB15AD"/>
    <w:rsid w:val="00AB26C1"/>
    <w:rsid w:val="00AB4799"/>
    <w:rsid w:val="00AB64DD"/>
    <w:rsid w:val="00AC32D1"/>
    <w:rsid w:val="00AC592F"/>
    <w:rsid w:val="00AD23A9"/>
    <w:rsid w:val="00AD71BB"/>
    <w:rsid w:val="00AE6CD2"/>
    <w:rsid w:val="00AF39E7"/>
    <w:rsid w:val="00AF44CB"/>
    <w:rsid w:val="00B0289D"/>
    <w:rsid w:val="00B06CB7"/>
    <w:rsid w:val="00B07FBD"/>
    <w:rsid w:val="00B14666"/>
    <w:rsid w:val="00B148F9"/>
    <w:rsid w:val="00B206A8"/>
    <w:rsid w:val="00B27E34"/>
    <w:rsid w:val="00B3114C"/>
    <w:rsid w:val="00B317F2"/>
    <w:rsid w:val="00B32803"/>
    <w:rsid w:val="00B33DB2"/>
    <w:rsid w:val="00B34B81"/>
    <w:rsid w:val="00B36009"/>
    <w:rsid w:val="00B41531"/>
    <w:rsid w:val="00B52EC7"/>
    <w:rsid w:val="00B53C97"/>
    <w:rsid w:val="00B56A47"/>
    <w:rsid w:val="00B56E19"/>
    <w:rsid w:val="00B643C8"/>
    <w:rsid w:val="00B65816"/>
    <w:rsid w:val="00B66A98"/>
    <w:rsid w:val="00B6710A"/>
    <w:rsid w:val="00B8126C"/>
    <w:rsid w:val="00B830A2"/>
    <w:rsid w:val="00BA2F6B"/>
    <w:rsid w:val="00BA71D0"/>
    <w:rsid w:val="00BB2395"/>
    <w:rsid w:val="00BC3A1F"/>
    <w:rsid w:val="00BE051B"/>
    <w:rsid w:val="00BE13DA"/>
    <w:rsid w:val="00BF0186"/>
    <w:rsid w:val="00BF43CD"/>
    <w:rsid w:val="00BF6098"/>
    <w:rsid w:val="00BF76BB"/>
    <w:rsid w:val="00C002AB"/>
    <w:rsid w:val="00C004E9"/>
    <w:rsid w:val="00C00946"/>
    <w:rsid w:val="00C02EBE"/>
    <w:rsid w:val="00C20477"/>
    <w:rsid w:val="00C20F91"/>
    <w:rsid w:val="00C24243"/>
    <w:rsid w:val="00C25C7D"/>
    <w:rsid w:val="00C30B41"/>
    <w:rsid w:val="00C321C5"/>
    <w:rsid w:val="00C32E58"/>
    <w:rsid w:val="00C33767"/>
    <w:rsid w:val="00C359DE"/>
    <w:rsid w:val="00C41452"/>
    <w:rsid w:val="00C4467E"/>
    <w:rsid w:val="00C46AF2"/>
    <w:rsid w:val="00C47161"/>
    <w:rsid w:val="00C52D88"/>
    <w:rsid w:val="00C548C1"/>
    <w:rsid w:val="00C6171E"/>
    <w:rsid w:val="00C64656"/>
    <w:rsid w:val="00C64E48"/>
    <w:rsid w:val="00C65B33"/>
    <w:rsid w:val="00C74931"/>
    <w:rsid w:val="00C7675D"/>
    <w:rsid w:val="00C824B1"/>
    <w:rsid w:val="00C82BB9"/>
    <w:rsid w:val="00C82EBE"/>
    <w:rsid w:val="00C87596"/>
    <w:rsid w:val="00C96F30"/>
    <w:rsid w:val="00CA0FFA"/>
    <w:rsid w:val="00CB0254"/>
    <w:rsid w:val="00CB3D6A"/>
    <w:rsid w:val="00CB3E5E"/>
    <w:rsid w:val="00CC1A44"/>
    <w:rsid w:val="00CC724B"/>
    <w:rsid w:val="00CD1EB7"/>
    <w:rsid w:val="00CD3649"/>
    <w:rsid w:val="00CD5CB3"/>
    <w:rsid w:val="00CD605E"/>
    <w:rsid w:val="00CD7213"/>
    <w:rsid w:val="00CE33F1"/>
    <w:rsid w:val="00CE432A"/>
    <w:rsid w:val="00CF0B53"/>
    <w:rsid w:val="00CF191C"/>
    <w:rsid w:val="00CF4440"/>
    <w:rsid w:val="00CF5FA5"/>
    <w:rsid w:val="00CF7235"/>
    <w:rsid w:val="00D005B5"/>
    <w:rsid w:val="00D01506"/>
    <w:rsid w:val="00D03638"/>
    <w:rsid w:val="00D03CCD"/>
    <w:rsid w:val="00D05915"/>
    <w:rsid w:val="00D13C9D"/>
    <w:rsid w:val="00D25DF7"/>
    <w:rsid w:val="00D26EA8"/>
    <w:rsid w:val="00D314BB"/>
    <w:rsid w:val="00D3339F"/>
    <w:rsid w:val="00D34030"/>
    <w:rsid w:val="00D36F49"/>
    <w:rsid w:val="00D40DD0"/>
    <w:rsid w:val="00D41DCD"/>
    <w:rsid w:val="00D42205"/>
    <w:rsid w:val="00D43138"/>
    <w:rsid w:val="00D44043"/>
    <w:rsid w:val="00D4577C"/>
    <w:rsid w:val="00D46CE3"/>
    <w:rsid w:val="00D50529"/>
    <w:rsid w:val="00D527BB"/>
    <w:rsid w:val="00D54BC0"/>
    <w:rsid w:val="00D609CA"/>
    <w:rsid w:val="00D63146"/>
    <w:rsid w:val="00D637DB"/>
    <w:rsid w:val="00D64E59"/>
    <w:rsid w:val="00D72C1D"/>
    <w:rsid w:val="00D732C5"/>
    <w:rsid w:val="00D7715B"/>
    <w:rsid w:val="00D81834"/>
    <w:rsid w:val="00D827A2"/>
    <w:rsid w:val="00D843C1"/>
    <w:rsid w:val="00D85C29"/>
    <w:rsid w:val="00D94587"/>
    <w:rsid w:val="00DA1D17"/>
    <w:rsid w:val="00DA5C0C"/>
    <w:rsid w:val="00DB6D23"/>
    <w:rsid w:val="00DC12EF"/>
    <w:rsid w:val="00DC1930"/>
    <w:rsid w:val="00DC43E2"/>
    <w:rsid w:val="00DC5901"/>
    <w:rsid w:val="00DC7312"/>
    <w:rsid w:val="00DC74A9"/>
    <w:rsid w:val="00DD0BF6"/>
    <w:rsid w:val="00DD48A8"/>
    <w:rsid w:val="00DD6CF2"/>
    <w:rsid w:val="00DE0E41"/>
    <w:rsid w:val="00DE2786"/>
    <w:rsid w:val="00DE36D1"/>
    <w:rsid w:val="00DE3C82"/>
    <w:rsid w:val="00DE486C"/>
    <w:rsid w:val="00DE59D1"/>
    <w:rsid w:val="00DE761F"/>
    <w:rsid w:val="00DF15E6"/>
    <w:rsid w:val="00DF4B08"/>
    <w:rsid w:val="00DF7AD8"/>
    <w:rsid w:val="00E01CA0"/>
    <w:rsid w:val="00E03DBF"/>
    <w:rsid w:val="00E068C9"/>
    <w:rsid w:val="00E069D1"/>
    <w:rsid w:val="00E10DF4"/>
    <w:rsid w:val="00E12CEF"/>
    <w:rsid w:val="00E14BFB"/>
    <w:rsid w:val="00E14F3C"/>
    <w:rsid w:val="00E152D3"/>
    <w:rsid w:val="00E17AF4"/>
    <w:rsid w:val="00E230E6"/>
    <w:rsid w:val="00E248DD"/>
    <w:rsid w:val="00E24C0C"/>
    <w:rsid w:val="00E31A4A"/>
    <w:rsid w:val="00E365F6"/>
    <w:rsid w:val="00E37A8D"/>
    <w:rsid w:val="00E41F5A"/>
    <w:rsid w:val="00E47680"/>
    <w:rsid w:val="00E50415"/>
    <w:rsid w:val="00E5068D"/>
    <w:rsid w:val="00E51784"/>
    <w:rsid w:val="00E52FBF"/>
    <w:rsid w:val="00E5359F"/>
    <w:rsid w:val="00E561FB"/>
    <w:rsid w:val="00E568C7"/>
    <w:rsid w:val="00E615A9"/>
    <w:rsid w:val="00E6242A"/>
    <w:rsid w:val="00E63762"/>
    <w:rsid w:val="00E64E9D"/>
    <w:rsid w:val="00E6562D"/>
    <w:rsid w:val="00E6575E"/>
    <w:rsid w:val="00E70EC1"/>
    <w:rsid w:val="00E71C3D"/>
    <w:rsid w:val="00E727D7"/>
    <w:rsid w:val="00E72A50"/>
    <w:rsid w:val="00E73025"/>
    <w:rsid w:val="00E75200"/>
    <w:rsid w:val="00E75A45"/>
    <w:rsid w:val="00E808D4"/>
    <w:rsid w:val="00E80C0D"/>
    <w:rsid w:val="00E83FBF"/>
    <w:rsid w:val="00E84891"/>
    <w:rsid w:val="00E8674F"/>
    <w:rsid w:val="00E906FF"/>
    <w:rsid w:val="00E93B20"/>
    <w:rsid w:val="00E96AA9"/>
    <w:rsid w:val="00E97BD3"/>
    <w:rsid w:val="00E97DE2"/>
    <w:rsid w:val="00EA1B54"/>
    <w:rsid w:val="00EA53A7"/>
    <w:rsid w:val="00EA7E10"/>
    <w:rsid w:val="00EB03B2"/>
    <w:rsid w:val="00EB16B0"/>
    <w:rsid w:val="00EB18C6"/>
    <w:rsid w:val="00EB677B"/>
    <w:rsid w:val="00EC2BA2"/>
    <w:rsid w:val="00EC6ED2"/>
    <w:rsid w:val="00ED0F7F"/>
    <w:rsid w:val="00EE26B6"/>
    <w:rsid w:val="00EE2BF7"/>
    <w:rsid w:val="00EE625B"/>
    <w:rsid w:val="00EE6EB5"/>
    <w:rsid w:val="00EF0C7F"/>
    <w:rsid w:val="00EF2143"/>
    <w:rsid w:val="00EF2C13"/>
    <w:rsid w:val="00EF5434"/>
    <w:rsid w:val="00EF58AD"/>
    <w:rsid w:val="00EF5D31"/>
    <w:rsid w:val="00EF6109"/>
    <w:rsid w:val="00EF620F"/>
    <w:rsid w:val="00F04907"/>
    <w:rsid w:val="00F0691E"/>
    <w:rsid w:val="00F06F3B"/>
    <w:rsid w:val="00F07234"/>
    <w:rsid w:val="00F07F36"/>
    <w:rsid w:val="00F11541"/>
    <w:rsid w:val="00F12B52"/>
    <w:rsid w:val="00F200A1"/>
    <w:rsid w:val="00F334FA"/>
    <w:rsid w:val="00F33976"/>
    <w:rsid w:val="00F354A3"/>
    <w:rsid w:val="00F40D28"/>
    <w:rsid w:val="00F4662E"/>
    <w:rsid w:val="00F47BC5"/>
    <w:rsid w:val="00F5203E"/>
    <w:rsid w:val="00F53458"/>
    <w:rsid w:val="00F545D6"/>
    <w:rsid w:val="00F54FF2"/>
    <w:rsid w:val="00F55F42"/>
    <w:rsid w:val="00F622C5"/>
    <w:rsid w:val="00F65D1D"/>
    <w:rsid w:val="00F66078"/>
    <w:rsid w:val="00F67549"/>
    <w:rsid w:val="00F72C70"/>
    <w:rsid w:val="00F7491D"/>
    <w:rsid w:val="00F75E2A"/>
    <w:rsid w:val="00F9022F"/>
    <w:rsid w:val="00F930F8"/>
    <w:rsid w:val="00F935B2"/>
    <w:rsid w:val="00F941F0"/>
    <w:rsid w:val="00F95709"/>
    <w:rsid w:val="00F9731D"/>
    <w:rsid w:val="00FA333D"/>
    <w:rsid w:val="00FA3C3E"/>
    <w:rsid w:val="00FA4769"/>
    <w:rsid w:val="00FB31EB"/>
    <w:rsid w:val="00FB4768"/>
    <w:rsid w:val="00FC2CFA"/>
    <w:rsid w:val="00FC4EEF"/>
    <w:rsid w:val="00FD0DCC"/>
    <w:rsid w:val="00FD103F"/>
    <w:rsid w:val="00FE3F14"/>
    <w:rsid w:val="00FE69A8"/>
    <w:rsid w:val="00FE76F2"/>
    <w:rsid w:val="00FE7729"/>
    <w:rsid w:val="00FF6429"/>
    <w:rsid w:val="00FF675E"/>
    <w:rsid w:val="00FF7681"/>
    <w:rsid w:val="01080388"/>
    <w:rsid w:val="01233D6F"/>
    <w:rsid w:val="012366FE"/>
    <w:rsid w:val="01261495"/>
    <w:rsid w:val="013812AE"/>
    <w:rsid w:val="0150413A"/>
    <w:rsid w:val="0183349C"/>
    <w:rsid w:val="01872A7D"/>
    <w:rsid w:val="019D43E8"/>
    <w:rsid w:val="01A84AF1"/>
    <w:rsid w:val="01B50F8A"/>
    <w:rsid w:val="01C848C2"/>
    <w:rsid w:val="01F01C5A"/>
    <w:rsid w:val="01F328C8"/>
    <w:rsid w:val="020412EB"/>
    <w:rsid w:val="021D5D63"/>
    <w:rsid w:val="02240FBD"/>
    <w:rsid w:val="0241242E"/>
    <w:rsid w:val="024A1E1E"/>
    <w:rsid w:val="02BD698E"/>
    <w:rsid w:val="02F61B35"/>
    <w:rsid w:val="02FF52D0"/>
    <w:rsid w:val="03261624"/>
    <w:rsid w:val="03635E6F"/>
    <w:rsid w:val="036719B2"/>
    <w:rsid w:val="036C195D"/>
    <w:rsid w:val="037336FD"/>
    <w:rsid w:val="037E2A07"/>
    <w:rsid w:val="03A9375A"/>
    <w:rsid w:val="03B96AEC"/>
    <w:rsid w:val="03BD5AE4"/>
    <w:rsid w:val="03BE6328"/>
    <w:rsid w:val="03C52BEB"/>
    <w:rsid w:val="03C97723"/>
    <w:rsid w:val="04264B18"/>
    <w:rsid w:val="042E1736"/>
    <w:rsid w:val="042E69E2"/>
    <w:rsid w:val="043A277D"/>
    <w:rsid w:val="046731A9"/>
    <w:rsid w:val="04817E40"/>
    <w:rsid w:val="04831331"/>
    <w:rsid w:val="04BC0609"/>
    <w:rsid w:val="04C332C8"/>
    <w:rsid w:val="04CD69E4"/>
    <w:rsid w:val="04DB1E3E"/>
    <w:rsid w:val="050B36F7"/>
    <w:rsid w:val="05251F86"/>
    <w:rsid w:val="052775ED"/>
    <w:rsid w:val="05304CDF"/>
    <w:rsid w:val="05644202"/>
    <w:rsid w:val="056662EA"/>
    <w:rsid w:val="057A21A9"/>
    <w:rsid w:val="058B6243"/>
    <w:rsid w:val="058D473C"/>
    <w:rsid w:val="058F1B1A"/>
    <w:rsid w:val="05933642"/>
    <w:rsid w:val="05997E8B"/>
    <w:rsid w:val="05D4218A"/>
    <w:rsid w:val="05F3782E"/>
    <w:rsid w:val="060A1568"/>
    <w:rsid w:val="061107FF"/>
    <w:rsid w:val="062C7D6A"/>
    <w:rsid w:val="062E7BAA"/>
    <w:rsid w:val="06302682"/>
    <w:rsid w:val="063A1DEA"/>
    <w:rsid w:val="06494ED1"/>
    <w:rsid w:val="06757C33"/>
    <w:rsid w:val="067E5A31"/>
    <w:rsid w:val="068211CF"/>
    <w:rsid w:val="068D63F4"/>
    <w:rsid w:val="06922ACD"/>
    <w:rsid w:val="06936FD0"/>
    <w:rsid w:val="06BF04E5"/>
    <w:rsid w:val="06F431D0"/>
    <w:rsid w:val="06F7755F"/>
    <w:rsid w:val="06FF5666"/>
    <w:rsid w:val="071E56BD"/>
    <w:rsid w:val="0730011A"/>
    <w:rsid w:val="07397B77"/>
    <w:rsid w:val="073E3C7E"/>
    <w:rsid w:val="07403E68"/>
    <w:rsid w:val="077741C2"/>
    <w:rsid w:val="077B7A6A"/>
    <w:rsid w:val="077F1302"/>
    <w:rsid w:val="078C50AE"/>
    <w:rsid w:val="079101CB"/>
    <w:rsid w:val="07BA46AB"/>
    <w:rsid w:val="07BB6480"/>
    <w:rsid w:val="07E01DA1"/>
    <w:rsid w:val="07EA147F"/>
    <w:rsid w:val="07FC151F"/>
    <w:rsid w:val="080642AE"/>
    <w:rsid w:val="08097A11"/>
    <w:rsid w:val="084358E3"/>
    <w:rsid w:val="086B27C8"/>
    <w:rsid w:val="08710E23"/>
    <w:rsid w:val="088A2C1D"/>
    <w:rsid w:val="08AF0D53"/>
    <w:rsid w:val="08DC0D81"/>
    <w:rsid w:val="08DE6952"/>
    <w:rsid w:val="08E02B28"/>
    <w:rsid w:val="08F46C78"/>
    <w:rsid w:val="08F543E6"/>
    <w:rsid w:val="09183D7C"/>
    <w:rsid w:val="094B7251"/>
    <w:rsid w:val="095134E7"/>
    <w:rsid w:val="09AF0820"/>
    <w:rsid w:val="09B82A14"/>
    <w:rsid w:val="09EA0EBF"/>
    <w:rsid w:val="09FC61B0"/>
    <w:rsid w:val="0A032673"/>
    <w:rsid w:val="0A037470"/>
    <w:rsid w:val="0A096967"/>
    <w:rsid w:val="0A1956E1"/>
    <w:rsid w:val="0A1F1F80"/>
    <w:rsid w:val="0A2D7CED"/>
    <w:rsid w:val="0A336C15"/>
    <w:rsid w:val="0A5E5C25"/>
    <w:rsid w:val="0A845D5F"/>
    <w:rsid w:val="0AA96DC2"/>
    <w:rsid w:val="0AAF0151"/>
    <w:rsid w:val="0ABD4E43"/>
    <w:rsid w:val="0AC547E7"/>
    <w:rsid w:val="0ADB2CF4"/>
    <w:rsid w:val="0AEB0A46"/>
    <w:rsid w:val="0AF41BA9"/>
    <w:rsid w:val="0B281722"/>
    <w:rsid w:val="0B2B77D7"/>
    <w:rsid w:val="0B3C7FE2"/>
    <w:rsid w:val="0B604F34"/>
    <w:rsid w:val="0B675067"/>
    <w:rsid w:val="0B6939FC"/>
    <w:rsid w:val="0B803839"/>
    <w:rsid w:val="0B86266B"/>
    <w:rsid w:val="0BA8261D"/>
    <w:rsid w:val="0BB55669"/>
    <w:rsid w:val="0BC03E44"/>
    <w:rsid w:val="0BE03BB8"/>
    <w:rsid w:val="0BE45BD8"/>
    <w:rsid w:val="0BEC7533"/>
    <w:rsid w:val="0BF64289"/>
    <w:rsid w:val="0C08410F"/>
    <w:rsid w:val="0C2031E1"/>
    <w:rsid w:val="0C401E83"/>
    <w:rsid w:val="0C4417B2"/>
    <w:rsid w:val="0C460641"/>
    <w:rsid w:val="0C540FAF"/>
    <w:rsid w:val="0CA767C4"/>
    <w:rsid w:val="0CAA5073"/>
    <w:rsid w:val="0CC211E8"/>
    <w:rsid w:val="0CC9374C"/>
    <w:rsid w:val="0CCE5258"/>
    <w:rsid w:val="0CE70497"/>
    <w:rsid w:val="0CEB6036"/>
    <w:rsid w:val="0D213803"/>
    <w:rsid w:val="0D3E26CF"/>
    <w:rsid w:val="0D460335"/>
    <w:rsid w:val="0D565C09"/>
    <w:rsid w:val="0D643D28"/>
    <w:rsid w:val="0D6A3EDB"/>
    <w:rsid w:val="0D8D72FE"/>
    <w:rsid w:val="0DB02216"/>
    <w:rsid w:val="0DB31631"/>
    <w:rsid w:val="0DB671D1"/>
    <w:rsid w:val="0DC10D27"/>
    <w:rsid w:val="0DC64D00"/>
    <w:rsid w:val="0DE36F2A"/>
    <w:rsid w:val="0DE46EAF"/>
    <w:rsid w:val="0DE819AF"/>
    <w:rsid w:val="0E0940EA"/>
    <w:rsid w:val="0E095B99"/>
    <w:rsid w:val="0E0E7662"/>
    <w:rsid w:val="0E0F5EBD"/>
    <w:rsid w:val="0E23099D"/>
    <w:rsid w:val="0E2574CB"/>
    <w:rsid w:val="0E26697C"/>
    <w:rsid w:val="0E3E10C8"/>
    <w:rsid w:val="0E535AFC"/>
    <w:rsid w:val="0E5721EA"/>
    <w:rsid w:val="0E67759E"/>
    <w:rsid w:val="0E6A4AAB"/>
    <w:rsid w:val="0E6B088A"/>
    <w:rsid w:val="0E7A447D"/>
    <w:rsid w:val="0E7B2823"/>
    <w:rsid w:val="0EA40C57"/>
    <w:rsid w:val="0EB44D62"/>
    <w:rsid w:val="0EB8467D"/>
    <w:rsid w:val="0EBD4E08"/>
    <w:rsid w:val="0ED22DE9"/>
    <w:rsid w:val="0EEC1DC3"/>
    <w:rsid w:val="0F0D5446"/>
    <w:rsid w:val="0F2308BC"/>
    <w:rsid w:val="0F27033C"/>
    <w:rsid w:val="0F474DFC"/>
    <w:rsid w:val="0F514DBB"/>
    <w:rsid w:val="0F5D29C3"/>
    <w:rsid w:val="0F711651"/>
    <w:rsid w:val="0F791635"/>
    <w:rsid w:val="0F824086"/>
    <w:rsid w:val="0FA22BCF"/>
    <w:rsid w:val="0FA605B6"/>
    <w:rsid w:val="0FAB75FC"/>
    <w:rsid w:val="0FB15BB0"/>
    <w:rsid w:val="0FD73C7F"/>
    <w:rsid w:val="0FDC180E"/>
    <w:rsid w:val="0FE422CF"/>
    <w:rsid w:val="0FFC5D23"/>
    <w:rsid w:val="10031108"/>
    <w:rsid w:val="10147BAB"/>
    <w:rsid w:val="102D23CB"/>
    <w:rsid w:val="10AA1950"/>
    <w:rsid w:val="10B5208C"/>
    <w:rsid w:val="10BD5B6D"/>
    <w:rsid w:val="10DA08DA"/>
    <w:rsid w:val="10ED6C52"/>
    <w:rsid w:val="10F126F8"/>
    <w:rsid w:val="110444E3"/>
    <w:rsid w:val="1108503C"/>
    <w:rsid w:val="110E3E23"/>
    <w:rsid w:val="11142414"/>
    <w:rsid w:val="11186A50"/>
    <w:rsid w:val="111F7376"/>
    <w:rsid w:val="1153597C"/>
    <w:rsid w:val="116D104B"/>
    <w:rsid w:val="11752BDE"/>
    <w:rsid w:val="117E5CA9"/>
    <w:rsid w:val="11AE2ADF"/>
    <w:rsid w:val="11D2358B"/>
    <w:rsid w:val="11D7522F"/>
    <w:rsid w:val="121C60CC"/>
    <w:rsid w:val="121F2ECD"/>
    <w:rsid w:val="12817255"/>
    <w:rsid w:val="128A5553"/>
    <w:rsid w:val="129301B7"/>
    <w:rsid w:val="12A03FB0"/>
    <w:rsid w:val="12AF58A6"/>
    <w:rsid w:val="12C35771"/>
    <w:rsid w:val="12E429D7"/>
    <w:rsid w:val="12ED24C8"/>
    <w:rsid w:val="13085F2E"/>
    <w:rsid w:val="130B3548"/>
    <w:rsid w:val="131119A8"/>
    <w:rsid w:val="132F62D2"/>
    <w:rsid w:val="13743CE5"/>
    <w:rsid w:val="13791A3E"/>
    <w:rsid w:val="138E4DA7"/>
    <w:rsid w:val="139B390E"/>
    <w:rsid w:val="13C577C2"/>
    <w:rsid w:val="13EB01D6"/>
    <w:rsid w:val="140C450C"/>
    <w:rsid w:val="142B1056"/>
    <w:rsid w:val="143F60A1"/>
    <w:rsid w:val="146D0FBF"/>
    <w:rsid w:val="146E67C1"/>
    <w:rsid w:val="14895B51"/>
    <w:rsid w:val="14897481"/>
    <w:rsid w:val="14B410A5"/>
    <w:rsid w:val="14C55A07"/>
    <w:rsid w:val="14C80047"/>
    <w:rsid w:val="14CA026A"/>
    <w:rsid w:val="14EF38A0"/>
    <w:rsid w:val="151412DC"/>
    <w:rsid w:val="15182128"/>
    <w:rsid w:val="152A3CB9"/>
    <w:rsid w:val="15474FE6"/>
    <w:rsid w:val="158C5C66"/>
    <w:rsid w:val="159A1E87"/>
    <w:rsid w:val="15A8004D"/>
    <w:rsid w:val="15B66F23"/>
    <w:rsid w:val="15DB2D19"/>
    <w:rsid w:val="15DE1BB1"/>
    <w:rsid w:val="15E01F61"/>
    <w:rsid w:val="15F35395"/>
    <w:rsid w:val="16271CF5"/>
    <w:rsid w:val="1628526C"/>
    <w:rsid w:val="162A5593"/>
    <w:rsid w:val="162F7BA8"/>
    <w:rsid w:val="163772B7"/>
    <w:rsid w:val="163E1B9D"/>
    <w:rsid w:val="16472B21"/>
    <w:rsid w:val="164D0F49"/>
    <w:rsid w:val="169F07F0"/>
    <w:rsid w:val="16A573C7"/>
    <w:rsid w:val="16AC5AE2"/>
    <w:rsid w:val="16EB37EA"/>
    <w:rsid w:val="170811A0"/>
    <w:rsid w:val="170A21FA"/>
    <w:rsid w:val="170A599F"/>
    <w:rsid w:val="171A5F9B"/>
    <w:rsid w:val="17240813"/>
    <w:rsid w:val="173128BD"/>
    <w:rsid w:val="17447FAD"/>
    <w:rsid w:val="17450066"/>
    <w:rsid w:val="175F4392"/>
    <w:rsid w:val="176335B9"/>
    <w:rsid w:val="1788157D"/>
    <w:rsid w:val="178851AB"/>
    <w:rsid w:val="17B52F25"/>
    <w:rsid w:val="17BC774D"/>
    <w:rsid w:val="17C61EE4"/>
    <w:rsid w:val="17E059FA"/>
    <w:rsid w:val="180C08BC"/>
    <w:rsid w:val="18615571"/>
    <w:rsid w:val="186270E4"/>
    <w:rsid w:val="186319F2"/>
    <w:rsid w:val="187038F7"/>
    <w:rsid w:val="18707A76"/>
    <w:rsid w:val="187D0936"/>
    <w:rsid w:val="187D5F0B"/>
    <w:rsid w:val="18813D03"/>
    <w:rsid w:val="189A24C7"/>
    <w:rsid w:val="18A22C70"/>
    <w:rsid w:val="191571FD"/>
    <w:rsid w:val="193E750B"/>
    <w:rsid w:val="194D15DC"/>
    <w:rsid w:val="195E3013"/>
    <w:rsid w:val="196B1A0A"/>
    <w:rsid w:val="19964CFB"/>
    <w:rsid w:val="199A097B"/>
    <w:rsid w:val="19B0143F"/>
    <w:rsid w:val="19C94A1D"/>
    <w:rsid w:val="19D22CDD"/>
    <w:rsid w:val="19F8466D"/>
    <w:rsid w:val="19FE25BE"/>
    <w:rsid w:val="1A0F28B9"/>
    <w:rsid w:val="1A1A1501"/>
    <w:rsid w:val="1A224119"/>
    <w:rsid w:val="1A570D2F"/>
    <w:rsid w:val="1A604FC3"/>
    <w:rsid w:val="1A682B81"/>
    <w:rsid w:val="1A6832D8"/>
    <w:rsid w:val="1AA955A9"/>
    <w:rsid w:val="1AB8095B"/>
    <w:rsid w:val="1ABD2416"/>
    <w:rsid w:val="1AC00F46"/>
    <w:rsid w:val="1AD05CA5"/>
    <w:rsid w:val="1AEC149E"/>
    <w:rsid w:val="1B0279F7"/>
    <w:rsid w:val="1B050183"/>
    <w:rsid w:val="1B091684"/>
    <w:rsid w:val="1B0B7027"/>
    <w:rsid w:val="1B4A3CA9"/>
    <w:rsid w:val="1B876EED"/>
    <w:rsid w:val="1B9F30FF"/>
    <w:rsid w:val="1B9F3AB2"/>
    <w:rsid w:val="1BAF7FB0"/>
    <w:rsid w:val="1BFD1CF2"/>
    <w:rsid w:val="1C0F4159"/>
    <w:rsid w:val="1C447B78"/>
    <w:rsid w:val="1C491DCF"/>
    <w:rsid w:val="1C495A9D"/>
    <w:rsid w:val="1C5E6558"/>
    <w:rsid w:val="1C617E78"/>
    <w:rsid w:val="1C933D9B"/>
    <w:rsid w:val="1C98336F"/>
    <w:rsid w:val="1C9E6C8C"/>
    <w:rsid w:val="1CBC0BD7"/>
    <w:rsid w:val="1CC93A86"/>
    <w:rsid w:val="1CCC50ED"/>
    <w:rsid w:val="1CD14F06"/>
    <w:rsid w:val="1CE061B6"/>
    <w:rsid w:val="1CE255E2"/>
    <w:rsid w:val="1CEA19A7"/>
    <w:rsid w:val="1CEE7912"/>
    <w:rsid w:val="1D241936"/>
    <w:rsid w:val="1D636A88"/>
    <w:rsid w:val="1D7867F9"/>
    <w:rsid w:val="1D840FC9"/>
    <w:rsid w:val="1D9B6AF4"/>
    <w:rsid w:val="1DB9274A"/>
    <w:rsid w:val="1DD01BCE"/>
    <w:rsid w:val="1DDF7CEB"/>
    <w:rsid w:val="1E122A78"/>
    <w:rsid w:val="1E2A0D99"/>
    <w:rsid w:val="1E2A49FC"/>
    <w:rsid w:val="1E481367"/>
    <w:rsid w:val="1E4D47E6"/>
    <w:rsid w:val="1E8C1491"/>
    <w:rsid w:val="1E913CDF"/>
    <w:rsid w:val="1E957931"/>
    <w:rsid w:val="1E9C04D5"/>
    <w:rsid w:val="1EB124CC"/>
    <w:rsid w:val="1EC66D22"/>
    <w:rsid w:val="1ED16490"/>
    <w:rsid w:val="1EE07CCA"/>
    <w:rsid w:val="1F022B92"/>
    <w:rsid w:val="1F0C0476"/>
    <w:rsid w:val="1F0E3100"/>
    <w:rsid w:val="1F4E5D32"/>
    <w:rsid w:val="1F70182B"/>
    <w:rsid w:val="1F84108F"/>
    <w:rsid w:val="1FAE2EB4"/>
    <w:rsid w:val="1FCE517F"/>
    <w:rsid w:val="1FE251DE"/>
    <w:rsid w:val="1FF263B5"/>
    <w:rsid w:val="20005F1A"/>
    <w:rsid w:val="20031A6B"/>
    <w:rsid w:val="20082508"/>
    <w:rsid w:val="200D247B"/>
    <w:rsid w:val="20136BAE"/>
    <w:rsid w:val="202F3999"/>
    <w:rsid w:val="204A2C40"/>
    <w:rsid w:val="20653161"/>
    <w:rsid w:val="20B532B2"/>
    <w:rsid w:val="20E04223"/>
    <w:rsid w:val="213D4AD5"/>
    <w:rsid w:val="215B5775"/>
    <w:rsid w:val="215F2DEF"/>
    <w:rsid w:val="216C75FF"/>
    <w:rsid w:val="2188636F"/>
    <w:rsid w:val="218964FD"/>
    <w:rsid w:val="21B606E2"/>
    <w:rsid w:val="21BE6EE0"/>
    <w:rsid w:val="21CE3895"/>
    <w:rsid w:val="21CE6CB6"/>
    <w:rsid w:val="21D3427B"/>
    <w:rsid w:val="21D840B5"/>
    <w:rsid w:val="220022B3"/>
    <w:rsid w:val="22310CDB"/>
    <w:rsid w:val="22565E10"/>
    <w:rsid w:val="226F0499"/>
    <w:rsid w:val="22A04016"/>
    <w:rsid w:val="22A91A30"/>
    <w:rsid w:val="22B13EF7"/>
    <w:rsid w:val="22C8111F"/>
    <w:rsid w:val="22D82D57"/>
    <w:rsid w:val="22E91FFA"/>
    <w:rsid w:val="231B5437"/>
    <w:rsid w:val="2330482E"/>
    <w:rsid w:val="23343E9E"/>
    <w:rsid w:val="23376252"/>
    <w:rsid w:val="234E1F5C"/>
    <w:rsid w:val="23665108"/>
    <w:rsid w:val="23A5765C"/>
    <w:rsid w:val="23A6030F"/>
    <w:rsid w:val="23AC3027"/>
    <w:rsid w:val="23AF2C35"/>
    <w:rsid w:val="23AF3EF0"/>
    <w:rsid w:val="23D4334C"/>
    <w:rsid w:val="23F52A44"/>
    <w:rsid w:val="23FE1DA8"/>
    <w:rsid w:val="240D79E5"/>
    <w:rsid w:val="24280211"/>
    <w:rsid w:val="242E0C87"/>
    <w:rsid w:val="24432746"/>
    <w:rsid w:val="2448085F"/>
    <w:rsid w:val="24594042"/>
    <w:rsid w:val="24636F7F"/>
    <w:rsid w:val="246B1331"/>
    <w:rsid w:val="246D0A09"/>
    <w:rsid w:val="24722CC9"/>
    <w:rsid w:val="24822A0F"/>
    <w:rsid w:val="248529E5"/>
    <w:rsid w:val="248A65C1"/>
    <w:rsid w:val="24B90C32"/>
    <w:rsid w:val="24D42836"/>
    <w:rsid w:val="24D91187"/>
    <w:rsid w:val="24FF2FC1"/>
    <w:rsid w:val="25075CF8"/>
    <w:rsid w:val="251859B4"/>
    <w:rsid w:val="251E4A80"/>
    <w:rsid w:val="25203AA6"/>
    <w:rsid w:val="252144A6"/>
    <w:rsid w:val="255243EF"/>
    <w:rsid w:val="2561605E"/>
    <w:rsid w:val="257A19BE"/>
    <w:rsid w:val="25815604"/>
    <w:rsid w:val="259124D5"/>
    <w:rsid w:val="259C4FC3"/>
    <w:rsid w:val="259D3570"/>
    <w:rsid w:val="259D70CC"/>
    <w:rsid w:val="25AD4FF4"/>
    <w:rsid w:val="25C04100"/>
    <w:rsid w:val="25E52604"/>
    <w:rsid w:val="25EA4AA9"/>
    <w:rsid w:val="25F4625B"/>
    <w:rsid w:val="26062EC3"/>
    <w:rsid w:val="26342D65"/>
    <w:rsid w:val="263466B5"/>
    <w:rsid w:val="2638119A"/>
    <w:rsid w:val="2652168C"/>
    <w:rsid w:val="26A550F2"/>
    <w:rsid w:val="26B02060"/>
    <w:rsid w:val="26E55725"/>
    <w:rsid w:val="26F07935"/>
    <w:rsid w:val="272745D5"/>
    <w:rsid w:val="27312F1B"/>
    <w:rsid w:val="27597AAD"/>
    <w:rsid w:val="27922E2F"/>
    <w:rsid w:val="27941CEE"/>
    <w:rsid w:val="2796327E"/>
    <w:rsid w:val="27A6495D"/>
    <w:rsid w:val="27AC5CEC"/>
    <w:rsid w:val="27B22717"/>
    <w:rsid w:val="27D732EB"/>
    <w:rsid w:val="27F57F95"/>
    <w:rsid w:val="27FF5258"/>
    <w:rsid w:val="281D44F4"/>
    <w:rsid w:val="2820054C"/>
    <w:rsid w:val="283D091E"/>
    <w:rsid w:val="28444EDC"/>
    <w:rsid w:val="28475110"/>
    <w:rsid w:val="28681316"/>
    <w:rsid w:val="287D26A4"/>
    <w:rsid w:val="287F3935"/>
    <w:rsid w:val="2899001E"/>
    <w:rsid w:val="28BC3F25"/>
    <w:rsid w:val="28BE7A85"/>
    <w:rsid w:val="28CD4DB2"/>
    <w:rsid w:val="28EA4774"/>
    <w:rsid w:val="29040095"/>
    <w:rsid w:val="295C3C6A"/>
    <w:rsid w:val="296074BF"/>
    <w:rsid w:val="296248B4"/>
    <w:rsid w:val="296962CE"/>
    <w:rsid w:val="29761C7A"/>
    <w:rsid w:val="29B844D4"/>
    <w:rsid w:val="29C50ABB"/>
    <w:rsid w:val="29C9048F"/>
    <w:rsid w:val="29D71DCC"/>
    <w:rsid w:val="29DB205E"/>
    <w:rsid w:val="29DD2845"/>
    <w:rsid w:val="29F77B83"/>
    <w:rsid w:val="2A00687A"/>
    <w:rsid w:val="2A331DAD"/>
    <w:rsid w:val="2A5A15CE"/>
    <w:rsid w:val="2A801755"/>
    <w:rsid w:val="2AA131BA"/>
    <w:rsid w:val="2ABA5D3C"/>
    <w:rsid w:val="2AC83C3E"/>
    <w:rsid w:val="2ADC0696"/>
    <w:rsid w:val="2ADF263C"/>
    <w:rsid w:val="2AE846B0"/>
    <w:rsid w:val="2AE8528D"/>
    <w:rsid w:val="2B0D0850"/>
    <w:rsid w:val="2B12637D"/>
    <w:rsid w:val="2B19147B"/>
    <w:rsid w:val="2B2163C3"/>
    <w:rsid w:val="2B2C498A"/>
    <w:rsid w:val="2B393F0C"/>
    <w:rsid w:val="2B5C3E14"/>
    <w:rsid w:val="2B831694"/>
    <w:rsid w:val="2B9227B4"/>
    <w:rsid w:val="2BA5642A"/>
    <w:rsid w:val="2BBA1A67"/>
    <w:rsid w:val="2BDF3025"/>
    <w:rsid w:val="2C0D3051"/>
    <w:rsid w:val="2C154D84"/>
    <w:rsid w:val="2C1D0375"/>
    <w:rsid w:val="2C43259B"/>
    <w:rsid w:val="2C931219"/>
    <w:rsid w:val="2CF40EA6"/>
    <w:rsid w:val="2CFB3E93"/>
    <w:rsid w:val="2D115B3B"/>
    <w:rsid w:val="2D121FFD"/>
    <w:rsid w:val="2D127DEF"/>
    <w:rsid w:val="2D1759B5"/>
    <w:rsid w:val="2D310A0B"/>
    <w:rsid w:val="2D615E6E"/>
    <w:rsid w:val="2D696F72"/>
    <w:rsid w:val="2D847A71"/>
    <w:rsid w:val="2D881C47"/>
    <w:rsid w:val="2D9E615F"/>
    <w:rsid w:val="2DB1292E"/>
    <w:rsid w:val="2DB6582F"/>
    <w:rsid w:val="2DC86CB0"/>
    <w:rsid w:val="2DE06A2F"/>
    <w:rsid w:val="2DF14448"/>
    <w:rsid w:val="2E021490"/>
    <w:rsid w:val="2E053A60"/>
    <w:rsid w:val="2E0A4937"/>
    <w:rsid w:val="2E3F3905"/>
    <w:rsid w:val="2E5E25C7"/>
    <w:rsid w:val="2E615056"/>
    <w:rsid w:val="2E632975"/>
    <w:rsid w:val="2E7E035C"/>
    <w:rsid w:val="2E8078DA"/>
    <w:rsid w:val="2E894691"/>
    <w:rsid w:val="2EA0281D"/>
    <w:rsid w:val="2EE81957"/>
    <w:rsid w:val="2EED2340"/>
    <w:rsid w:val="2EF879BF"/>
    <w:rsid w:val="2F0B24AA"/>
    <w:rsid w:val="2F0F7105"/>
    <w:rsid w:val="2F2E7A35"/>
    <w:rsid w:val="2F643C41"/>
    <w:rsid w:val="2F903A60"/>
    <w:rsid w:val="2F9615C3"/>
    <w:rsid w:val="2FA620A4"/>
    <w:rsid w:val="2FB152F8"/>
    <w:rsid w:val="2FC6392B"/>
    <w:rsid w:val="2FE8775D"/>
    <w:rsid w:val="2FEE3CE1"/>
    <w:rsid w:val="3012428C"/>
    <w:rsid w:val="30490480"/>
    <w:rsid w:val="304E440C"/>
    <w:rsid w:val="30532AC3"/>
    <w:rsid w:val="30564672"/>
    <w:rsid w:val="30A458EF"/>
    <w:rsid w:val="30B4734A"/>
    <w:rsid w:val="30BE27B7"/>
    <w:rsid w:val="30C92AB9"/>
    <w:rsid w:val="30DF2C8E"/>
    <w:rsid w:val="30F0216D"/>
    <w:rsid w:val="30FA1E9B"/>
    <w:rsid w:val="31085D4A"/>
    <w:rsid w:val="31166FF8"/>
    <w:rsid w:val="31267093"/>
    <w:rsid w:val="3148031E"/>
    <w:rsid w:val="314E60EC"/>
    <w:rsid w:val="314F1BC2"/>
    <w:rsid w:val="31583BAA"/>
    <w:rsid w:val="315B7806"/>
    <w:rsid w:val="31847560"/>
    <w:rsid w:val="319719D2"/>
    <w:rsid w:val="3199427B"/>
    <w:rsid w:val="319B1E87"/>
    <w:rsid w:val="319C6D07"/>
    <w:rsid w:val="319D3F4C"/>
    <w:rsid w:val="31B27295"/>
    <w:rsid w:val="31C65242"/>
    <w:rsid w:val="31D2634F"/>
    <w:rsid w:val="31F74F8B"/>
    <w:rsid w:val="320D7DF5"/>
    <w:rsid w:val="32280C48"/>
    <w:rsid w:val="32291884"/>
    <w:rsid w:val="324F79A0"/>
    <w:rsid w:val="32586854"/>
    <w:rsid w:val="326362A8"/>
    <w:rsid w:val="32674CE9"/>
    <w:rsid w:val="32676C40"/>
    <w:rsid w:val="326E69A7"/>
    <w:rsid w:val="32EA1286"/>
    <w:rsid w:val="32EE02E0"/>
    <w:rsid w:val="332C6155"/>
    <w:rsid w:val="3339632C"/>
    <w:rsid w:val="333E4F18"/>
    <w:rsid w:val="334A6D87"/>
    <w:rsid w:val="334B561D"/>
    <w:rsid w:val="335039CF"/>
    <w:rsid w:val="33542117"/>
    <w:rsid w:val="335F694B"/>
    <w:rsid w:val="33654025"/>
    <w:rsid w:val="33871DA9"/>
    <w:rsid w:val="33932A3D"/>
    <w:rsid w:val="33994BAE"/>
    <w:rsid w:val="33AD3746"/>
    <w:rsid w:val="33AF0E91"/>
    <w:rsid w:val="33BF2903"/>
    <w:rsid w:val="33CA764E"/>
    <w:rsid w:val="33D35418"/>
    <w:rsid w:val="33EE588C"/>
    <w:rsid w:val="33F72CBA"/>
    <w:rsid w:val="348E4338"/>
    <w:rsid w:val="34C2769E"/>
    <w:rsid w:val="34E3457E"/>
    <w:rsid w:val="34EF4521"/>
    <w:rsid w:val="35004F81"/>
    <w:rsid w:val="35093836"/>
    <w:rsid w:val="35527C7E"/>
    <w:rsid w:val="356A39EA"/>
    <w:rsid w:val="358D3DBA"/>
    <w:rsid w:val="358F10DB"/>
    <w:rsid w:val="359B67F9"/>
    <w:rsid w:val="35A110A7"/>
    <w:rsid w:val="35C16E06"/>
    <w:rsid w:val="35DC7907"/>
    <w:rsid w:val="35E66A0D"/>
    <w:rsid w:val="36063231"/>
    <w:rsid w:val="36183F4A"/>
    <w:rsid w:val="36436FC1"/>
    <w:rsid w:val="36473D45"/>
    <w:rsid w:val="36486FF1"/>
    <w:rsid w:val="368F195D"/>
    <w:rsid w:val="369B5116"/>
    <w:rsid w:val="36C3175E"/>
    <w:rsid w:val="36C34EFE"/>
    <w:rsid w:val="36D951E7"/>
    <w:rsid w:val="36D97299"/>
    <w:rsid w:val="36F21F6B"/>
    <w:rsid w:val="36FC69E4"/>
    <w:rsid w:val="370E6CC9"/>
    <w:rsid w:val="371E1C52"/>
    <w:rsid w:val="372F3DFD"/>
    <w:rsid w:val="3741108E"/>
    <w:rsid w:val="37426EC4"/>
    <w:rsid w:val="374366D3"/>
    <w:rsid w:val="3755225A"/>
    <w:rsid w:val="37570B17"/>
    <w:rsid w:val="376D74E5"/>
    <w:rsid w:val="376F4871"/>
    <w:rsid w:val="3780290D"/>
    <w:rsid w:val="37853596"/>
    <w:rsid w:val="37AB5C5D"/>
    <w:rsid w:val="37AE3F4D"/>
    <w:rsid w:val="37BB6E8F"/>
    <w:rsid w:val="37C93D50"/>
    <w:rsid w:val="37CD3A80"/>
    <w:rsid w:val="37CF1552"/>
    <w:rsid w:val="37DA1B68"/>
    <w:rsid w:val="37E32377"/>
    <w:rsid w:val="381A1F28"/>
    <w:rsid w:val="3830037E"/>
    <w:rsid w:val="383C576F"/>
    <w:rsid w:val="383D1F95"/>
    <w:rsid w:val="38502863"/>
    <w:rsid w:val="386922C0"/>
    <w:rsid w:val="38AB7897"/>
    <w:rsid w:val="38B642D4"/>
    <w:rsid w:val="38C947A2"/>
    <w:rsid w:val="38D17360"/>
    <w:rsid w:val="38E66254"/>
    <w:rsid w:val="38F82780"/>
    <w:rsid w:val="39010415"/>
    <w:rsid w:val="390F4B99"/>
    <w:rsid w:val="391060DB"/>
    <w:rsid w:val="39553E53"/>
    <w:rsid w:val="3963544D"/>
    <w:rsid w:val="396D211D"/>
    <w:rsid w:val="397F4158"/>
    <w:rsid w:val="3983461B"/>
    <w:rsid w:val="399616BA"/>
    <w:rsid w:val="39992FB9"/>
    <w:rsid w:val="399A57B7"/>
    <w:rsid w:val="399D4CE7"/>
    <w:rsid w:val="39D52E81"/>
    <w:rsid w:val="39F54C41"/>
    <w:rsid w:val="3A0A4357"/>
    <w:rsid w:val="3A3A2CE3"/>
    <w:rsid w:val="3A451E54"/>
    <w:rsid w:val="3A7B57D6"/>
    <w:rsid w:val="3A946E72"/>
    <w:rsid w:val="3A972535"/>
    <w:rsid w:val="3AAF156A"/>
    <w:rsid w:val="3AB62557"/>
    <w:rsid w:val="3ABA7CC6"/>
    <w:rsid w:val="3AD66C0E"/>
    <w:rsid w:val="3ADA7BD8"/>
    <w:rsid w:val="3AF856F4"/>
    <w:rsid w:val="3AFA7F85"/>
    <w:rsid w:val="3B007A89"/>
    <w:rsid w:val="3B177421"/>
    <w:rsid w:val="3B556766"/>
    <w:rsid w:val="3B7D37CF"/>
    <w:rsid w:val="3B8E7D5B"/>
    <w:rsid w:val="3BB04022"/>
    <w:rsid w:val="3BBE4AC4"/>
    <w:rsid w:val="3BC80A25"/>
    <w:rsid w:val="3BD25434"/>
    <w:rsid w:val="3BDE3201"/>
    <w:rsid w:val="3BE91C12"/>
    <w:rsid w:val="3C0E3D59"/>
    <w:rsid w:val="3C0F094D"/>
    <w:rsid w:val="3C1751E6"/>
    <w:rsid w:val="3C2E1F67"/>
    <w:rsid w:val="3C4B1FD8"/>
    <w:rsid w:val="3C6919C1"/>
    <w:rsid w:val="3C7D34E6"/>
    <w:rsid w:val="3C824877"/>
    <w:rsid w:val="3C96035B"/>
    <w:rsid w:val="3CCA5E18"/>
    <w:rsid w:val="3CD6200E"/>
    <w:rsid w:val="3CEC1B85"/>
    <w:rsid w:val="3CF310DB"/>
    <w:rsid w:val="3D0D3653"/>
    <w:rsid w:val="3D1402B4"/>
    <w:rsid w:val="3D1F4715"/>
    <w:rsid w:val="3D2F0720"/>
    <w:rsid w:val="3D5A0F8B"/>
    <w:rsid w:val="3D6556F8"/>
    <w:rsid w:val="3D6B73AE"/>
    <w:rsid w:val="3D6F27DA"/>
    <w:rsid w:val="3D7959A4"/>
    <w:rsid w:val="3D7E738B"/>
    <w:rsid w:val="3D89645B"/>
    <w:rsid w:val="3DAA164F"/>
    <w:rsid w:val="3DB05550"/>
    <w:rsid w:val="3DCB713C"/>
    <w:rsid w:val="3DCD3AAD"/>
    <w:rsid w:val="3DEC015B"/>
    <w:rsid w:val="3DF04AA9"/>
    <w:rsid w:val="3DFB4B3F"/>
    <w:rsid w:val="3DFF2173"/>
    <w:rsid w:val="3E116017"/>
    <w:rsid w:val="3E403E7B"/>
    <w:rsid w:val="3E4140E5"/>
    <w:rsid w:val="3E4A0879"/>
    <w:rsid w:val="3E4A4993"/>
    <w:rsid w:val="3E542D58"/>
    <w:rsid w:val="3E6D18D9"/>
    <w:rsid w:val="3E8F7F45"/>
    <w:rsid w:val="3EA73114"/>
    <w:rsid w:val="3EC54C44"/>
    <w:rsid w:val="3EE93BB0"/>
    <w:rsid w:val="3EE943BB"/>
    <w:rsid w:val="3EED7C9C"/>
    <w:rsid w:val="3EEE2880"/>
    <w:rsid w:val="3F2C355E"/>
    <w:rsid w:val="3F4A7032"/>
    <w:rsid w:val="3F5C54AA"/>
    <w:rsid w:val="3F5D5B98"/>
    <w:rsid w:val="3F643089"/>
    <w:rsid w:val="3F6A406B"/>
    <w:rsid w:val="3F750818"/>
    <w:rsid w:val="3F93369C"/>
    <w:rsid w:val="3FA2021D"/>
    <w:rsid w:val="3FBB5523"/>
    <w:rsid w:val="3FBE089B"/>
    <w:rsid w:val="3FDA201E"/>
    <w:rsid w:val="3FE70284"/>
    <w:rsid w:val="3FE94F8F"/>
    <w:rsid w:val="40007367"/>
    <w:rsid w:val="40032388"/>
    <w:rsid w:val="401903D4"/>
    <w:rsid w:val="4032687E"/>
    <w:rsid w:val="40463D7B"/>
    <w:rsid w:val="40883769"/>
    <w:rsid w:val="408D1166"/>
    <w:rsid w:val="409E221E"/>
    <w:rsid w:val="40A5060E"/>
    <w:rsid w:val="40A76C27"/>
    <w:rsid w:val="40B107DF"/>
    <w:rsid w:val="40BB0BDB"/>
    <w:rsid w:val="40C43B60"/>
    <w:rsid w:val="40DA6FCE"/>
    <w:rsid w:val="411F4342"/>
    <w:rsid w:val="4120743C"/>
    <w:rsid w:val="412B3E91"/>
    <w:rsid w:val="412D2A94"/>
    <w:rsid w:val="413956A8"/>
    <w:rsid w:val="41462CE9"/>
    <w:rsid w:val="41517B50"/>
    <w:rsid w:val="415B3C6B"/>
    <w:rsid w:val="415C2E07"/>
    <w:rsid w:val="416A5299"/>
    <w:rsid w:val="418258ED"/>
    <w:rsid w:val="418F600A"/>
    <w:rsid w:val="41A569AD"/>
    <w:rsid w:val="41B33B11"/>
    <w:rsid w:val="41E20D02"/>
    <w:rsid w:val="41EC5695"/>
    <w:rsid w:val="41F43776"/>
    <w:rsid w:val="42287FF1"/>
    <w:rsid w:val="423F5152"/>
    <w:rsid w:val="4245328B"/>
    <w:rsid w:val="42576317"/>
    <w:rsid w:val="4259737D"/>
    <w:rsid w:val="426A028A"/>
    <w:rsid w:val="428C4EE9"/>
    <w:rsid w:val="42C13FA2"/>
    <w:rsid w:val="42C27D1A"/>
    <w:rsid w:val="42C5086D"/>
    <w:rsid w:val="42C71C14"/>
    <w:rsid w:val="42CE2EF8"/>
    <w:rsid w:val="42CF4866"/>
    <w:rsid w:val="42D77C69"/>
    <w:rsid w:val="42DB6F64"/>
    <w:rsid w:val="42E53773"/>
    <w:rsid w:val="42F42082"/>
    <w:rsid w:val="42F4401C"/>
    <w:rsid w:val="42F93B52"/>
    <w:rsid w:val="42FD784B"/>
    <w:rsid w:val="430962CC"/>
    <w:rsid w:val="43174C24"/>
    <w:rsid w:val="431A5C94"/>
    <w:rsid w:val="43340C18"/>
    <w:rsid w:val="43343C5E"/>
    <w:rsid w:val="43352EE8"/>
    <w:rsid w:val="4344667F"/>
    <w:rsid w:val="437A1D4F"/>
    <w:rsid w:val="437E1E93"/>
    <w:rsid w:val="43866C26"/>
    <w:rsid w:val="439C3B7A"/>
    <w:rsid w:val="43C47B4F"/>
    <w:rsid w:val="43C64BF0"/>
    <w:rsid w:val="440378D6"/>
    <w:rsid w:val="440C7E6C"/>
    <w:rsid w:val="441830BE"/>
    <w:rsid w:val="443738C7"/>
    <w:rsid w:val="445826E4"/>
    <w:rsid w:val="44686E8D"/>
    <w:rsid w:val="44865196"/>
    <w:rsid w:val="44B061DB"/>
    <w:rsid w:val="44C440C6"/>
    <w:rsid w:val="44C77996"/>
    <w:rsid w:val="44DD1BBC"/>
    <w:rsid w:val="44E607E6"/>
    <w:rsid w:val="44E70F76"/>
    <w:rsid w:val="44FB09DF"/>
    <w:rsid w:val="44FC7513"/>
    <w:rsid w:val="451A109D"/>
    <w:rsid w:val="45290F55"/>
    <w:rsid w:val="453F5652"/>
    <w:rsid w:val="45447FDE"/>
    <w:rsid w:val="455A7359"/>
    <w:rsid w:val="457C2402"/>
    <w:rsid w:val="45AE5DF3"/>
    <w:rsid w:val="45B72AA2"/>
    <w:rsid w:val="45C65928"/>
    <w:rsid w:val="45C85647"/>
    <w:rsid w:val="45CC3389"/>
    <w:rsid w:val="45D962E1"/>
    <w:rsid w:val="46046430"/>
    <w:rsid w:val="461B0E78"/>
    <w:rsid w:val="46392854"/>
    <w:rsid w:val="465924E9"/>
    <w:rsid w:val="46710062"/>
    <w:rsid w:val="46963A8E"/>
    <w:rsid w:val="469943B6"/>
    <w:rsid w:val="46C618E2"/>
    <w:rsid w:val="46C655B1"/>
    <w:rsid w:val="472B0583"/>
    <w:rsid w:val="47342A71"/>
    <w:rsid w:val="4738651A"/>
    <w:rsid w:val="4745564D"/>
    <w:rsid w:val="474A566C"/>
    <w:rsid w:val="47526C30"/>
    <w:rsid w:val="475E3ADF"/>
    <w:rsid w:val="476B14F8"/>
    <w:rsid w:val="476E61F3"/>
    <w:rsid w:val="476F5C76"/>
    <w:rsid w:val="477B0443"/>
    <w:rsid w:val="47901F96"/>
    <w:rsid w:val="47BC742D"/>
    <w:rsid w:val="47C96B74"/>
    <w:rsid w:val="48360A0D"/>
    <w:rsid w:val="4842674E"/>
    <w:rsid w:val="484E277B"/>
    <w:rsid w:val="485D279D"/>
    <w:rsid w:val="487C201E"/>
    <w:rsid w:val="489603AA"/>
    <w:rsid w:val="489D01D4"/>
    <w:rsid w:val="48B501DF"/>
    <w:rsid w:val="48C20D32"/>
    <w:rsid w:val="48C978EA"/>
    <w:rsid w:val="48DB38E3"/>
    <w:rsid w:val="48EA1022"/>
    <w:rsid w:val="490E5A67"/>
    <w:rsid w:val="493A72A8"/>
    <w:rsid w:val="4960778C"/>
    <w:rsid w:val="49765B85"/>
    <w:rsid w:val="49B93C25"/>
    <w:rsid w:val="49C82854"/>
    <w:rsid w:val="49D1568F"/>
    <w:rsid w:val="49DC4EDD"/>
    <w:rsid w:val="49E74BB1"/>
    <w:rsid w:val="49F84706"/>
    <w:rsid w:val="4A0F4E4C"/>
    <w:rsid w:val="4A1078EC"/>
    <w:rsid w:val="4A2A2D74"/>
    <w:rsid w:val="4A325363"/>
    <w:rsid w:val="4A377297"/>
    <w:rsid w:val="4A434466"/>
    <w:rsid w:val="4A6E32AA"/>
    <w:rsid w:val="4A807FF9"/>
    <w:rsid w:val="4A8C7696"/>
    <w:rsid w:val="4AB9714B"/>
    <w:rsid w:val="4AF509C3"/>
    <w:rsid w:val="4B0555D5"/>
    <w:rsid w:val="4B0D6974"/>
    <w:rsid w:val="4B2465FD"/>
    <w:rsid w:val="4B3118B3"/>
    <w:rsid w:val="4B4C4AB9"/>
    <w:rsid w:val="4B685CF3"/>
    <w:rsid w:val="4B6A630B"/>
    <w:rsid w:val="4B836081"/>
    <w:rsid w:val="4B8D1F32"/>
    <w:rsid w:val="4B945CB7"/>
    <w:rsid w:val="4BA15E9C"/>
    <w:rsid w:val="4BBC1FF4"/>
    <w:rsid w:val="4BC23C76"/>
    <w:rsid w:val="4BC92119"/>
    <w:rsid w:val="4BCF2E4E"/>
    <w:rsid w:val="4BE74CF0"/>
    <w:rsid w:val="4BFB6776"/>
    <w:rsid w:val="4C214E40"/>
    <w:rsid w:val="4C372331"/>
    <w:rsid w:val="4C505F2A"/>
    <w:rsid w:val="4C60482B"/>
    <w:rsid w:val="4C636677"/>
    <w:rsid w:val="4C6B033F"/>
    <w:rsid w:val="4C8B7095"/>
    <w:rsid w:val="4C9029F9"/>
    <w:rsid w:val="4CA40745"/>
    <w:rsid w:val="4CB25791"/>
    <w:rsid w:val="4CE76093"/>
    <w:rsid w:val="4CEA0599"/>
    <w:rsid w:val="4D0B4094"/>
    <w:rsid w:val="4D0C672C"/>
    <w:rsid w:val="4D3D3A08"/>
    <w:rsid w:val="4D7F33D7"/>
    <w:rsid w:val="4D862B33"/>
    <w:rsid w:val="4DCB0D21"/>
    <w:rsid w:val="4DD86643"/>
    <w:rsid w:val="4DDB5E76"/>
    <w:rsid w:val="4DF22206"/>
    <w:rsid w:val="4DFE468D"/>
    <w:rsid w:val="4E0F475B"/>
    <w:rsid w:val="4E165216"/>
    <w:rsid w:val="4E1D6FEC"/>
    <w:rsid w:val="4E2465FF"/>
    <w:rsid w:val="4E3B3448"/>
    <w:rsid w:val="4E4A5364"/>
    <w:rsid w:val="4E96787C"/>
    <w:rsid w:val="4E9925F2"/>
    <w:rsid w:val="4EBA4E59"/>
    <w:rsid w:val="4ED325B2"/>
    <w:rsid w:val="4ED36436"/>
    <w:rsid w:val="4F0155B4"/>
    <w:rsid w:val="4F06153B"/>
    <w:rsid w:val="4F196A5E"/>
    <w:rsid w:val="4F277989"/>
    <w:rsid w:val="4F4212E8"/>
    <w:rsid w:val="4F7D7E7D"/>
    <w:rsid w:val="4FA02082"/>
    <w:rsid w:val="4FA5588D"/>
    <w:rsid w:val="4FAB2830"/>
    <w:rsid w:val="4FCD01AC"/>
    <w:rsid w:val="4FF5643F"/>
    <w:rsid w:val="500E27F0"/>
    <w:rsid w:val="50210776"/>
    <w:rsid w:val="50412BC6"/>
    <w:rsid w:val="504159F0"/>
    <w:rsid w:val="5043356F"/>
    <w:rsid w:val="50475C4B"/>
    <w:rsid w:val="506852E8"/>
    <w:rsid w:val="5080023F"/>
    <w:rsid w:val="50807307"/>
    <w:rsid w:val="509E5922"/>
    <w:rsid w:val="50AE072C"/>
    <w:rsid w:val="50D8405A"/>
    <w:rsid w:val="50DB77A4"/>
    <w:rsid w:val="51001519"/>
    <w:rsid w:val="51025EB1"/>
    <w:rsid w:val="514163F6"/>
    <w:rsid w:val="51423EAE"/>
    <w:rsid w:val="51553D7F"/>
    <w:rsid w:val="51801D21"/>
    <w:rsid w:val="51B5641E"/>
    <w:rsid w:val="51DF1B00"/>
    <w:rsid w:val="51F80E26"/>
    <w:rsid w:val="52151763"/>
    <w:rsid w:val="52244763"/>
    <w:rsid w:val="52443527"/>
    <w:rsid w:val="52445CB0"/>
    <w:rsid w:val="525076EB"/>
    <w:rsid w:val="52552737"/>
    <w:rsid w:val="52763F7D"/>
    <w:rsid w:val="52770772"/>
    <w:rsid w:val="52885E89"/>
    <w:rsid w:val="52A277D3"/>
    <w:rsid w:val="52EC2700"/>
    <w:rsid w:val="53130849"/>
    <w:rsid w:val="53451012"/>
    <w:rsid w:val="534C3AA9"/>
    <w:rsid w:val="536C3FA8"/>
    <w:rsid w:val="53963229"/>
    <w:rsid w:val="53A7777A"/>
    <w:rsid w:val="53F678F1"/>
    <w:rsid w:val="540D507F"/>
    <w:rsid w:val="54315E6E"/>
    <w:rsid w:val="543F518A"/>
    <w:rsid w:val="54485B16"/>
    <w:rsid w:val="544E23B1"/>
    <w:rsid w:val="54517A17"/>
    <w:rsid w:val="54977CBC"/>
    <w:rsid w:val="54A243D0"/>
    <w:rsid w:val="54C36370"/>
    <w:rsid w:val="54C554F6"/>
    <w:rsid w:val="54CF3848"/>
    <w:rsid w:val="54D92968"/>
    <w:rsid w:val="54F16618"/>
    <w:rsid w:val="55001133"/>
    <w:rsid w:val="5535407A"/>
    <w:rsid w:val="553A6A7E"/>
    <w:rsid w:val="554F3D06"/>
    <w:rsid w:val="556A7510"/>
    <w:rsid w:val="556F5ADF"/>
    <w:rsid w:val="55921F4A"/>
    <w:rsid w:val="55AE0708"/>
    <w:rsid w:val="55AF0F61"/>
    <w:rsid w:val="55C5449E"/>
    <w:rsid w:val="55D80938"/>
    <w:rsid w:val="55E71B19"/>
    <w:rsid w:val="55F52488"/>
    <w:rsid w:val="561D3B5F"/>
    <w:rsid w:val="564547CE"/>
    <w:rsid w:val="564F2378"/>
    <w:rsid w:val="56701CFF"/>
    <w:rsid w:val="56845912"/>
    <w:rsid w:val="56DD3FB1"/>
    <w:rsid w:val="56E952B6"/>
    <w:rsid w:val="57114F80"/>
    <w:rsid w:val="575A5E8E"/>
    <w:rsid w:val="57761364"/>
    <w:rsid w:val="577675F9"/>
    <w:rsid w:val="577807D7"/>
    <w:rsid w:val="577C1475"/>
    <w:rsid w:val="5784337A"/>
    <w:rsid w:val="57A8245F"/>
    <w:rsid w:val="57B0635A"/>
    <w:rsid w:val="57BB34E2"/>
    <w:rsid w:val="57CF1C52"/>
    <w:rsid w:val="57D03864"/>
    <w:rsid w:val="57E04EC6"/>
    <w:rsid w:val="57ED01BC"/>
    <w:rsid w:val="580626E2"/>
    <w:rsid w:val="581E5A16"/>
    <w:rsid w:val="583628E4"/>
    <w:rsid w:val="58383F31"/>
    <w:rsid w:val="583849FF"/>
    <w:rsid w:val="583B614D"/>
    <w:rsid w:val="583E4076"/>
    <w:rsid w:val="58613A3F"/>
    <w:rsid w:val="586D71CE"/>
    <w:rsid w:val="5894785B"/>
    <w:rsid w:val="58967358"/>
    <w:rsid w:val="589A7317"/>
    <w:rsid w:val="58A826AF"/>
    <w:rsid w:val="58C05166"/>
    <w:rsid w:val="58CF671F"/>
    <w:rsid w:val="58D517A4"/>
    <w:rsid w:val="58F107FD"/>
    <w:rsid w:val="59030A18"/>
    <w:rsid w:val="59254B4F"/>
    <w:rsid w:val="59340D89"/>
    <w:rsid w:val="599238A9"/>
    <w:rsid w:val="59934492"/>
    <w:rsid w:val="599E79D9"/>
    <w:rsid w:val="59C339B2"/>
    <w:rsid w:val="59C54AE2"/>
    <w:rsid w:val="59F944A2"/>
    <w:rsid w:val="59FB327B"/>
    <w:rsid w:val="59FB5B93"/>
    <w:rsid w:val="5A030EA9"/>
    <w:rsid w:val="5A0D60AA"/>
    <w:rsid w:val="5A10536E"/>
    <w:rsid w:val="5A251E81"/>
    <w:rsid w:val="5A347973"/>
    <w:rsid w:val="5A3662E8"/>
    <w:rsid w:val="5A415D67"/>
    <w:rsid w:val="5A427B1A"/>
    <w:rsid w:val="5A6A306E"/>
    <w:rsid w:val="5A8760AB"/>
    <w:rsid w:val="5A8E3CAE"/>
    <w:rsid w:val="5AC56A29"/>
    <w:rsid w:val="5AD6396C"/>
    <w:rsid w:val="5ADC33D7"/>
    <w:rsid w:val="5B07285D"/>
    <w:rsid w:val="5B101B12"/>
    <w:rsid w:val="5B150ED7"/>
    <w:rsid w:val="5B204595"/>
    <w:rsid w:val="5B294523"/>
    <w:rsid w:val="5B590DC3"/>
    <w:rsid w:val="5B72079D"/>
    <w:rsid w:val="5B724191"/>
    <w:rsid w:val="5B897138"/>
    <w:rsid w:val="5B8B122A"/>
    <w:rsid w:val="5B9A2651"/>
    <w:rsid w:val="5B9C2B2B"/>
    <w:rsid w:val="5B9C33A6"/>
    <w:rsid w:val="5BB173FD"/>
    <w:rsid w:val="5BB330C7"/>
    <w:rsid w:val="5BBC29F3"/>
    <w:rsid w:val="5BC546AB"/>
    <w:rsid w:val="5BC745CB"/>
    <w:rsid w:val="5C00444D"/>
    <w:rsid w:val="5C2F46E4"/>
    <w:rsid w:val="5C5242AB"/>
    <w:rsid w:val="5C5D6245"/>
    <w:rsid w:val="5C616643"/>
    <w:rsid w:val="5C644F07"/>
    <w:rsid w:val="5C7032F1"/>
    <w:rsid w:val="5C965957"/>
    <w:rsid w:val="5C9A5B38"/>
    <w:rsid w:val="5CB93689"/>
    <w:rsid w:val="5CBB785C"/>
    <w:rsid w:val="5CD10E2D"/>
    <w:rsid w:val="5D1C654D"/>
    <w:rsid w:val="5D51273D"/>
    <w:rsid w:val="5D5D3469"/>
    <w:rsid w:val="5D605EA7"/>
    <w:rsid w:val="5D6219CA"/>
    <w:rsid w:val="5D65280D"/>
    <w:rsid w:val="5D850D37"/>
    <w:rsid w:val="5D8F01BD"/>
    <w:rsid w:val="5DAA158A"/>
    <w:rsid w:val="5DBE64A9"/>
    <w:rsid w:val="5DBF3354"/>
    <w:rsid w:val="5DDB0D13"/>
    <w:rsid w:val="5DF838CD"/>
    <w:rsid w:val="5E0F54DE"/>
    <w:rsid w:val="5E266390"/>
    <w:rsid w:val="5E277727"/>
    <w:rsid w:val="5E3F0ED1"/>
    <w:rsid w:val="5E4A2512"/>
    <w:rsid w:val="5E577C9D"/>
    <w:rsid w:val="5E676423"/>
    <w:rsid w:val="5E7602B4"/>
    <w:rsid w:val="5E7F12E0"/>
    <w:rsid w:val="5EB0168E"/>
    <w:rsid w:val="5ED07A72"/>
    <w:rsid w:val="5ED71707"/>
    <w:rsid w:val="5EDE1CB9"/>
    <w:rsid w:val="5EDF6B03"/>
    <w:rsid w:val="5EE56B57"/>
    <w:rsid w:val="5EEA13C2"/>
    <w:rsid w:val="5EF43336"/>
    <w:rsid w:val="5EF4573E"/>
    <w:rsid w:val="5F036BB0"/>
    <w:rsid w:val="5F14195F"/>
    <w:rsid w:val="5F5F4D25"/>
    <w:rsid w:val="5F854353"/>
    <w:rsid w:val="5F8B5419"/>
    <w:rsid w:val="5FA357B7"/>
    <w:rsid w:val="5FB262C6"/>
    <w:rsid w:val="5FBF334E"/>
    <w:rsid w:val="5FE622CE"/>
    <w:rsid w:val="5FF65EAD"/>
    <w:rsid w:val="601F47A8"/>
    <w:rsid w:val="605F5ABC"/>
    <w:rsid w:val="609E49D5"/>
    <w:rsid w:val="60F35B9F"/>
    <w:rsid w:val="6102426A"/>
    <w:rsid w:val="61147A08"/>
    <w:rsid w:val="611525C8"/>
    <w:rsid w:val="61202FF0"/>
    <w:rsid w:val="61394F42"/>
    <w:rsid w:val="614442C4"/>
    <w:rsid w:val="61495D42"/>
    <w:rsid w:val="615503AE"/>
    <w:rsid w:val="61755971"/>
    <w:rsid w:val="617571C8"/>
    <w:rsid w:val="61A8025C"/>
    <w:rsid w:val="61C3690E"/>
    <w:rsid w:val="61CB6793"/>
    <w:rsid w:val="61D10C66"/>
    <w:rsid w:val="620C5D12"/>
    <w:rsid w:val="62314848"/>
    <w:rsid w:val="626B0F0F"/>
    <w:rsid w:val="6271733B"/>
    <w:rsid w:val="62935F08"/>
    <w:rsid w:val="62A80680"/>
    <w:rsid w:val="62BE2037"/>
    <w:rsid w:val="62C66999"/>
    <w:rsid w:val="630008A4"/>
    <w:rsid w:val="63092BB6"/>
    <w:rsid w:val="630F3F05"/>
    <w:rsid w:val="63116A9B"/>
    <w:rsid w:val="633305BA"/>
    <w:rsid w:val="63545E0F"/>
    <w:rsid w:val="635872AF"/>
    <w:rsid w:val="635930FC"/>
    <w:rsid w:val="637B1C48"/>
    <w:rsid w:val="63A92259"/>
    <w:rsid w:val="63AA35F8"/>
    <w:rsid w:val="63AA7EBE"/>
    <w:rsid w:val="63D43939"/>
    <w:rsid w:val="642F280C"/>
    <w:rsid w:val="643B52B3"/>
    <w:rsid w:val="644D19D1"/>
    <w:rsid w:val="6455095A"/>
    <w:rsid w:val="646F3E16"/>
    <w:rsid w:val="647102D3"/>
    <w:rsid w:val="648371DF"/>
    <w:rsid w:val="648678EC"/>
    <w:rsid w:val="648A7FFE"/>
    <w:rsid w:val="64915A72"/>
    <w:rsid w:val="64940464"/>
    <w:rsid w:val="649C0E93"/>
    <w:rsid w:val="64A06C38"/>
    <w:rsid w:val="64B02B5D"/>
    <w:rsid w:val="64B2614A"/>
    <w:rsid w:val="64C2011E"/>
    <w:rsid w:val="651D0327"/>
    <w:rsid w:val="6551006A"/>
    <w:rsid w:val="65520E71"/>
    <w:rsid w:val="655B7E2E"/>
    <w:rsid w:val="656B11A4"/>
    <w:rsid w:val="659410CD"/>
    <w:rsid w:val="65A2780B"/>
    <w:rsid w:val="65B052EF"/>
    <w:rsid w:val="65DF711B"/>
    <w:rsid w:val="65F04828"/>
    <w:rsid w:val="65FB1EB8"/>
    <w:rsid w:val="662D6D72"/>
    <w:rsid w:val="663027C2"/>
    <w:rsid w:val="66442597"/>
    <w:rsid w:val="66874130"/>
    <w:rsid w:val="66921405"/>
    <w:rsid w:val="66A522C6"/>
    <w:rsid w:val="66A979FF"/>
    <w:rsid w:val="66B4663B"/>
    <w:rsid w:val="66BC2B4E"/>
    <w:rsid w:val="66D86595"/>
    <w:rsid w:val="66DB5BB6"/>
    <w:rsid w:val="66DE38C0"/>
    <w:rsid w:val="66E6069B"/>
    <w:rsid w:val="67003E65"/>
    <w:rsid w:val="6743269F"/>
    <w:rsid w:val="67445133"/>
    <w:rsid w:val="67694F1E"/>
    <w:rsid w:val="67A350F4"/>
    <w:rsid w:val="67B07AF8"/>
    <w:rsid w:val="67D94470"/>
    <w:rsid w:val="67EF200D"/>
    <w:rsid w:val="67FF4833"/>
    <w:rsid w:val="68203A25"/>
    <w:rsid w:val="68217474"/>
    <w:rsid w:val="683250E9"/>
    <w:rsid w:val="683A3D2B"/>
    <w:rsid w:val="68473C2F"/>
    <w:rsid w:val="6867588A"/>
    <w:rsid w:val="688415D6"/>
    <w:rsid w:val="68925491"/>
    <w:rsid w:val="68E92E5C"/>
    <w:rsid w:val="68ED7DC4"/>
    <w:rsid w:val="68F86B81"/>
    <w:rsid w:val="6906473B"/>
    <w:rsid w:val="69070E41"/>
    <w:rsid w:val="693F1238"/>
    <w:rsid w:val="69417DFF"/>
    <w:rsid w:val="69456897"/>
    <w:rsid w:val="697F2838"/>
    <w:rsid w:val="699658E9"/>
    <w:rsid w:val="69A54A52"/>
    <w:rsid w:val="69B1205E"/>
    <w:rsid w:val="69BA6554"/>
    <w:rsid w:val="69C67EBF"/>
    <w:rsid w:val="69D208F8"/>
    <w:rsid w:val="69DB32EB"/>
    <w:rsid w:val="69F272E4"/>
    <w:rsid w:val="69F9444E"/>
    <w:rsid w:val="6A0279C4"/>
    <w:rsid w:val="6A046989"/>
    <w:rsid w:val="6A046C7D"/>
    <w:rsid w:val="6A625530"/>
    <w:rsid w:val="6A90501F"/>
    <w:rsid w:val="6A9F07BD"/>
    <w:rsid w:val="6A9F658B"/>
    <w:rsid w:val="6AA23FC4"/>
    <w:rsid w:val="6ABB3BC5"/>
    <w:rsid w:val="6AD41FAF"/>
    <w:rsid w:val="6AF55824"/>
    <w:rsid w:val="6AF91C7B"/>
    <w:rsid w:val="6AFD7A47"/>
    <w:rsid w:val="6B0E70BA"/>
    <w:rsid w:val="6B433D5F"/>
    <w:rsid w:val="6B574536"/>
    <w:rsid w:val="6B6D177C"/>
    <w:rsid w:val="6B8031C7"/>
    <w:rsid w:val="6BC71D79"/>
    <w:rsid w:val="6BC87A85"/>
    <w:rsid w:val="6BD12BF8"/>
    <w:rsid w:val="6BD826F8"/>
    <w:rsid w:val="6C162D18"/>
    <w:rsid w:val="6C22152B"/>
    <w:rsid w:val="6C4F54DF"/>
    <w:rsid w:val="6C85608B"/>
    <w:rsid w:val="6C9E7ADA"/>
    <w:rsid w:val="6CC664D5"/>
    <w:rsid w:val="6CEE2E59"/>
    <w:rsid w:val="6CFC3CA5"/>
    <w:rsid w:val="6D0B5F56"/>
    <w:rsid w:val="6D16118F"/>
    <w:rsid w:val="6D1C2703"/>
    <w:rsid w:val="6D1F0722"/>
    <w:rsid w:val="6D7B2101"/>
    <w:rsid w:val="6D9E3D04"/>
    <w:rsid w:val="6DF836AD"/>
    <w:rsid w:val="6E136FED"/>
    <w:rsid w:val="6E156810"/>
    <w:rsid w:val="6E175A36"/>
    <w:rsid w:val="6E3B17B0"/>
    <w:rsid w:val="6E496452"/>
    <w:rsid w:val="6E4A58C8"/>
    <w:rsid w:val="6E570631"/>
    <w:rsid w:val="6E596C4E"/>
    <w:rsid w:val="6E81675C"/>
    <w:rsid w:val="6E934C74"/>
    <w:rsid w:val="6F073BEC"/>
    <w:rsid w:val="6F1D3308"/>
    <w:rsid w:val="6F1D4383"/>
    <w:rsid w:val="6F265009"/>
    <w:rsid w:val="6F3430F0"/>
    <w:rsid w:val="6F3A73F0"/>
    <w:rsid w:val="6F3E1686"/>
    <w:rsid w:val="6F675D4D"/>
    <w:rsid w:val="6F934992"/>
    <w:rsid w:val="6FA523D2"/>
    <w:rsid w:val="6FCE11B4"/>
    <w:rsid w:val="6FCF1507"/>
    <w:rsid w:val="6FF95C8B"/>
    <w:rsid w:val="6FFE1AE2"/>
    <w:rsid w:val="70033DBC"/>
    <w:rsid w:val="7007465D"/>
    <w:rsid w:val="70205AFA"/>
    <w:rsid w:val="702A6908"/>
    <w:rsid w:val="702F6752"/>
    <w:rsid w:val="703F45D4"/>
    <w:rsid w:val="70404BDE"/>
    <w:rsid w:val="70467A7B"/>
    <w:rsid w:val="704E6B5F"/>
    <w:rsid w:val="705A5870"/>
    <w:rsid w:val="706369A1"/>
    <w:rsid w:val="70695F76"/>
    <w:rsid w:val="70731C8B"/>
    <w:rsid w:val="70995FB2"/>
    <w:rsid w:val="70A82459"/>
    <w:rsid w:val="70BA7641"/>
    <w:rsid w:val="70BC6592"/>
    <w:rsid w:val="70C12270"/>
    <w:rsid w:val="70E2242A"/>
    <w:rsid w:val="70FF2F85"/>
    <w:rsid w:val="710631B0"/>
    <w:rsid w:val="711907BE"/>
    <w:rsid w:val="711D61AA"/>
    <w:rsid w:val="711D73F1"/>
    <w:rsid w:val="71505E4E"/>
    <w:rsid w:val="71512FEB"/>
    <w:rsid w:val="716245C3"/>
    <w:rsid w:val="716412E5"/>
    <w:rsid w:val="71814FA2"/>
    <w:rsid w:val="718620B1"/>
    <w:rsid w:val="7191061F"/>
    <w:rsid w:val="71A02C88"/>
    <w:rsid w:val="71BE09A0"/>
    <w:rsid w:val="71BE6E5A"/>
    <w:rsid w:val="71C4398B"/>
    <w:rsid w:val="71D06CCF"/>
    <w:rsid w:val="71EF7D02"/>
    <w:rsid w:val="72071EA4"/>
    <w:rsid w:val="7209482D"/>
    <w:rsid w:val="722711D5"/>
    <w:rsid w:val="72322D33"/>
    <w:rsid w:val="72323DD5"/>
    <w:rsid w:val="724A5E14"/>
    <w:rsid w:val="72706ECC"/>
    <w:rsid w:val="727D2614"/>
    <w:rsid w:val="728D4993"/>
    <w:rsid w:val="72A6283D"/>
    <w:rsid w:val="72C40668"/>
    <w:rsid w:val="72C63399"/>
    <w:rsid w:val="72D027B4"/>
    <w:rsid w:val="72D406A8"/>
    <w:rsid w:val="72D65ACA"/>
    <w:rsid w:val="72DE150F"/>
    <w:rsid w:val="72EE57AC"/>
    <w:rsid w:val="72F05230"/>
    <w:rsid w:val="73214C4B"/>
    <w:rsid w:val="73262047"/>
    <w:rsid w:val="733E5A50"/>
    <w:rsid w:val="734205AB"/>
    <w:rsid w:val="735071F1"/>
    <w:rsid w:val="73522870"/>
    <w:rsid w:val="736D4D86"/>
    <w:rsid w:val="73840550"/>
    <w:rsid w:val="738B5D82"/>
    <w:rsid w:val="738F0114"/>
    <w:rsid w:val="73C337A4"/>
    <w:rsid w:val="73D83B22"/>
    <w:rsid w:val="73E32BB0"/>
    <w:rsid w:val="73E779BF"/>
    <w:rsid w:val="73EC2128"/>
    <w:rsid w:val="7405545A"/>
    <w:rsid w:val="740C0C71"/>
    <w:rsid w:val="740F2EFE"/>
    <w:rsid w:val="74357C7D"/>
    <w:rsid w:val="74575C64"/>
    <w:rsid w:val="747A3AAC"/>
    <w:rsid w:val="748C250E"/>
    <w:rsid w:val="748E5C99"/>
    <w:rsid w:val="74AB2123"/>
    <w:rsid w:val="74B4141D"/>
    <w:rsid w:val="74B667A8"/>
    <w:rsid w:val="74BF4E0E"/>
    <w:rsid w:val="74C25E34"/>
    <w:rsid w:val="74D0187B"/>
    <w:rsid w:val="74D32754"/>
    <w:rsid w:val="750042E8"/>
    <w:rsid w:val="750A2D3A"/>
    <w:rsid w:val="75377F70"/>
    <w:rsid w:val="755C3876"/>
    <w:rsid w:val="75844F46"/>
    <w:rsid w:val="759A6362"/>
    <w:rsid w:val="75A61B87"/>
    <w:rsid w:val="75D66F59"/>
    <w:rsid w:val="76130F69"/>
    <w:rsid w:val="76266E05"/>
    <w:rsid w:val="76401E6E"/>
    <w:rsid w:val="76B000B8"/>
    <w:rsid w:val="76CF2C4B"/>
    <w:rsid w:val="76E97048"/>
    <w:rsid w:val="76FB1049"/>
    <w:rsid w:val="770164D0"/>
    <w:rsid w:val="77024FA0"/>
    <w:rsid w:val="770E6046"/>
    <w:rsid w:val="77163DED"/>
    <w:rsid w:val="77277A40"/>
    <w:rsid w:val="772E5BA9"/>
    <w:rsid w:val="773931A2"/>
    <w:rsid w:val="773B0F1B"/>
    <w:rsid w:val="775C3CBE"/>
    <w:rsid w:val="77606C8D"/>
    <w:rsid w:val="77642B72"/>
    <w:rsid w:val="77685B26"/>
    <w:rsid w:val="776C0481"/>
    <w:rsid w:val="77777F3E"/>
    <w:rsid w:val="77825AD8"/>
    <w:rsid w:val="778A5EA7"/>
    <w:rsid w:val="779413BB"/>
    <w:rsid w:val="77A25EC1"/>
    <w:rsid w:val="77A94CF0"/>
    <w:rsid w:val="77B24599"/>
    <w:rsid w:val="77C64D84"/>
    <w:rsid w:val="77DD6874"/>
    <w:rsid w:val="77EA328B"/>
    <w:rsid w:val="780554F9"/>
    <w:rsid w:val="780E4529"/>
    <w:rsid w:val="78215098"/>
    <w:rsid w:val="78414908"/>
    <w:rsid w:val="78444D80"/>
    <w:rsid w:val="784C14B7"/>
    <w:rsid w:val="78684112"/>
    <w:rsid w:val="788D72A3"/>
    <w:rsid w:val="78BE69A8"/>
    <w:rsid w:val="78CA5418"/>
    <w:rsid w:val="78E73A5B"/>
    <w:rsid w:val="78E9313B"/>
    <w:rsid w:val="78EA7678"/>
    <w:rsid w:val="78EE24F1"/>
    <w:rsid w:val="78F843F0"/>
    <w:rsid w:val="792B0337"/>
    <w:rsid w:val="793702BC"/>
    <w:rsid w:val="795000F5"/>
    <w:rsid w:val="79643A99"/>
    <w:rsid w:val="7974092E"/>
    <w:rsid w:val="79946E4A"/>
    <w:rsid w:val="79A441B1"/>
    <w:rsid w:val="79AF13BE"/>
    <w:rsid w:val="79B53B59"/>
    <w:rsid w:val="79CF6311"/>
    <w:rsid w:val="79DA711C"/>
    <w:rsid w:val="7A1628BF"/>
    <w:rsid w:val="7A2D4FA1"/>
    <w:rsid w:val="7A316318"/>
    <w:rsid w:val="7A3E1EA1"/>
    <w:rsid w:val="7A407A56"/>
    <w:rsid w:val="7A477E8E"/>
    <w:rsid w:val="7A501E3B"/>
    <w:rsid w:val="7A591ECB"/>
    <w:rsid w:val="7A880423"/>
    <w:rsid w:val="7AAD0D88"/>
    <w:rsid w:val="7AB21E46"/>
    <w:rsid w:val="7ABD4419"/>
    <w:rsid w:val="7AD039E8"/>
    <w:rsid w:val="7AE25958"/>
    <w:rsid w:val="7AFB7193"/>
    <w:rsid w:val="7B481BB9"/>
    <w:rsid w:val="7B51115E"/>
    <w:rsid w:val="7B51443B"/>
    <w:rsid w:val="7B5B5D89"/>
    <w:rsid w:val="7B67266C"/>
    <w:rsid w:val="7B855B73"/>
    <w:rsid w:val="7B870239"/>
    <w:rsid w:val="7B933601"/>
    <w:rsid w:val="7B9854E0"/>
    <w:rsid w:val="7BB92450"/>
    <w:rsid w:val="7BDE4D02"/>
    <w:rsid w:val="7BE73205"/>
    <w:rsid w:val="7C3C40BE"/>
    <w:rsid w:val="7C3C7373"/>
    <w:rsid w:val="7C4908F8"/>
    <w:rsid w:val="7C5545DC"/>
    <w:rsid w:val="7C61506F"/>
    <w:rsid w:val="7C624EB5"/>
    <w:rsid w:val="7C6C1F2D"/>
    <w:rsid w:val="7C8A2FED"/>
    <w:rsid w:val="7C955424"/>
    <w:rsid w:val="7CB5312D"/>
    <w:rsid w:val="7CBF6698"/>
    <w:rsid w:val="7CD95892"/>
    <w:rsid w:val="7CF24DE2"/>
    <w:rsid w:val="7D060228"/>
    <w:rsid w:val="7D083AD3"/>
    <w:rsid w:val="7D0C518E"/>
    <w:rsid w:val="7D0D6A3C"/>
    <w:rsid w:val="7D114767"/>
    <w:rsid w:val="7D1A7CF0"/>
    <w:rsid w:val="7D2403DD"/>
    <w:rsid w:val="7D446A2D"/>
    <w:rsid w:val="7D64657C"/>
    <w:rsid w:val="7D686FED"/>
    <w:rsid w:val="7D6D7FD6"/>
    <w:rsid w:val="7D8010B2"/>
    <w:rsid w:val="7D8751AC"/>
    <w:rsid w:val="7D877161"/>
    <w:rsid w:val="7D990F58"/>
    <w:rsid w:val="7DA329AD"/>
    <w:rsid w:val="7DB36601"/>
    <w:rsid w:val="7DBB3FAB"/>
    <w:rsid w:val="7DBD603D"/>
    <w:rsid w:val="7DCB2754"/>
    <w:rsid w:val="7DE247F1"/>
    <w:rsid w:val="7DE7637C"/>
    <w:rsid w:val="7DEF15B0"/>
    <w:rsid w:val="7E1A7A97"/>
    <w:rsid w:val="7E4A6B8E"/>
    <w:rsid w:val="7E5E0A17"/>
    <w:rsid w:val="7E8A7839"/>
    <w:rsid w:val="7E8C1C18"/>
    <w:rsid w:val="7E9C3BF8"/>
    <w:rsid w:val="7EA91C7B"/>
    <w:rsid w:val="7ECA0052"/>
    <w:rsid w:val="7EF372A1"/>
    <w:rsid w:val="7F1D66F6"/>
    <w:rsid w:val="7F1D77F2"/>
    <w:rsid w:val="7F3F7F0D"/>
    <w:rsid w:val="7F435763"/>
    <w:rsid w:val="7F740AC9"/>
    <w:rsid w:val="7F7A5B24"/>
    <w:rsid w:val="7FB16B71"/>
    <w:rsid w:val="7FB273CA"/>
    <w:rsid w:val="7FC411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nhideWhenUsed="0" w:uiPriority="0" w:semiHidden="0"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2" w:firstLineChars="200"/>
      <w:jc w:val="both"/>
    </w:pPr>
    <w:rPr>
      <w:rFonts w:ascii="宋体" w:hAnsi="宋体" w:eastAsia="宋体" w:cs="Times New Roman"/>
      <w:kern w:val="2"/>
      <w:sz w:val="24"/>
      <w:szCs w:val="24"/>
      <w:lang w:val="en-US" w:eastAsia="zh-CN" w:bidi="ar-SA"/>
    </w:rPr>
  </w:style>
  <w:style w:type="paragraph" w:styleId="7">
    <w:name w:val="heading 1"/>
    <w:basedOn w:val="1"/>
    <w:next w:val="1"/>
    <w:qFormat/>
    <w:uiPriority w:val="9"/>
    <w:pPr>
      <w:keepNext/>
      <w:keepLines/>
      <w:spacing w:beforeLines="0" w:beforeAutospacing="0" w:afterLines="0" w:afterAutospacing="0" w:line="360" w:lineRule="auto"/>
      <w:outlineLvl w:val="0"/>
    </w:pPr>
    <w:rPr>
      <w:rFonts w:ascii="Times New Roman" w:hAnsi="Times New Roman" w:eastAsia="宋体"/>
      <w:b/>
      <w:kern w:val="44"/>
      <w:sz w:val="28"/>
    </w:rPr>
  </w:style>
  <w:style w:type="paragraph" w:styleId="8">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paragraph" w:styleId="9">
    <w:name w:val="heading 4"/>
    <w:basedOn w:val="1"/>
    <w:next w:val="1"/>
    <w:qFormat/>
    <w:uiPriority w:val="1"/>
    <w:pPr>
      <w:outlineLvl w:val="4"/>
    </w:pPr>
    <w:rPr>
      <w:rFonts w:ascii="宋体" w:hAnsi="宋体" w:eastAsia="宋体" w:cs="宋体"/>
      <w:b/>
      <w:bCs/>
      <w:sz w:val="24"/>
      <w:szCs w:val="24"/>
      <w:lang w:val="zh-CN" w:eastAsia="zh-CN" w:bidi="zh-CN"/>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unhideWhenUsed/>
    <w:qFormat/>
    <w:uiPriority w:val="99"/>
    <w:pPr>
      <w:ind w:firstLine="420" w:firstLineChars="200"/>
    </w:pPr>
    <w:rPr>
      <w:rFonts w:hAnsi="Calibri" w:eastAsia="仿宋_GB2312"/>
      <w:kern w:val="2"/>
      <w:sz w:val="28"/>
    </w:rPr>
  </w:style>
  <w:style w:type="paragraph" w:styleId="3">
    <w:name w:val="Body Text Indent"/>
    <w:basedOn w:val="1"/>
    <w:qFormat/>
    <w:uiPriority w:val="99"/>
    <w:pPr>
      <w:spacing w:after="120"/>
      <w:ind w:left="420" w:leftChars="200"/>
    </w:pPr>
    <w:rPr>
      <w:kern w:val="0"/>
      <w:sz w:val="24"/>
      <w:szCs w:val="20"/>
    </w:rPr>
  </w:style>
  <w:style w:type="paragraph" w:styleId="4">
    <w:name w:val="Body Text First Indent"/>
    <w:basedOn w:val="5"/>
    <w:next w:val="1"/>
    <w:qFormat/>
    <w:uiPriority w:val="0"/>
    <w:pPr>
      <w:widowControl w:val="0"/>
      <w:snapToGrid/>
      <w:spacing w:before="0" w:after="120" w:line="240" w:lineRule="auto"/>
      <w:ind w:right="0" w:firstLine="420" w:firstLineChars="100"/>
    </w:pPr>
    <w:rPr>
      <w:kern w:val="2"/>
      <w:sz w:val="21"/>
      <w:szCs w:val="24"/>
    </w:rPr>
  </w:style>
  <w:style w:type="paragraph" w:styleId="5">
    <w:name w:val="Body Text"/>
    <w:basedOn w:val="1"/>
    <w:next w:val="6"/>
    <w:qFormat/>
    <w:uiPriority w:val="1"/>
    <w:rPr>
      <w:rFonts w:ascii="宋体" w:hAnsi="宋体" w:eastAsia="宋体" w:cs="宋体"/>
      <w:sz w:val="24"/>
      <w:szCs w:val="24"/>
      <w:lang w:val="zh-CN" w:eastAsia="zh-CN" w:bidi="zh-CN"/>
    </w:rPr>
  </w:style>
  <w:style w:type="paragraph" w:customStyle="1" w:styleId="6">
    <w:name w:val="xl27"/>
    <w:basedOn w:val="1"/>
    <w:qFormat/>
    <w:uiPriority w:val="0"/>
    <w:pPr>
      <w:widowControl/>
      <w:pBdr>
        <w:left w:val="single" w:color="auto" w:sz="4" w:space="0"/>
      </w:pBdr>
      <w:spacing w:before="100" w:beforeAutospacing="1" w:after="100" w:afterAutospacing="1"/>
      <w:jc w:val="center"/>
    </w:pPr>
    <w:rPr>
      <w:rFonts w:eastAsia="Arial Unicode MS"/>
      <w:kern w:val="0"/>
      <w:lang w:eastAsia="zh-TW"/>
    </w:rPr>
  </w:style>
  <w:style w:type="paragraph" w:styleId="10">
    <w:name w:val="annotation text"/>
    <w:basedOn w:val="1"/>
    <w:semiHidden/>
    <w:unhideWhenUsed/>
    <w:qFormat/>
    <w:uiPriority w:val="99"/>
    <w:pPr>
      <w:jc w:val="left"/>
    </w:pPr>
  </w:style>
  <w:style w:type="paragraph" w:styleId="11">
    <w:name w:val="List Bullet 5"/>
    <w:basedOn w:val="1"/>
    <w:semiHidden/>
    <w:unhideWhenUsed/>
    <w:qFormat/>
    <w:uiPriority w:val="99"/>
    <w:pPr>
      <w:numPr>
        <w:ilvl w:val="0"/>
        <w:numId w:val="1"/>
      </w:numPr>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semiHidden/>
    <w:unhideWhenUsed/>
    <w:qFormat/>
    <w:uiPriority w:val="39"/>
  </w:style>
  <w:style w:type="paragraph" w:styleId="15">
    <w:name w:val="Title"/>
    <w:basedOn w:val="1"/>
    <w:next w:val="1"/>
    <w:qFormat/>
    <w:uiPriority w:val="10"/>
    <w:pPr>
      <w:adjustRightInd w:val="0"/>
      <w:snapToGrid w:val="0"/>
      <w:spacing w:before="240" w:after="240" w:line="300" w:lineRule="auto"/>
      <w:jc w:val="left"/>
      <w:outlineLvl w:val="0"/>
    </w:pPr>
    <w:rPr>
      <w:rFonts w:ascii="仿宋_GB2312" w:hAnsi="Arial" w:eastAsia="仿宋_GB2312" w:cs="Arial"/>
      <w:b/>
      <w:bCs/>
      <w:sz w:val="32"/>
      <w:szCs w:val="32"/>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
    <w:name w:val="Default"/>
    <w:next w:val="1"/>
    <w:qFormat/>
    <w:uiPriority w:val="0"/>
    <w:pPr>
      <w:widowControl w:val="0"/>
      <w:autoSpaceDE w:val="0"/>
      <w:autoSpaceDN w:val="0"/>
      <w:adjustRightInd w:val="0"/>
    </w:pPr>
    <w:rPr>
      <w:rFonts w:ascii="宋体" w:hAnsi="宋体" w:cs="宋体" w:eastAsiaTheme="minorHAnsi"/>
      <w:color w:val="000000"/>
      <w:sz w:val="24"/>
      <w:szCs w:val="24"/>
      <w:lang w:val="en-US" w:eastAsia="zh-CN" w:bidi="ar-SA"/>
    </w:rPr>
  </w:style>
  <w:style w:type="paragraph" w:customStyle="1" w:styleId="20">
    <w:name w:val="表格内容"/>
    <w:basedOn w:val="1"/>
    <w:next w:val="1"/>
    <w:link w:val="21"/>
    <w:qFormat/>
    <w:uiPriority w:val="0"/>
    <w:pPr>
      <w:overflowPunct w:val="0"/>
      <w:adjustRightInd w:val="0"/>
      <w:spacing w:line="240" w:lineRule="auto"/>
      <w:ind w:firstLine="0" w:firstLineChars="0"/>
      <w:jc w:val="center"/>
      <w:textAlignment w:val="baseline"/>
    </w:pPr>
    <w:rPr>
      <w:rFonts w:ascii="宋体" w:hAnsi="宋体" w:eastAsia="宋体"/>
      <w:kern w:val="0"/>
      <w:sz w:val="21"/>
      <w:szCs w:val="20"/>
    </w:rPr>
  </w:style>
  <w:style w:type="character" w:customStyle="1" w:styleId="21">
    <w:name w:val="表格内容 Char"/>
    <w:link w:val="20"/>
    <w:qFormat/>
    <w:uiPriority w:val="0"/>
    <w:rPr>
      <w:rFonts w:ascii="宋体" w:hAnsi="宋体" w:eastAsia="宋体"/>
      <w:kern w:val="0"/>
      <w:sz w:val="21"/>
      <w:szCs w:val="20"/>
    </w:rPr>
  </w:style>
  <w:style w:type="paragraph" w:customStyle="1" w:styleId="22">
    <w:name w:val="Table Paragraph"/>
    <w:basedOn w:val="1"/>
    <w:qFormat/>
    <w:uiPriority w:val="1"/>
    <w:rPr>
      <w:rFonts w:ascii="宋体" w:hAnsi="宋体" w:eastAsia="宋体" w:cs="宋体"/>
      <w:lang w:val="zh-CN" w:eastAsia="zh-CN" w:bidi="zh-CN"/>
    </w:rPr>
  </w:style>
  <w:style w:type="paragraph" w:customStyle="1" w:styleId="23">
    <w:name w:val="WPSOffice手动目录 1"/>
    <w:qFormat/>
    <w:uiPriority w:val="0"/>
    <w:pPr>
      <w:ind w:leftChars="0"/>
    </w:pPr>
    <w:rPr>
      <w:rFonts w:ascii="Times New Roman" w:hAnsi="Times New Roman" w:eastAsia="宋体" w:cs="Times New Roman"/>
      <w:sz w:val="20"/>
      <w:szCs w:val="20"/>
    </w:rPr>
  </w:style>
  <w:style w:type="paragraph" w:styleId="24">
    <w:name w:val="List Paragraph"/>
    <w:basedOn w:val="1"/>
    <w:qFormat/>
    <w:uiPriority w:val="1"/>
    <w:pPr>
      <w:spacing w:before="2"/>
      <w:ind w:left="1526" w:hanging="602"/>
    </w:pPr>
    <w:rPr>
      <w:rFonts w:ascii="宋体" w:hAnsi="宋体" w:eastAsia="宋体" w:cs="宋体"/>
      <w:lang w:val="zh-CN" w:eastAsia="zh-CN" w:bidi="zh-CN"/>
    </w:rPr>
  </w:style>
  <w:style w:type="paragraph" w:customStyle="1" w:styleId="25">
    <w:name w:val="表格标题-加黑小四居中"/>
    <w:basedOn w:val="1"/>
    <w:next w:val="20"/>
    <w:qFormat/>
    <w:uiPriority w:val="0"/>
    <w:pPr>
      <w:snapToGrid w:val="0"/>
      <w:spacing w:before="50" w:beforeLines="50" w:line="240" w:lineRule="auto"/>
      <w:ind w:firstLine="0" w:firstLineChars="0"/>
      <w:jc w:val="center"/>
    </w:pPr>
    <w:rPr>
      <w:rFonts w:ascii="宋体" w:hAnsi="宋体" w:eastAsia="宋体"/>
      <w:b/>
      <w:bCs/>
    </w:rPr>
  </w:style>
  <w:style w:type="paragraph" w:customStyle="1" w:styleId="26">
    <w:name w:val="Body Text 21"/>
    <w:basedOn w:val="1"/>
    <w:qFormat/>
    <w:uiPriority w:val="0"/>
    <w:pPr>
      <w:adjustRightInd w:val="0"/>
      <w:textAlignment w:val="baseline"/>
    </w:pPr>
    <w:rPr>
      <w:rFonts w:ascii="仿宋_GB2312" w:eastAsia="仿宋体"/>
      <w:sz w:val="24"/>
      <w:szCs w:val="20"/>
    </w:rPr>
  </w:style>
  <w:style w:type="paragraph" w:customStyle="1" w:styleId="27">
    <w:name w:val="表格内容 GH"/>
    <w:basedOn w:val="1"/>
    <w:qFormat/>
    <w:uiPriority w:val="0"/>
    <w:pPr>
      <w:adjustRightInd w:val="0"/>
      <w:snapToGrid w:val="0"/>
      <w:spacing w:line="240" w:lineRule="auto"/>
      <w:ind w:firstLine="0" w:firstLineChars="0"/>
      <w:jc w:val="center"/>
    </w:pPr>
    <w:rPr>
      <w:rFonts w:ascii="Times" w:hAnsi="Times"/>
      <w:sz w:val="21"/>
      <w:szCs w:val="21"/>
    </w:rPr>
  </w:style>
  <w:style w:type="table" w:customStyle="1" w:styleId="2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066B46-D79D-440E-A2AD-2E35E31EF8F8}">
  <ds:schemaRefs/>
</ds:datastoreItem>
</file>

<file path=docProps/app.xml><?xml version="1.0" encoding="utf-8"?>
<Properties xmlns="http://schemas.openxmlformats.org/officeDocument/2006/extended-properties" xmlns:vt="http://schemas.openxmlformats.org/officeDocument/2006/docPropsVTypes">
  <Template>Normal</Template>
  <Pages>56</Pages>
  <Words>23540</Words>
  <Characters>30944</Characters>
  <Lines>107</Lines>
  <Paragraphs>30</Paragraphs>
  <TotalTime>8</TotalTime>
  <ScaleCrop>false</ScaleCrop>
  <LinksUpToDate>false</LinksUpToDate>
  <CharactersWithSpaces>31552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2015-11-04T00:32:00Z</dcterms:created>
  <dc:creator>Administrator</dc:creator>
  <cp:lastModifiedBy>卢静</cp:lastModifiedBy>
  <cp:lastPrinted>2023-03-08T02:53:00Z</cp:lastPrinted>
  <dcterms:modified xsi:type="dcterms:W3CDTF">2023-07-11T09:05:31Z</dcterms:modified>
  <dc:title>建设项目“三同时”竣工验收监测方案</dc:title>
  <cp:revision>483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403849B5F9BA4C24A1BFCAB7C845A892</vt:lpwstr>
  </property>
</Properties>
</file>