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left="-210" w:leftChars="-100" w:right="-391" w:rightChars="-186"/>
        <w:jc w:val="center"/>
        <w:rPr>
          <w:rFonts w:ascii="Times New Roman" w:hAnsi="Times New Roman"/>
          <w:b/>
          <w:bCs/>
          <w:snapToGrid w:val="0"/>
          <w:kern w:val="0"/>
          <w:sz w:val="44"/>
          <w:szCs w:val="44"/>
        </w:rPr>
      </w:pPr>
      <w:bookmarkStart w:id="0" w:name="_Hlk524898146"/>
      <w:bookmarkEnd w:id="0"/>
    </w:p>
    <w:p>
      <w:pPr>
        <w:snapToGrid w:val="0"/>
        <w:spacing w:line="360" w:lineRule="auto"/>
        <w:ind w:left="-210" w:leftChars="-100" w:right="-391" w:rightChars="-186"/>
        <w:jc w:val="center"/>
        <w:rPr>
          <w:rFonts w:ascii="Times New Roman" w:hAnsi="Times New Roman"/>
          <w:b/>
          <w:bCs/>
          <w:snapToGrid w:val="0"/>
          <w:kern w:val="0"/>
          <w:sz w:val="44"/>
          <w:szCs w:val="44"/>
        </w:rPr>
      </w:pPr>
    </w:p>
    <w:p>
      <w:pPr>
        <w:snapToGrid w:val="0"/>
        <w:spacing w:line="360" w:lineRule="auto"/>
        <w:ind w:left="-210" w:leftChars="-100" w:right="-391" w:rightChars="-186"/>
        <w:jc w:val="center"/>
        <w:rPr>
          <w:rFonts w:ascii="Times New Roman" w:hAnsi="Times New Roman"/>
          <w:b/>
          <w:bCs/>
          <w:snapToGrid w:val="0"/>
          <w:kern w:val="0"/>
          <w:sz w:val="44"/>
          <w:szCs w:val="44"/>
        </w:rPr>
      </w:pPr>
    </w:p>
    <w:p>
      <w:pPr>
        <w:snapToGrid w:val="0"/>
        <w:spacing w:line="360" w:lineRule="auto"/>
        <w:ind w:left="-210" w:leftChars="-100" w:right="-391" w:rightChars="-186"/>
        <w:jc w:val="center"/>
        <w:rPr>
          <w:rFonts w:ascii="Times New Roman" w:hAnsi="Times New Roman"/>
          <w:b/>
          <w:bCs/>
          <w:snapToGrid w:val="0"/>
          <w:kern w:val="0"/>
          <w:sz w:val="44"/>
          <w:szCs w:val="44"/>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48"/>
          <w:szCs w:val="48"/>
          <w:lang w:val="en-US" w:eastAsia="zh-CN"/>
        </w:rPr>
      </w:pPr>
      <w:bookmarkStart w:id="1" w:name="_Hlk13844670"/>
      <w:r>
        <w:rPr>
          <w:rFonts w:hint="eastAsia" w:ascii="Times New Roman" w:hAnsi="Times New Roman" w:cs="Times New Roman"/>
          <w:b/>
          <w:bCs/>
          <w:sz w:val="48"/>
          <w:szCs w:val="48"/>
          <w:lang w:val="en-US" w:eastAsia="zh-CN"/>
        </w:rPr>
        <w:t>张家港市华科毛纺</w:t>
      </w:r>
      <w:r>
        <w:rPr>
          <w:rFonts w:hint="default" w:ascii="Times New Roman" w:hAnsi="Times New Roman" w:eastAsia="宋体" w:cs="Times New Roman"/>
          <w:b/>
          <w:bCs/>
          <w:sz w:val="48"/>
          <w:szCs w:val="48"/>
          <w:lang w:val="en-US" w:eastAsia="zh-CN"/>
        </w:rPr>
        <w:t>有限公司</w:t>
      </w:r>
    </w:p>
    <w:p>
      <w:pPr>
        <w:widowControl/>
        <w:tabs>
          <w:tab w:val="right" w:leader="middleDot" w:pos="8222"/>
        </w:tabs>
        <w:adjustRightInd w:val="0"/>
        <w:snapToGrid w:val="0"/>
        <w:spacing w:after="200" w:line="360" w:lineRule="auto"/>
        <w:jc w:val="center"/>
        <w:rPr>
          <w:rFonts w:hint="eastAsia" w:ascii="Times New Roman" w:hAnsi="Times New Roman"/>
          <w:b/>
          <w:bCs/>
          <w:snapToGrid w:val="0"/>
          <w:kern w:val="0"/>
          <w:sz w:val="48"/>
          <w:szCs w:val="48"/>
        </w:rPr>
      </w:pPr>
      <w:r>
        <w:rPr>
          <w:rFonts w:hint="eastAsia" w:ascii="Times New Roman" w:hAnsi="Times New Roman"/>
          <w:b/>
          <w:bCs/>
          <w:snapToGrid w:val="0"/>
          <w:kern w:val="0"/>
          <w:sz w:val="48"/>
          <w:szCs w:val="48"/>
        </w:rPr>
        <w:t>20</w:t>
      </w:r>
      <w:r>
        <w:rPr>
          <w:rFonts w:hint="eastAsia" w:ascii="Times New Roman" w:hAnsi="Times New Roman"/>
          <w:b/>
          <w:bCs/>
          <w:snapToGrid w:val="0"/>
          <w:kern w:val="0"/>
          <w:sz w:val="48"/>
          <w:szCs w:val="48"/>
          <w:lang w:val="en-US" w:eastAsia="zh-CN"/>
        </w:rPr>
        <w:t>22</w:t>
      </w:r>
      <w:r>
        <w:rPr>
          <w:rFonts w:hint="eastAsia" w:ascii="Times New Roman" w:hAnsi="Times New Roman"/>
          <w:b/>
          <w:bCs/>
          <w:snapToGrid w:val="0"/>
          <w:kern w:val="0"/>
          <w:sz w:val="48"/>
          <w:szCs w:val="48"/>
        </w:rPr>
        <w:t>年度土壤与地下水环境质量</w:t>
      </w:r>
    </w:p>
    <w:p>
      <w:pPr>
        <w:widowControl/>
        <w:tabs>
          <w:tab w:val="right" w:leader="middleDot" w:pos="8222"/>
        </w:tabs>
        <w:adjustRightInd w:val="0"/>
        <w:snapToGrid w:val="0"/>
        <w:spacing w:after="200" w:line="360" w:lineRule="auto"/>
        <w:jc w:val="center"/>
        <w:rPr>
          <w:rFonts w:hint="eastAsia" w:ascii="Times New Roman" w:hAnsi="Times New Roman" w:eastAsia="宋体"/>
          <w:b/>
          <w:bCs/>
          <w:snapToGrid w:val="0"/>
          <w:kern w:val="0"/>
          <w:sz w:val="48"/>
          <w:szCs w:val="48"/>
          <w:lang w:eastAsia="zh-CN"/>
        </w:rPr>
      </w:pPr>
      <w:r>
        <w:rPr>
          <w:rFonts w:hint="eastAsia" w:ascii="Times New Roman" w:hAnsi="Times New Roman"/>
          <w:b/>
          <w:bCs/>
          <w:snapToGrid w:val="0"/>
          <w:kern w:val="0"/>
          <w:sz w:val="48"/>
          <w:szCs w:val="48"/>
        </w:rPr>
        <w:t>自行监测</w:t>
      </w:r>
      <w:r>
        <w:rPr>
          <w:rFonts w:hint="eastAsia" w:ascii="Times New Roman" w:hAnsi="Times New Roman"/>
          <w:b/>
          <w:bCs/>
          <w:snapToGrid w:val="0"/>
          <w:kern w:val="0"/>
          <w:sz w:val="48"/>
          <w:szCs w:val="48"/>
          <w:lang w:eastAsia="zh-CN"/>
        </w:rPr>
        <w:t>方案</w:t>
      </w:r>
    </w:p>
    <w:bookmarkEnd w:id="1"/>
    <w:p>
      <w:pPr>
        <w:snapToGrid w:val="0"/>
        <w:spacing w:line="360" w:lineRule="auto"/>
        <w:jc w:val="center"/>
        <w:rPr>
          <w:rFonts w:ascii="Times New Roman" w:hAnsi="Times New Roman"/>
          <w:b/>
          <w:bCs/>
          <w:snapToGrid w:val="0"/>
          <w:kern w:val="0"/>
          <w:sz w:val="48"/>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ind w:right="-391" w:rightChars="-186"/>
        <w:jc w:val="center"/>
        <w:rPr>
          <w:rFonts w:hint="eastAsia" w:ascii="Times New Roman" w:hAnsi="Times New Roman" w:eastAsia="宋体"/>
          <w:snapToGrid w:val="0"/>
          <w:kern w:val="0"/>
          <w:sz w:val="32"/>
          <w:szCs w:val="32"/>
          <w:lang w:eastAsia="zh-CN"/>
        </w:rPr>
      </w:pPr>
      <w:r>
        <w:rPr>
          <w:rFonts w:hint="eastAsia" w:ascii="Times New Roman" w:hAnsi="Times New Roman"/>
          <w:snapToGrid w:val="0"/>
          <w:kern w:val="0"/>
          <w:sz w:val="32"/>
          <w:szCs w:val="32"/>
          <w:lang w:val="en-US" w:eastAsia="zh-CN"/>
        </w:rPr>
        <w:t>张家港市华科毛纺</w:t>
      </w:r>
      <w:r>
        <w:rPr>
          <w:rFonts w:hint="default" w:ascii="Times New Roman" w:hAnsi="Times New Roman"/>
          <w:snapToGrid w:val="0"/>
          <w:kern w:val="0"/>
          <w:sz w:val="32"/>
          <w:szCs w:val="32"/>
          <w:lang w:val="en-US" w:eastAsia="zh-CN"/>
        </w:rPr>
        <w:t>有限公司</w:t>
      </w:r>
    </w:p>
    <w:p>
      <w:pPr>
        <w:snapToGrid w:val="0"/>
        <w:spacing w:line="360" w:lineRule="auto"/>
        <w:ind w:right="-391" w:rightChars="-186"/>
        <w:jc w:val="center"/>
        <w:rPr>
          <w:rFonts w:ascii="Times New Roman" w:hAnsi="Times New Roman"/>
          <w:snapToGrid w:val="0"/>
          <w:kern w:val="0"/>
          <w:sz w:val="32"/>
          <w:szCs w:val="32"/>
        </w:rPr>
      </w:pPr>
      <w:r>
        <w:rPr>
          <w:rFonts w:hint="eastAsia" w:ascii="Times New Roman" w:hAnsi="Times New Roman"/>
          <w:snapToGrid w:val="0"/>
          <w:kern w:val="0"/>
          <w:sz w:val="32"/>
          <w:szCs w:val="32"/>
          <w:lang w:val="en-US" w:eastAsia="zh-CN"/>
        </w:rPr>
        <w:t>2022</w:t>
      </w:r>
      <w:r>
        <w:rPr>
          <w:rFonts w:ascii="Times New Roman" w:hAnsi="Times New Roman"/>
          <w:snapToGrid w:val="0"/>
          <w:kern w:val="0"/>
          <w:sz w:val="32"/>
          <w:szCs w:val="32"/>
        </w:rPr>
        <w:t>年</w:t>
      </w:r>
      <w:r>
        <w:rPr>
          <w:rFonts w:hint="eastAsia" w:ascii="Times New Roman" w:hAnsi="Times New Roman"/>
          <w:snapToGrid w:val="0"/>
          <w:kern w:val="0"/>
          <w:sz w:val="32"/>
          <w:szCs w:val="32"/>
          <w:lang w:val="en-US" w:eastAsia="zh-CN"/>
        </w:rPr>
        <w:t>1</w:t>
      </w:r>
      <w:r>
        <w:rPr>
          <w:rFonts w:ascii="Times New Roman" w:hAnsi="Times New Roman"/>
          <w:snapToGrid w:val="0"/>
          <w:kern w:val="0"/>
          <w:sz w:val="32"/>
          <w:szCs w:val="32"/>
        </w:rPr>
        <w:t>月</w:t>
      </w:r>
    </w:p>
    <w:p>
      <w:pPr>
        <w:widowControl/>
        <w:jc w:val="left"/>
        <w:rPr>
          <w:rFonts w:ascii="Times New Roman" w:hAnsi="Times New Roman"/>
          <w:snapToGrid w:val="0"/>
          <w:kern w:val="0"/>
          <w:sz w:val="32"/>
          <w:szCs w:val="32"/>
        </w:rPr>
        <w:sectPr>
          <w:headerReference r:id="rId3" w:type="default"/>
          <w:pgSz w:w="11906" w:h="16838"/>
          <w:pgMar w:top="1440" w:right="1800" w:bottom="1440" w:left="1800" w:header="851" w:footer="992" w:gutter="0"/>
          <w:cols w:space="425" w:num="1"/>
          <w:docGrid w:type="lines" w:linePitch="312" w:charSpace="0"/>
        </w:sectPr>
      </w:pPr>
    </w:p>
    <w:p>
      <w:pPr>
        <w:jc w:val="center"/>
        <w:rPr>
          <w:rFonts w:ascii="Times New Roman" w:hAnsi="Times New Roman"/>
          <w:b/>
          <w:snapToGrid w:val="0"/>
          <w:kern w:val="0"/>
          <w:sz w:val="32"/>
          <w:szCs w:val="32"/>
        </w:rPr>
      </w:pPr>
      <w:r>
        <w:rPr>
          <w:rFonts w:hint="eastAsia" w:ascii="Times New Roman" w:hAnsi="Times New Roman"/>
          <w:b/>
          <w:snapToGrid w:val="0"/>
          <w:kern w:val="0"/>
          <w:sz w:val="32"/>
          <w:szCs w:val="32"/>
        </w:rPr>
        <w:t>目录</w:t>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snapToGrid w:val="0"/>
          <w:kern w:val="0"/>
        </w:rPr>
        <w:fldChar w:fldCharType="begin"/>
      </w:r>
      <w:r>
        <w:rPr>
          <w:snapToGrid w:val="0"/>
          <w:kern w:val="0"/>
        </w:rPr>
        <w:instrText xml:space="preserve"> TOC \o "1-3" \h \z \u </w:instrText>
      </w:r>
      <w:r>
        <w:rPr>
          <w:snapToGrid w:val="0"/>
          <w:kern w:val="0"/>
        </w:rPr>
        <w:fldChar w:fldCharType="separate"/>
      </w:r>
      <w:r>
        <w:rPr>
          <w:snapToGrid w:val="0"/>
          <w:kern w:val="0"/>
        </w:rPr>
        <w:fldChar w:fldCharType="begin"/>
      </w:r>
      <w:r>
        <w:rPr>
          <w:snapToGrid w:val="0"/>
          <w:kern w:val="0"/>
        </w:rPr>
        <w:instrText xml:space="preserve"> HYPERLINK \l _Toc23435 </w:instrText>
      </w:r>
      <w:r>
        <w:rPr>
          <w:snapToGrid w:val="0"/>
          <w:kern w:val="0"/>
        </w:rPr>
        <w:fldChar w:fldCharType="separate"/>
      </w:r>
      <w:r>
        <w:rPr>
          <w:rFonts w:ascii="Times New Roman" w:hAnsi="Times New Roman"/>
          <w:bCs/>
          <w:kern w:val="44"/>
          <w:szCs w:val="44"/>
        </w:rPr>
        <w:t>1 项目概述</w:t>
      </w:r>
      <w:r>
        <w:tab/>
      </w:r>
      <w:r>
        <w:fldChar w:fldCharType="begin"/>
      </w:r>
      <w:r>
        <w:instrText xml:space="preserve"> PAGEREF _Toc23435 \h </w:instrText>
      </w:r>
      <w:r>
        <w:fldChar w:fldCharType="separate"/>
      </w:r>
      <w:r>
        <w:t>1</w:t>
      </w:r>
      <w:r>
        <w:fldChar w:fldCharType="end"/>
      </w:r>
      <w:r>
        <w:rPr>
          <w:snapToGrid w:val="0"/>
          <w:kern w:val="0"/>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_Toc8252 </w:instrText>
      </w:r>
      <w:r>
        <w:rPr>
          <w:rFonts w:ascii="宋体" w:hAnsi="宋体"/>
          <w:snapToGrid w:val="0"/>
          <w:kern w:val="0"/>
          <w:szCs w:val="24"/>
        </w:rPr>
        <w:fldChar w:fldCharType="separate"/>
      </w:r>
      <w:r>
        <w:rPr>
          <w:rFonts w:ascii="Times New Roman" w:hAnsi="Times New Roman"/>
          <w:bCs/>
          <w:szCs w:val="32"/>
        </w:rPr>
        <w:t>1.1项目背景</w:t>
      </w:r>
      <w:r>
        <w:tab/>
      </w:r>
      <w:r>
        <w:fldChar w:fldCharType="begin"/>
      </w:r>
      <w:r>
        <w:instrText xml:space="preserve"> PAGEREF _Toc8252 \h </w:instrText>
      </w:r>
      <w:r>
        <w:fldChar w:fldCharType="separate"/>
      </w:r>
      <w:r>
        <w:t>1</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_Toc14173 </w:instrText>
      </w:r>
      <w:r>
        <w:rPr>
          <w:rFonts w:ascii="宋体" w:hAnsi="宋体"/>
          <w:snapToGrid w:val="0"/>
          <w:kern w:val="0"/>
          <w:szCs w:val="24"/>
        </w:rPr>
        <w:fldChar w:fldCharType="separate"/>
      </w:r>
      <w:r>
        <w:rPr>
          <w:rFonts w:ascii="Times New Roman" w:hAnsi="Times New Roman"/>
          <w:bCs/>
          <w:szCs w:val="32"/>
        </w:rPr>
        <w:t>1.</w:t>
      </w:r>
      <w:r>
        <w:rPr>
          <w:rFonts w:hint="eastAsia" w:ascii="Times New Roman" w:hAnsi="Times New Roman"/>
          <w:bCs/>
          <w:szCs w:val="32"/>
        </w:rPr>
        <w:t>2企业简介</w:t>
      </w:r>
      <w:r>
        <w:tab/>
      </w:r>
      <w:r>
        <w:fldChar w:fldCharType="begin"/>
      </w:r>
      <w:r>
        <w:instrText xml:space="preserve"> PAGEREF _Toc14173 \h </w:instrText>
      </w:r>
      <w:r>
        <w:fldChar w:fldCharType="separate"/>
      </w:r>
      <w:r>
        <w:t>1</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_Toc26124 </w:instrText>
      </w:r>
      <w:r>
        <w:rPr>
          <w:rFonts w:ascii="宋体" w:hAnsi="宋体"/>
          <w:snapToGrid w:val="0"/>
          <w:kern w:val="0"/>
          <w:szCs w:val="24"/>
        </w:rPr>
        <w:fldChar w:fldCharType="separate"/>
      </w:r>
      <w:r>
        <w:rPr>
          <w:rFonts w:hint="eastAsia" w:ascii="Times New Roman" w:hAnsi="Times New Roman"/>
          <w:bCs/>
          <w:kern w:val="44"/>
          <w:szCs w:val="44"/>
        </w:rPr>
        <w:t>2</w:t>
      </w:r>
      <w:r>
        <w:rPr>
          <w:rFonts w:ascii="Times New Roman" w:hAnsi="Times New Roman"/>
          <w:bCs/>
          <w:kern w:val="44"/>
          <w:szCs w:val="44"/>
        </w:rPr>
        <w:t xml:space="preserve"> </w:t>
      </w:r>
      <w:r>
        <w:rPr>
          <w:rFonts w:hint="eastAsia" w:ascii="Times New Roman" w:hAnsi="Times New Roman"/>
          <w:bCs/>
          <w:kern w:val="44"/>
          <w:szCs w:val="44"/>
        </w:rPr>
        <w:t>编制依据</w:t>
      </w:r>
      <w:r>
        <w:tab/>
      </w:r>
      <w:r>
        <w:fldChar w:fldCharType="begin"/>
      </w:r>
      <w:r>
        <w:instrText xml:space="preserve"> PAGEREF _Toc26124 \h </w:instrText>
      </w:r>
      <w:r>
        <w:fldChar w:fldCharType="separate"/>
      </w:r>
      <w:r>
        <w:t>2</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_Toc21181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.1</w:t>
      </w:r>
      <w:r>
        <w:rPr>
          <w:rFonts w:hint="eastAsia" w:ascii="Times New Roman" w:hAnsi="Times New Roman"/>
          <w:bCs/>
          <w:szCs w:val="32"/>
        </w:rPr>
        <w:t>相关法律、法规及政策</w:t>
      </w:r>
      <w:r>
        <w:tab/>
      </w:r>
      <w:r>
        <w:fldChar w:fldCharType="begin"/>
      </w:r>
      <w:r>
        <w:instrText xml:space="preserve"> PAGEREF _Toc21181 \h </w:instrText>
      </w:r>
      <w:r>
        <w:fldChar w:fldCharType="separate"/>
      </w:r>
      <w:r>
        <w:t>2</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_Toc25502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2相关技术导则、规范及指南</w:t>
      </w:r>
      <w:r>
        <w:tab/>
      </w:r>
      <w:r>
        <w:fldChar w:fldCharType="begin"/>
      </w:r>
      <w:r>
        <w:instrText xml:space="preserve"> PAGEREF _Toc25502 \h </w:instrText>
      </w:r>
      <w:r>
        <w:fldChar w:fldCharType="separate"/>
      </w:r>
      <w:r>
        <w:t>2</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_Toc10382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3相关标准</w:t>
      </w:r>
      <w:r>
        <w:tab/>
      </w:r>
      <w:r>
        <w:fldChar w:fldCharType="begin"/>
      </w:r>
      <w:r>
        <w:instrText xml:space="preserve"> PAGEREF _Toc10382 \h </w:instrText>
      </w:r>
      <w:r>
        <w:fldChar w:fldCharType="separate"/>
      </w:r>
      <w:r>
        <w:t>3</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_Toc15798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4其他资料</w:t>
      </w:r>
      <w:r>
        <w:tab/>
      </w:r>
      <w:r>
        <w:fldChar w:fldCharType="begin"/>
      </w:r>
      <w:r>
        <w:instrText xml:space="preserve"> PAGEREF _Toc15798 \h </w:instrText>
      </w:r>
      <w:r>
        <w:fldChar w:fldCharType="separate"/>
      </w:r>
      <w:r>
        <w:t>3</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_Toc12872 </w:instrText>
      </w:r>
      <w:r>
        <w:rPr>
          <w:rFonts w:ascii="宋体" w:hAnsi="宋体"/>
          <w:snapToGrid w:val="0"/>
          <w:kern w:val="0"/>
          <w:szCs w:val="24"/>
        </w:rPr>
        <w:fldChar w:fldCharType="separate"/>
      </w:r>
      <w:r>
        <w:rPr>
          <w:rFonts w:hint="eastAsia" w:ascii="Times New Roman" w:hAnsi="Times New Roman"/>
          <w:bCs/>
          <w:kern w:val="44"/>
          <w:szCs w:val="44"/>
        </w:rPr>
        <w:t>3</w:t>
      </w:r>
      <w:r>
        <w:rPr>
          <w:rFonts w:ascii="Times New Roman" w:hAnsi="Times New Roman"/>
          <w:bCs/>
          <w:kern w:val="44"/>
          <w:szCs w:val="44"/>
        </w:rPr>
        <w:t xml:space="preserve"> </w:t>
      </w:r>
      <w:r>
        <w:rPr>
          <w:rFonts w:hint="eastAsia" w:ascii="Times New Roman" w:hAnsi="Times New Roman"/>
          <w:bCs/>
          <w:kern w:val="44"/>
          <w:szCs w:val="44"/>
        </w:rPr>
        <w:t>工作流程</w:t>
      </w:r>
      <w:r>
        <w:tab/>
      </w:r>
      <w:r>
        <w:fldChar w:fldCharType="begin"/>
      </w:r>
      <w:r>
        <w:instrText xml:space="preserve"> PAGEREF _Toc12872 \h </w:instrText>
      </w:r>
      <w:r>
        <w:fldChar w:fldCharType="separate"/>
      </w:r>
      <w:r>
        <w:t>4</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_Toc22690 </w:instrText>
      </w:r>
      <w:r>
        <w:rPr>
          <w:rFonts w:ascii="宋体" w:hAnsi="宋体"/>
          <w:snapToGrid w:val="0"/>
          <w:kern w:val="0"/>
          <w:szCs w:val="24"/>
        </w:rPr>
        <w:fldChar w:fldCharType="separate"/>
      </w:r>
      <w:r>
        <w:rPr>
          <w:rFonts w:hint="eastAsia" w:ascii="Times New Roman" w:hAnsi="Times New Roman"/>
          <w:bCs/>
          <w:kern w:val="44"/>
          <w:szCs w:val="44"/>
        </w:rPr>
        <w:t>4</w:t>
      </w:r>
      <w:r>
        <w:rPr>
          <w:rFonts w:ascii="Times New Roman" w:hAnsi="Times New Roman"/>
          <w:bCs/>
          <w:kern w:val="44"/>
          <w:szCs w:val="44"/>
        </w:rPr>
        <w:t xml:space="preserve"> </w:t>
      </w:r>
      <w:r>
        <w:rPr>
          <w:rFonts w:hint="eastAsia" w:ascii="Times New Roman" w:hAnsi="Times New Roman"/>
          <w:bCs/>
          <w:kern w:val="44"/>
          <w:szCs w:val="44"/>
        </w:rPr>
        <w:t>排查概况</w:t>
      </w:r>
      <w:r>
        <w:tab/>
      </w:r>
      <w:r>
        <w:fldChar w:fldCharType="begin"/>
      </w:r>
      <w:r>
        <w:instrText xml:space="preserve"> PAGEREF _Toc22690 \h </w:instrText>
      </w:r>
      <w:r>
        <w:fldChar w:fldCharType="separate"/>
      </w:r>
      <w:r>
        <w:t>6</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_Toc14544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.1</w:t>
      </w:r>
      <w:r>
        <w:rPr>
          <w:rFonts w:hint="eastAsia" w:ascii="Times New Roman" w:hAnsi="Times New Roman"/>
          <w:bCs/>
          <w:szCs w:val="32"/>
        </w:rPr>
        <w:t>企业建设概况</w:t>
      </w:r>
      <w:r>
        <w:tab/>
      </w:r>
      <w:r>
        <w:fldChar w:fldCharType="begin"/>
      </w:r>
      <w:r>
        <w:instrText xml:space="preserve"> PAGEREF _Toc14544 \h </w:instrText>
      </w:r>
      <w:r>
        <w:fldChar w:fldCharType="separate"/>
      </w:r>
      <w:r>
        <w:t>6</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_Toc16450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w:t>
      </w:r>
      <w:r>
        <w:rPr>
          <w:rFonts w:hint="eastAsia" w:ascii="Times New Roman" w:hAnsi="Times New Roman"/>
          <w:bCs/>
          <w:szCs w:val="32"/>
        </w:rPr>
        <w:t>2产品及原辅料消耗</w:t>
      </w:r>
      <w:r>
        <w:tab/>
      </w:r>
      <w:r>
        <w:fldChar w:fldCharType="begin"/>
      </w:r>
      <w:r>
        <w:instrText xml:space="preserve"> PAGEREF _Toc16450 \h </w:instrText>
      </w:r>
      <w:r>
        <w:fldChar w:fldCharType="separate"/>
      </w:r>
      <w:r>
        <w:t>9</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_Toc3310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w:t>
      </w:r>
      <w:r>
        <w:rPr>
          <w:rFonts w:hint="eastAsia" w:ascii="Times New Roman" w:hAnsi="Times New Roman"/>
          <w:bCs/>
          <w:szCs w:val="32"/>
        </w:rPr>
        <w:t>3主要生产工艺</w:t>
      </w:r>
      <w:r>
        <w:tab/>
      </w:r>
      <w:r>
        <w:fldChar w:fldCharType="begin"/>
      </w:r>
      <w:r>
        <w:instrText xml:space="preserve"> PAGEREF _Toc3310 \h </w:instrText>
      </w:r>
      <w:r>
        <w:fldChar w:fldCharType="separate"/>
      </w:r>
      <w:r>
        <w:t>9</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_Toc11539 </w:instrText>
      </w:r>
      <w:r>
        <w:rPr>
          <w:rFonts w:ascii="宋体" w:hAnsi="宋体"/>
          <w:snapToGrid w:val="0"/>
          <w:kern w:val="0"/>
          <w:szCs w:val="24"/>
        </w:rPr>
        <w:fldChar w:fldCharType="separate"/>
      </w:r>
      <w:r>
        <w:rPr>
          <w:rFonts w:hint="eastAsia" w:ascii="Times New Roman" w:hAnsi="Times New Roman"/>
          <w:bCs/>
          <w:kern w:val="44"/>
          <w:szCs w:val="44"/>
        </w:rPr>
        <w:t>5</w:t>
      </w:r>
      <w:r>
        <w:rPr>
          <w:rFonts w:ascii="Times New Roman" w:hAnsi="Times New Roman"/>
          <w:bCs/>
          <w:kern w:val="44"/>
          <w:szCs w:val="44"/>
        </w:rPr>
        <w:t xml:space="preserve"> </w:t>
      </w:r>
      <w:r>
        <w:rPr>
          <w:rFonts w:hint="eastAsia" w:ascii="Times New Roman" w:hAnsi="Times New Roman"/>
          <w:bCs/>
          <w:kern w:val="44"/>
          <w:szCs w:val="44"/>
        </w:rPr>
        <w:t>重点区域</w:t>
      </w:r>
      <w:r>
        <w:tab/>
      </w:r>
      <w:r>
        <w:fldChar w:fldCharType="begin"/>
      </w:r>
      <w:r>
        <w:instrText xml:space="preserve"> PAGEREF _Toc11539 \h </w:instrText>
      </w:r>
      <w:r>
        <w:fldChar w:fldCharType="separate"/>
      </w:r>
      <w:r>
        <w:t>15</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_Toc27799 </w:instrText>
      </w:r>
      <w:r>
        <w:rPr>
          <w:rFonts w:ascii="宋体" w:hAnsi="宋体"/>
          <w:snapToGrid w:val="0"/>
          <w:kern w:val="0"/>
          <w:szCs w:val="24"/>
        </w:rPr>
        <w:fldChar w:fldCharType="separate"/>
      </w:r>
      <w:r>
        <w:rPr>
          <w:rFonts w:hint="eastAsia" w:ascii="Times New Roman" w:hAnsi="Times New Roman"/>
          <w:bCs/>
          <w:szCs w:val="32"/>
        </w:rPr>
        <w:t>5.1识别原则</w:t>
      </w:r>
      <w:r>
        <w:tab/>
      </w:r>
      <w:r>
        <w:fldChar w:fldCharType="begin"/>
      </w:r>
      <w:r>
        <w:instrText xml:space="preserve"> PAGEREF _Toc27799 \h </w:instrText>
      </w:r>
      <w:r>
        <w:fldChar w:fldCharType="separate"/>
      </w:r>
      <w:r>
        <w:t>15</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_Toc30434 </w:instrText>
      </w:r>
      <w:r>
        <w:rPr>
          <w:rFonts w:ascii="宋体" w:hAnsi="宋体"/>
          <w:snapToGrid w:val="0"/>
          <w:kern w:val="0"/>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2</w:t>
      </w:r>
      <w:r>
        <w:rPr>
          <w:rFonts w:hint="eastAsia" w:ascii="Times New Roman" w:hAnsi="Times New Roman"/>
          <w:bCs/>
          <w:szCs w:val="32"/>
        </w:rPr>
        <w:t>重点设施的识别</w:t>
      </w:r>
      <w:r>
        <w:tab/>
      </w:r>
      <w:r>
        <w:fldChar w:fldCharType="begin"/>
      </w:r>
      <w:r>
        <w:instrText xml:space="preserve"> PAGEREF _Toc30434 \h </w:instrText>
      </w:r>
      <w:r>
        <w:fldChar w:fldCharType="separate"/>
      </w:r>
      <w:r>
        <w:t>15</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_Toc17255 </w:instrText>
      </w:r>
      <w:r>
        <w:rPr>
          <w:rFonts w:ascii="宋体" w:hAnsi="宋体"/>
          <w:snapToGrid w:val="0"/>
          <w:kern w:val="0"/>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3</w:t>
      </w:r>
      <w:r>
        <w:rPr>
          <w:rFonts w:hint="eastAsia" w:ascii="Times New Roman" w:hAnsi="Times New Roman"/>
          <w:bCs/>
          <w:szCs w:val="32"/>
        </w:rPr>
        <w:t>重点区域的识别</w:t>
      </w:r>
      <w:r>
        <w:tab/>
      </w:r>
      <w:r>
        <w:fldChar w:fldCharType="begin"/>
      </w:r>
      <w:r>
        <w:instrText xml:space="preserve"> PAGEREF _Toc17255 \h </w:instrText>
      </w:r>
      <w:r>
        <w:fldChar w:fldCharType="separate"/>
      </w:r>
      <w:r>
        <w:t>16</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_Toc2520 </w:instrText>
      </w:r>
      <w:r>
        <w:rPr>
          <w:rFonts w:ascii="宋体" w:hAnsi="宋体"/>
          <w:snapToGrid w:val="0"/>
          <w:kern w:val="0"/>
          <w:szCs w:val="24"/>
        </w:rPr>
        <w:fldChar w:fldCharType="separate"/>
      </w:r>
      <w:r>
        <w:rPr>
          <w:rFonts w:hint="eastAsia" w:ascii="Times New Roman" w:hAnsi="Times New Roman"/>
          <w:bCs/>
          <w:kern w:val="44"/>
          <w:szCs w:val="44"/>
        </w:rPr>
        <w:t>6</w:t>
      </w:r>
      <w:r>
        <w:rPr>
          <w:rFonts w:ascii="Times New Roman" w:hAnsi="Times New Roman"/>
          <w:bCs/>
          <w:kern w:val="44"/>
          <w:szCs w:val="44"/>
        </w:rPr>
        <w:t xml:space="preserve"> </w:t>
      </w:r>
      <w:r>
        <w:rPr>
          <w:rFonts w:hint="eastAsia" w:ascii="Times New Roman" w:hAnsi="Times New Roman"/>
          <w:bCs/>
          <w:kern w:val="44"/>
          <w:szCs w:val="44"/>
        </w:rPr>
        <w:t>监测点位</w:t>
      </w:r>
      <w:r>
        <w:tab/>
      </w:r>
      <w:r>
        <w:fldChar w:fldCharType="begin"/>
      </w:r>
      <w:r>
        <w:instrText xml:space="preserve"> PAGEREF _Toc2520 \h </w:instrText>
      </w:r>
      <w:r>
        <w:fldChar w:fldCharType="separate"/>
      </w:r>
      <w:r>
        <w:t>17</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_Toc10232 </w:instrText>
      </w:r>
      <w:r>
        <w:rPr>
          <w:rFonts w:ascii="宋体" w:hAnsi="宋体"/>
          <w:snapToGrid w:val="0"/>
          <w:kern w:val="0"/>
          <w:szCs w:val="24"/>
        </w:rPr>
        <w:fldChar w:fldCharType="separate"/>
      </w:r>
      <w:r>
        <w:rPr>
          <w:rFonts w:hint="eastAsia" w:ascii="Times New Roman" w:hAnsi="Times New Roman"/>
          <w:bCs/>
          <w:szCs w:val="32"/>
        </w:rPr>
        <w:t>6.1点位布设原则</w:t>
      </w:r>
      <w:r>
        <w:tab/>
      </w:r>
      <w:r>
        <w:fldChar w:fldCharType="begin"/>
      </w:r>
      <w:r>
        <w:instrText xml:space="preserve"> PAGEREF _Toc10232 \h </w:instrText>
      </w:r>
      <w:r>
        <w:fldChar w:fldCharType="separate"/>
      </w:r>
      <w:r>
        <w:t>17</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_Toc22765 </w:instrText>
      </w:r>
      <w:r>
        <w:rPr>
          <w:rFonts w:ascii="宋体" w:hAnsi="宋体"/>
          <w:snapToGrid w:val="0"/>
          <w:kern w:val="0"/>
          <w:szCs w:val="24"/>
        </w:rPr>
        <w:fldChar w:fldCharType="separate"/>
      </w:r>
      <w:r>
        <w:rPr>
          <w:rFonts w:hint="eastAsia" w:ascii="Times New Roman" w:hAnsi="Times New Roman"/>
          <w:bCs/>
          <w:szCs w:val="32"/>
        </w:rPr>
        <w:t>6.1</w:t>
      </w:r>
      <w:r>
        <w:rPr>
          <w:rFonts w:ascii="Times New Roman" w:hAnsi="Times New Roman"/>
          <w:bCs/>
          <w:szCs w:val="32"/>
        </w:rPr>
        <w:t>.1</w:t>
      </w:r>
      <w:r>
        <w:rPr>
          <w:rFonts w:hint="eastAsia" w:ascii="Times New Roman" w:hAnsi="Times New Roman"/>
          <w:bCs/>
          <w:szCs w:val="32"/>
        </w:rPr>
        <w:t>总体原则</w:t>
      </w:r>
      <w:r>
        <w:tab/>
      </w:r>
      <w:r>
        <w:fldChar w:fldCharType="begin"/>
      </w:r>
      <w:r>
        <w:instrText xml:space="preserve"> PAGEREF _Toc22765 \h </w:instrText>
      </w:r>
      <w:r>
        <w:fldChar w:fldCharType="separate"/>
      </w:r>
      <w:r>
        <w:t>17</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_Toc17667 </w:instrText>
      </w:r>
      <w:r>
        <w:rPr>
          <w:rFonts w:ascii="宋体" w:hAnsi="宋体"/>
          <w:snapToGrid w:val="0"/>
          <w:kern w:val="0"/>
          <w:szCs w:val="24"/>
        </w:rPr>
        <w:fldChar w:fldCharType="separate"/>
      </w:r>
      <w:r>
        <w:rPr>
          <w:rFonts w:hint="eastAsia" w:ascii="Times New Roman" w:hAnsi="Times New Roman"/>
          <w:bCs/>
          <w:szCs w:val="32"/>
        </w:rPr>
        <w:t>6.1</w:t>
      </w:r>
      <w:r>
        <w:rPr>
          <w:rFonts w:ascii="Times New Roman" w:hAnsi="Times New Roman"/>
          <w:bCs/>
          <w:szCs w:val="32"/>
        </w:rPr>
        <w:t>.</w:t>
      </w:r>
      <w:r>
        <w:rPr>
          <w:rFonts w:hint="eastAsia" w:ascii="Times New Roman" w:hAnsi="Times New Roman"/>
          <w:bCs/>
          <w:szCs w:val="32"/>
        </w:rPr>
        <w:t>2对照点布设原则</w:t>
      </w:r>
      <w:r>
        <w:tab/>
      </w:r>
      <w:r>
        <w:fldChar w:fldCharType="begin"/>
      </w:r>
      <w:r>
        <w:instrText xml:space="preserve"> PAGEREF _Toc17667 \h </w:instrText>
      </w:r>
      <w:r>
        <w:fldChar w:fldCharType="separate"/>
      </w:r>
      <w:r>
        <w:t>17</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_Toc24849 </w:instrText>
      </w:r>
      <w:r>
        <w:rPr>
          <w:rFonts w:ascii="宋体" w:hAnsi="宋体"/>
          <w:snapToGrid w:val="0"/>
          <w:kern w:val="0"/>
          <w:szCs w:val="24"/>
        </w:rPr>
        <w:fldChar w:fldCharType="separate"/>
      </w:r>
      <w:r>
        <w:rPr>
          <w:rFonts w:hint="eastAsia" w:ascii="Times New Roman" w:hAnsi="Times New Roman"/>
          <w:bCs/>
          <w:szCs w:val="32"/>
        </w:rPr>
        <w:t>6.1</w:t>
      </w:r>
      <w:r>
        <w:rPr>
          <w:rFonts w:ascii="Times New Roman" w:hAnsi="Times New Roman"/>
          <w:bCs/>
          <w:szCs w:val="32"/>
        </w:rPr>
        <w:t>.</w:t>
      </w:r>
      <w:r>
        <w:rPr>
          <w:rFonts w:hint="eastAsia" w:ascii="Times New Roman" w:hAnsi="Times New Roman"/>
          <w:bCs/>
          <w:szCs w:val="32"/>
        </w:rPr>
        <w:t>3土壤监测点布设原则</w:t>
      </w:r>
      <w:r>
        <w:tab/>
      </w:r>
      <w:r>
        <w:fldChar w:fldCharType="begin"/>
      </w:r>
      <w:r>
        <w:instrText xml:space="preserve"> PAGEREF _Toc24849 \h </w:instrText>
      </w:r>
      <w:r>
        <w:fldChar w:fldCharType="separate"/>
      </w:r>
      <w:r>
        <w:t>17</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_Toc5224 </w:instrText>
      </w:r>
      <w:r>
        <w:rPr>
          <w:rFonts w:ascii="宋体" w:hAnsi="宋体"/>
          <w:snapToGrid w:val="0"/>
          <w:kern w:val="0"/>
          <w:szCs w:val="24"/>
        </w:rPr>
        <w:fldChar w:fldCharType="separate"/>
      </w:r>
      <w:r>
        <w:rPr>
          <w:rFonts w:hint="eastAsia" w:ascii="Times New Roman" w:hAnsi="Times New Roman"/>
          <w:bCs/>
          <w:szCs w:val="32"/>
        </w:rPr>
        <w:t>6.1</w:t>
      </w:r>
      <w:r>
        <w:rPr>
          <w:rFonts w:ascii="Times New Roman" w:hAnsi="Times New Roman"/>
          <w:bCs/>
          <w:szCs w:val="32"/>
        </w:rPr>
        <w:t>.</w:t>
      </w:r>
      <w:r>
        <w:rPr>
          <w:rFonts w:hint="eastAsia" w:ascii="Times New Roman" w:hAnsi="Times New Roman"/>
          <w:bCs/>
          <w:szCs w:val="32"/>
        </w:rPr>
        <w:t>4地下水监测井布设原则</w:t>
      </w:r>
      <w:r>
        <w:tab/>
      </w:r>
      <w:r>
        <w:fldChar w:fldCharType="begin"/>
      </w:r>
      <w:r>
        <w:instrText xml:space="preserve"> PAGEREF _Toc5224 \h </w:instrText>
      </w:r>
      <w:r>
        <w:fldChar w:fldCharType="separate"/>
      </w:r>
      <w:r>
        <w:t>18</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_Toc10893 </w:instrText>
      </w:r>
      <w:r>
        <w:rPr>
          <w:rFonts w:ascii="宋体" w:hAnsi="宋体"/>
          <w:snapToGrid w:val="0"/>
          <w:kern w:val="0"/>
          <w:szCs w:val="24"/>
        </w:rPr>
        <w:fldChar w:fldCharType="separate"/>
      </w:r>
      <w:r>
        <w:rPr>
          <w:rFonts w:hint="eastAsia" w:ascii="Times New Roman" w:hAnsi="Times New Roman"/>
          <w:bCs/>
          <w:szCs w:val="32"/>
        </w:rPr>
        <w:t>6.2土壤监测</w:t>
      </w:r>
      <w:r>
        <w:tab/>
      </w:r>
      <w:r>
        <w:fldChar w:fldCharType="begin"/>
      </w:r>
      <w:r>
        <w:instrText xml:space="preserve"> PAGEREF _Toc10893 \h </w:instrText>
      </w:r>
      <w:r>
        <w:fldChar w:fldCharType="separate"/>
      </w:r>
      <w:r>
        <w:t>18</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_Toc17296 </w:instrText>
      </w:r>
      <w:r>
        <w:rPr>
          <w:rFonts w:ascii="宋体" w:hAnsi="宋体"/>
          <w:snapToGrid w:val="0"/>
          <w:kern w:val="0"/>
          <w:szCs w:val="24"/>
        </w:rPr>
        <w:fldChar w:fldCharType="separate"/>
      </w:r>
      <w:r>
        <w:rPr>
          <w:rFonts w:hint="eastAsia" w:ascii="Times New Roman" w:hAnsi="Times New Roman"/>
          <w:bCs/>
          <w:szCs w:val="32"/>
        </w:rPr>
        <w:t>6.2</w:t>
      </w:r>
      <w:r>
        <w:rPr>
          <w:rFonts w:ascii="Times New Roman" w:hAnsi="Times New Roman"/>
          <w:bCs/>
          <w:szCs w:val="32"/>
        </w:rPr>
        <w:t>.1</w:t>
      </w:r>
      <w:r>
        <w:rPr>
          <w:rFonts w:hint="eastAsia" w:ascii="Times New Roman" w:hAnsi="Times New Roman"/>
          <w:bCs/>
          <w:szCs w:val="32"/>
        </w:rPr>
        <w:t>土壤监测</w:t>
      </w:r>
      <w:r>
        <w:tab/>
      </w:r>
      <w:r>
        <w:fldChar w:fldCharType="begin"/>
      </w:r>
      <w:r>
        <w:instrText xml:space="preserve"> PAGEREF _Toc17296 \h </w:instrText>
      </w:r>
      <w:r>
        <w:fldChar w:fldCharType="separate"/>
      </w:r>
      <w:r>
        <w:t>18</w:t>
      </w:r>
      <w:r>
        <w:fldChar w:fldCharType="end"/>
      </w:r>
      <w:r>
        <w:rPr>
          <w:rFonts w:ascii="宋体" w:hAnsi="宋体"/>
          <w:snapToGrid w:val="0"/>
          <w:kern w:val="0"/>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_Toc25187 </w:instrText>
      </w:r>
      <w:r>
        <w:rPr>
          <w:rFonts w:ascii="宋体" w:hAnsi="宋体"/>
          <w:snapToGrid w:val="0"/>
          <w:kern w:val="0"/>
          <w:szCs w:val="24"/>
        </w:rPr>
        <w:fldChar w:fldCharType="separate"/>
      </w:r>
      <w:r>
        <w:rPr>
          <w:rFonts w:hint="eastAsia" w:ascii="Times New Roman" w:hAnsi="Times New Roman"/>
          <w:bCs/>
          <w:szCs w:val="32"/>
        </w:rPr>
        <w:t>6.2</w:t>
      </w:r>
      <w:r>
        <w:rPr>
          <w:rFonts w:ascii="Times New Roman" w:hAnsi="Times New Roman"/>
          <w:bCs/>
          <w:szCs w:val="32"/>
        </w:rPr>
        <w:t>.</w:t>
      </w:r>
      <w:r>
        <w:rPr>
          <w:rFonts w:hint="eastAsia" w:ascii="Times New Roman" w:hAnsi="Times New Roman"/>
          <w:bCs/>
          <w:szCs w:val="32"/>
        </w:rPr>
        <w:t>2土壤气监测</w:t>
      </w:r>
      <w:r>
        <w:tab/>
      </w:r>
      <w:r>
        <w:fldChar w:fldCharType="begin"/>
      </w:r>
      <w:r>
        <w:instrText xml:space="preserve"> PAGEREF _Toc25187 \h </w:instrText>
      </w:r>
      <w:r>
        <w:fldChar w:fldCharType="separate"/>
      </w:r>
      <w:r>
        <w:t>22</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_Toc5063 </w:instrText>
      </w:r>
      <w:r>
        <w:rPr>
          <w:rFonts w:ascii="宋体" w:hAnsi="宋体"/>
          <w:snapToGrid w:val="0"/>
          <w:kern w:val="0"/>
          <w:szCs w:val="24"/>
        </w:rPr>
        <w:fldChar w:fldCharType="separate"/>
      </w:r>
      <w:r>
        <w:rPr>
          <w:rFonts w:hint="eastAsia" w:ascii="Times New Roman" w:hAnsi="Times New Roman"/>
          <w:bCs/>
          <w:szCs w:val="32"/>
        </w:rPr>
        <w:t>6.3地下水监测</w:t>
      </w:r>
      <w:r>
        <w:tab/>
      </w:r>
      <w:r>
        <w:fldChar w:fldCharType="begin"/>
      </w:r>
      <w:r>
        <w:instrText xml:space="preserve"> PAGEREF _Toc5063 \h </w:instrText>
      </w:r>
      <w:r>
        <w:fldChar w:fldCharType="separate"/>
      </w:r>
      <w:r>
        <w:t>22</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_Toc13240 </w:instrText>
      </w:r>
      <w:r>
        <w:rPr>
          <w:rFonts w:ascii="宋体" w:hAnsi="宋体"/>
          <w:snapToGrid w:val="0"/>
          <w:kern w:val="0"/>
          <w:szCs w:val="24"/>
        </w:rPr>
        <w:fldChar w:fldCharType="separate"/>
      </w:r>
      <w:r>
        <w:rPr>
          <w:rFonts w:hint="eastAsia" w:ascii="Times New Roman" w:hAnsi="Times New Roman"/>
          <w:bCs/>
          <w:szCs w:val="32"/>
        </w:rPr>
        <w:t>6.4点位重叠</w:t>
      </w:r>
      <w:r>
        <w:tab/>
      </w:r>
      <w:r>
        <w:fldChar w:fldCharType="begin"/>
      </w:r>
      <w:r>
        <w:instrText xml:space="preserve"> PAGEREF _Toc13240 \h </w:instrText>
      </w:r>
      <w:r>
        <w:fldChar w:fldCharType="separate"/>
      </w:r>
      <w:r>
        <w:t>25</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_Toc24190 </w:instrText>
      </w:r>
      <w:r>
        <w:rPr>
          <w:rFonts w:ascii="宋体" w:hAnsi="宋体"/>
          <w:snapToGrid w:val="0"/>
          <w:kern w:val="0"/>
          <w:szCs w:val="24"/>
        </w:rPr>
        <w:fldChar w:fldCharType="separate"/>
      </w:r>
      <w:r>
        <w:rPr>
          <w:rFonts w:hint="eastAsia" w:ascii="Times New Roman" w:hAnsi="Times New Roman"/>
          <w:bCs/>
          <w:szCs w:val="32"/>
        </w:rPr>
        <w:t>6.</w:t>
      </w:r>
      <w:r>
        <w:rPr>
          <w:rFonts w:ascii="Times New Roman" w:hAnsi="Times New Roman"/>
          <w:bCs/>
          <w:szCs w:val="32"/>
        </w:rPr>
        <w:t>5</w:t>
      </w:r>
      <w:r>
        <w:rPr>
          <w:rFonts w:hint="eastAsia" w:ascii="Times New Roman" w:hAnsi="Times New Roman"/>
          <w:bCs/>
          <w:szCs w:val="32"/>
        </w:rPr>
        <w:t>对照点</w:t>
      </w:r>
      <w:r>
        <w:tab/>
      </w:r>
      <w:r>
        <w:fldChar w:fldCharType="begin"/>
      </w:r>
      <w:r>
        <w:instrText xml:space="preserve"> PAGEREF _Toc24190 \h </w:instrText>
      </w:r>
      <w:r>
        <w:fldChar w:fldCharType="separate"/>
      </w:r>
      <w:r>
        <w:t>25</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_Toc2447 </w:instrText>
      </w:r>
      <w:r>
        <w:rPr>
          <w:rFonts w:ascii="宋体" w:hAnsi="宋体"/>
          <w:snapToGrid w:val="0"/>
          <w:kern w:val="0"/>
          <w:szCs w:val="24"/>
        </w:rPr>
        <w:fldChar w:fldCharType="separate"/>
      </w:r>
      <w:r>
        <w:rPr>
          <w:rFonts w:hint="eastAsia" w:ascii="Times New Roman" w:hAnsi="Times New Roman"/>
          <w:bCs/>
          <w:kern w:val="44"/>
          <w:szCs w:val="44"/>
        </w:rPr>
        <w:t>7</w:t>
      </w:r>
      <w:r>
        <w:rPr>
          <w:rFonts w:ascii="Times New Roman" w:hAnsi="Times New Roman"/>
          <w:bCs/>
          <w:kern w:val="44"/>
          <w:szCs w:val="44"/>
        </w:rPr>
        <w:t xml:space="preserve"> </w:t>
      </w:r>
      <w:r>
        <w:rPr>
          <w:rFonts w:hint="eastAsia" w:ascii="Times New Roman" w:hAnsi="Times New Roman"/>
          <w:bCs/>
          <w:kern w:val="44"/>
          <w:szCs w:val="44"/>
        </w:rPr>
        <w:t>监测因子</w:t>
      </w:r>
      <w:r>
        <w:tab/>
      </w:r>
      <w:r>
        <w:fldChar w:fldCharType="begin"/>
      </w:r>
      <w:r>
        <w:instrText xml:space="preserve"> PAGEREF _Toc2447 \h </w:instrText>
      </w:r>
      <w:r>
        <w:fldChar w:fldCharType="separate"/>
      </w:r>
      <w:r>
        <w:t>26</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_Toc25757 </w:instrText>
      </w:r>
      <w:r>
        <w:rPr>
          <w:rFonts w:ascii="宋体" w:hAnsi="宋体"/>
          <w:snapToGrid w:val="0"/>
          <w:kern w:val="0"/>
          <w:szCs w:val="24"/>
        </w:rPr>
        <w:fldChar w:fldCharType="separate"/>
      </w:r>
      <w:r>
        <w:rPr>
          <w:rFonts w:hint="eastAsia" w:ascii="Times New Roman" w:hAnsi="Times New Roman"/>
          <w:bCs/>
          <w:szCs w:val="32"/>
        </w:rPr>
        <w:t>7.1监测因子筛选原则</w:t>
      </w:r>
      <w:r>
        <w:tab/>
      </w:r>
      <w:r>
        <w:fldChar w:fldCharType="begin"/>
      </w:r>
      <w:r>
        <w:instrText xml:space="preserve"> PAGEREF _Toc25757 \h </w:instrText>
      </w:r>
      <w:r>
        <w:fldChar w:fldCharType="separate"/>
      </w:r>
      <w:r>
        <w:t>26</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_Toc25441 </w:instrText>
      </w:r>
      <w:r>
        <w:rPr>
          <w:rFonts w:ascii="宋体" w:hAnsi="宋体"/>
          <w:snapToGrid w:val="0"/>
          <w:kern w:val="0"/>
          <w:szCs w:val="24"/>
        </w:rPr>
        <w:fldChar w:fldCharType="separate"/>
      </w:r>
      <w:r>
        <w:rPr>
          <w:rFonts w:hint="eastAsia" w:ascii="Times New Roman" w:hAnsi="Times New Roman"/>
          <w:bCs/>
          <w:szCs w:val="32"/>
        </w:rPr>
        <w:t>7.2筛选结果</w:t>
      </w:r>
      <w:r>
        <w:tab/>
      </w:r>
      <w:r>
        <w:fldChar w:fldCharType="begin"/>
      </w:r>
      <w:r>
        <w:instrText xml:space="preserve"> PAGEREF _Toc25441 \h </w:instrText>
      </w:r>
      <w:r>
        <w:fldChar w:fldCharType="separate"/>
      </w:r>
      <w:r>
        <w:t>31</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_Toc2369 </w:instrText>
      </w:r>
      <w:r>
        <w:rPr>
          <w:rFonts w:ascii="宋体" w:hAnsi="宋体"/>
          <w:snapToGrid w:val="0"/>
          <w:kern w:val="0"/>
          <w:szCs w:val="24"/>
        </w:rPr>
        <w:fldChar w:fldCharType="separate"/>
      </w:r>
      <w:r>
        <w:rPr>
          <w:rFonts w:hint="eastAsia" w:ascii="Times New Roman" w:hAnsi="Times New Roman"/>
          <w:bCs/>
          <w:kern w:val="44"/>
          <w:szCs w:val="44"/>
        </w:rPr>
        <w:t>8</w:t>
      </w:r>
      <w:r>
        <w:rPr>
          <w:rFonts w:ascii="Times New Roman" w:hAnsi="Times New Roman"/>
          <w:bCs/>
          <w:kern w:val="44"/>
          <w:szCs w:val="44"/>
        </w:rPr>
        <w:t xml:space="preserve"> </w:t>
      </w:r>
      <w:r>
        <w:rPr>
          <w:rFonts w:hint="eastAsia" w:ascii="Times New Roman" w:hAnsi="Times New Roman"/>
          <w:bCs/>
          <w:kern w:val="44"/>
          <w:szCs w:val="44"/>
        </w:rPr>
        <w:t>现场采样</w:t>
      </w:r>
      <w:r>
        <w:tab/>
      </w:r>
      <w:r>
        <w:fldChar w:fldCharType="begin"/>
      </w:r>
      <w:r>
        <w:instrText xml:space="preserve"> PAGEREF _Toc2369 \h </w:instrText>
      </w:r>
      <w:r>
        <w:fldChar w:fldCharType="separate"/>
      </w:r>
      <w:r>
        <w:t>33</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_Toc31562 </w:instrText>
      </w:r>
      <w:r>
        <w:rPr>
          <w:rFonts w:ascii="宋体" w:hAnsi="宋体"/>
          <w:snapToGrid w:val="0"/>
          <w:kern w:val="0"/>
          <w:szCs w:val="24"/>
        </w:rPr>
        <w:fldChar w:fldCharType="separate"/>
      </w:r>
      <w:r>
        <w:rPr>
          <w:rFonts w:ascii="Times New Roman" w:hAnsi="Times New Roman"/>
          <w:bCs/>
          <w:szCs w:val="32"/>
        </w:rPr>
        <w:t>8.1土壤样品的采集、保存和运输</w:t>
      </w:r>
      <w:r>
        <w:tab/>
      </w:r>
      <w:r>
        <w:fldChar w:fldCharType="begin"/>
      </w:r>
      <w:r>
        <w:instrText xml:space="preserve"> PAGEREF _Toc31562 \h </w:instrText>
      </w:r>
      <w:r>
        <w:fldChar w:fldCharType="separate"/>
      </w:r>
      <w:r>
        <w:t>33</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_Toc23459 </w:instrText>
      </w:r>
      <w:r>
        <w:rPr>
          <w:rFonts w:ascii="宋体" w:hAnsi="宋体"/>
          <w:snapToGrid w:val="0"/>
          <w:kern w:val="0"/>
          <w:szCs w:val="24"/>
        </w:rPr>
        <w:fldChar w:fldCharType="separate"/>
      </w:r>
      <w:r>
        <w:rPr>
          <w:rFonts w:ascii="Times New Roman" w:hAnsi="Times New Roman"/>
          <w:bCs/>
          <w:szCs w:val="32"/>
        </w:rPr>
        <w:t>8.2</w:t>
      </w:r>
      <w:r>
        <w:rPr>
          <w:rFonts w:hint="eastAsia" w:ascii="Times New Roman" w:hAnsi="Times New Roman"/>
          <w:bCs/>
          <w:szCs w:val="32"/>
        </w:rPr>
        <w:t>地下水</w:t>
      </w:r>
      <w:r>
        <w:rPr>
          <w:rFonts w:ascii="Times New Roman" w:hAnsi="Times New Roman"/>
          <w:bCs/>
          <w:szCs w:val="32"/>
        </w:rPr>
        <w:t>样品的采集、保存和运输</w:t>
      </w:r>
      <w:r>
        <w:tab/>
      </w:r>
      <w:r>
        <w:fldChar w:fldCharType="begin"/>
      </w:r>
      <w:r>
        <w:instrText xml:space="preserve"> PAGEREF _Toc23459 \h </w:instrText>
      </w:r>
      <w:r>
        <w:fldChar w:fldCharType="separate"/>
      </w:r>
      <w:r>
        <w:t>35</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_Toc13039 </w:instrText>
      </w:r>
      <w:r>
        <w:rPr>
          <w:rFonts w:ascii="宋体" w:hAnsi="宋体"/>
          <w:snapToGrid w:val="0"/>
          <w:kern w:val="0"/>
          <w:szCs w:val="24"/>
        </w:rPr>
        <w:fldChar w:fldCharType="separate"/>
      </w:r>
      <w:r>
        <w:rPr>
          <w:rFonts w:ascii="Times New Roman" w:hAnsi="Times New Roman"/>
          <w:bCs/>
          <w:szCs w:val="32"/>
        </w:rPr>
        <w:t>8.3质量控制与质量保证</w:t>
      </w:r>
      <w:r>
        <w:tab/>
      </w:r>
      <w:r>
        <w:fldChar w:fldCharType="begin"/>
      </w:r>
      <w:r>
        <w:instrText xml:space="preserve"> PAGEREF _Toc13039 \h </w:instrText>
      </w:r>
      <w:r>
        <w:fldChar w:fldCharType="separate"/>
      </w:r>
      <w:r>
        <w:t>36</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_Toc12535 </w:instrText>
      </w:r>
      <w:r>
        <w:rPr>
          <w:rFonts w:ascii="宋体" w:hAnsi="宋体"/>
          <w:snapToGrid w:val="0"/>
          <w:kern w:val="0"/>
          <w:szCs w:val="24"/>
        </w:rPr>
        <w:fldChar w:fldCharType="separate"/>
      </w:r>
      <w:r>
        <w:rPr>
          <w:rFonts w:hint="eastAsia" w:ascii="Times New Roman" w:hAnsi="Times New Roman"/>
          <w:bCs/>
          <w:kern w:val="44"/>
          <w:szCs w:val="44"/>
        </w:rPr>
        <w:t>9</w:t>
      </w:r>
      <w:r>
        <w:rPr>
          <w:rFonts w:ascii="Times New Roman" w:hAnsi="Times New Roman"/>
          <w:bCs/>
          <w:kern w:val="44"/>
          <w:szCs w:val="44"/>
        </w:rPr>
        <w:t xml:space="preserve"> </w:t>
      </w:r>
      <w:r>
        <w:rPr>
          <w:rFonts w:hint="eastAsia" w:ascii="Times New Roman" w:hAnsi="Times New Roman"/>
          <w:bCs/>
          <w:kern w:val="44"/>
          <w:szCs w:val="44"/>
        </w:rPr>
        <w:t>结果分析</w:t>
      </w:r>
      <w:r>
        <w:tab/>
      </w:r>
      <w:r>
        <w:fldChar w:fldCharType="begin"/>
      </w:r>
      <w:r>
        <w:instrText xml:space="preserve"> PAGEREF _Toc12535 \h </w:instrText>
      </w:r>
      <w:r>
        <w:fldChar w:fldCharType="separate"/>
      </w:r>
      <w:r>
        <w:t>39</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_Toc9289 </w:instrText>
      </w:r>
      <w:r>
        <w:rPr>
          <w:rFonts w:ascii="宋体" w:hAnsi="宋体"/>
          <w:snapToGrid w:val="0"/>
          <w:kern w:val="0"/>
          <w:szCs w:val="24"/>
        </w:rPr>
        <w:fldChar w:fldCharType="separate"/>
      </w:r>
      <w:r>
        <w:rPr>
          <w:rFonts w:hint="eastAsia" w:ascii="Times New Roman" w:hAnsi="Times New Roman"/>
          <w:bCs/>
          <w:szCs w:val="32"/>
        </w:rPr>
        <w:t>9.1结果分析原则</w:t>
      </w:r>
      <w:r>
        <w:tab/>
      </w:r>
      <w:r>
        <w:fldChar w:fldCharType="begin"/>
      </w:r>
      <w:r>
        <w:instrText xml:space="preserve"> PAGEREF _Toc9289 \h </w:instrText>
      </w:r>
      <w:r>
        <w:fldChar w:fldCharType="separate"/>
      </w:r>
      <w:r>
        <w:t>39</w:t>
      </w:r>
      <w:r>
        <w:fldChar w:fldCharType="end"/>
      </w:r>
      <w:r>
        <w:rPr>
          <w:rFonts w:ascii="宋体" w:hAnsi="宋体"/>
          <w:snapToGrid w:val="0"/>
          <w:kern w:val="0"/>
          <w:szCs w:val="24"/>
        </w:rPr>
        <w:fldChar w:fldCharType="end"/>
      </w:r>
    </w:p>
    <w:p>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_Toc22149 </w:instrText>
      </w:r>
      <w:r>
        <w:rPr>
          <w:rFonts w:ascii="宋体" w:hAnsi="宋体"/>
          <w:snapToGrid w:val="0"/>
          <w:kern w:val="0"/>
          <w:szCs w:val="24"/>
        </w:rPr>
        <w:fldChar w:fldCharType="separate"/>
      </w:r>
      <w:r>
        <w:rPr>
          <w:rFonts w:hint="eastAsia" w:ascii="Times New Roman" w:hAnsi="Times New Roman"/>
          <w:bCs/>
          <w:kern w:val="44"/>
          <w:szCs w:val="44"/>
          <w:lang w:val="en-US" w:eastAsia="zh-CN"/>
        </w:rPr>
        <w:t>10</w:t>
      </w:r>
      <w:r>
        <w:rPr>
          <w:rFonts w:hint="eastAsia" w:ascii="Times New Roman" w:hAnsi="Times New Roman"/>
          <w:bCs/>
          <w:kern w:val="44"/>
          <w:szCs w:val="44"/>
        </w:rPr>
        <w:t xml:space="preserve"> </w:t>
      </w:r>
      <w:r>
        <w:rPr>
          <w:rFonts w:hint="eastAsia" w:ascii="Times New Roman" w:hAnsi="Times New Roman"/>
          <w:bCs/>
          <w:kern w:val="44"/>
          <w:szCs w:val="44"/>
          <w:lang w:val="en-US" w:eastAsia="zh-CN"/>
        </w:rPr>
        <w:t>建议</w:t>
      </w:r>
      <w:r>
        <w:tab/>
      </w:r>
      <w:r>
        <w:fldChar w:fldCharType="begin"/>
      </w:r>
      <w:r>
        <w:instrText xml:space="preserve"> PAGEREF _Toc22149 \h </w:instrText>
      </w:r>
      <w:r>
        <w:fldChar w:fldCharType="separate"/>
      </w:r>
      <w:r>
        <w:t>40</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_Toc24046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.1监测频次</w:t>
      </w:r>
      <w:r>
        <w:tab/>
      </w:r>
      <w:r>
        <w:fldChar w:fldCharType="begin"/>
      </w:r>
      <w:r>
        <w:instrText xml:space="preserve"> PAGEREF _Toc24046 \h </w:instrText>
      </w:r>
      <w:r>
        <w:fldChar w:fldCharType="separate"/>
      </w:r>
      <w:r>
        <w:t>40</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_Toc25931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.2监测井归档资料</w:t>
      </w:r>
      <w:r>
        <w:tab/>
      </w:r>
      <w:r>
        <w:fldChar w:fldCharType="begin"/>
      </w:r>
      <w:r>
        <w:instrText xml:space="preserve"> PAGEREF _Toc25931 \h </w:instrText>
      </w:r>
      <w:r>
        <w:fldChar w:fldCharType="separate"/>
      </w:r>
      <w:r>
        <w:t>40</w:t>
      </w:r>
      <w:r>
        <w:fldChar w:fldCharType="end"/>
      </w:r>
      <w:r>
        <w:rPr>
          <w:rFonts w:ascii="宋体" w:hAnsi="宋体"/>
          <w:snapToGrid w:val="0"/>
          <w:kern w:val="0"/>
          <w:szCs w:val="24"/>
        </w:rPr>
        <w:fldChar w:fldCharType="end"/>
      </w:r>
    </w:p>
    <w:p>
      <w:pPr>
        <w:pStyle w:val="1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宋体" w:hAnsi="宋体"/>
          <w:snapToGrid w:val="0"/>
          <w:kern w:val="0"/>
          <w:szCs w:val="24"/>
        </w:rPr>
        <w:fldChar w:fldCharType="begin"/>
      </w:r>
      <w:r>
        <w:rPr>
          <w:rFonts w:ascii="宋体" w:hAnsi="宋体"/>
          <w:snapToGrid w:val="0"/>
          <w:kern w:val="0"/>
          <w:szCs w:val="24"/>
        </w:rPr>
        <w:instrText xml:space="preserve"> HYPERLINK \l _Toc20123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.3监测设施维护</w:t>
      </w:r>
      <w:r>
        <w:tab/>
      </w:r>
      <w:r>
        <w:fldChar w:fldCharType="begin"/>
      </w:r>
      <w:r>
        <w:instrText xml:space="preserve"> PAGEREF _Toc20123 \h </w:instrText>
      </w:r>
      <w:r>
        <w:fldChar w:fldCharType="separate"/>
      </w:r>
      <w:r>
        <w:t>40</w:t>
      </w:r>
      <w:r>
        <w:fldChar w:fldCharType="end"/>
      </w:r>
      <w:r>
        <w:rPr>
          <w:rFonts w:ascii="宋体" w:hAnsi="宋体"/>
          <w:snapToGrid w:val="0"/>
          <w:kern w:val="0"/>
          <w:szCs w:val="24"/>
        </w:rPr>
        <w:fldChar w:fldCharType="end"/>
      </w:r>
    </w:p>
    <w:p>
      <w:pPr>
        <w:pStyle w:val="16"/>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_Toc19430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.4监测方案动态更新</w:t>
      </w:r>
      <w:r>
        <w:tab/>
      </w:r>
      <w:r>
        <w:fldChar w:fldCharType="begin"/>
      </w:r>
      <w:r>
        <w:instrText xml:space="preserve"> PAGEREF _Toc19430 \h </w:instrText>
      </w:r>
      <w:r>
        <w:fldChar w:fldCharType="separate"/>
      </w:r>
      <w:r>
        <w:t>41</w:t>
      </w:r>
      <w:r>
        <w:fldChar w:fldCharType="end"/>
      </w:r>
      <w:r>
        <w:rPr>
          <w:rFonts w:ascii="宋体" w:hAnsi="宋体"/>
          <w:snapToGrid w:val="0"/>
          <w:kern w:val="0"/>
          <w:szCs w:val="24"/>
        </w:rPr>
        <w:fldChar w:fldCharType="end"/>
      </w:r>
    </w:p>
    <w:p>
      <w:pPr>
        <w:pStyle w:val="14"/>
        <w:tabs>
          <w:tab w:val="right" w:leader="dot" w:pos="8306"/>
          <w:tab w:val="clear" w:pos="8296"/>
        </w:tabs>
      </w:pPr>
    </w:p>
    <w:p>
      <w:pPr>
        <w:rPr>
          <w:rFonts w:ascii="Times New Roman" w:hAnsi="Times New Roman"/>
          <w:b/>
          <w:snapToGrid w:val="0"/>
          <w:kern w:val="0"/>
          <w:sz w:val="32"/>
          <w:szCs w:val="32"/>
        </w:rPr>
        <w:sectPr>
          <w:headerReference r:id="rId4" w:type="default"/>
          <w:pgSz w:w="11906" w:h="16838"/>
          <w:pgMar w:top="1440" w:right="1800" w:bottom="1440" w:left="1800" w:header="851" w:footer="992" w:gutter="0"/>
          <w:cols w:space="425" w:num="1"/>
          <w:docGrid w:type="lines" w:linePitch="312" w:charSpace="0"/>
        </w:sectPr>
      </w:pPr>
      <w:r>
        <w:rPr>
          <w:rFonts w:ascii="宋体" w:hAnsi="宋体"/>
          <w:snapToGrid w:val="0"/>
          <w:kern w:val="0"/>
          <w:szCs w:val="24"/>
        </w:rPr>
        <w:fldChar w:fldCharType="end"/>
      </w:r>
    </w:p>
    <w:p>
      <w:pPr>
        <w:keepNext/>
        <w:keepLines/>
        <w:spacing w:line="500" w:lineRule="exact"/>
        <w:outlineLvl w:val="0"/>
        <w:rPr>
          <w:rFonts w:ascii="Times New Roman" w:hAnsi="Times New Roman"/>
          <w:b/>
          <w:bCs/>
          <w:kern w:val="44"/>
          <w:sz w:val="36"/>
          <w:szCs w:val="44"/>
        </w:rPr>
      </w:pPr>
      <w:bookmarkStart w:id="2" w:name="_Toc534203153"/>
      <w:bookmarkStart w:id="3" w:name="_Toc526759768"/>
      <w:bookmarkStart w:id="4" w:name="_Toc525808629"/>
      <w:bookmarkStart w:id="5" w:name="_Toc23435"/>
      <w:bookmarkStart w:id="6" w:name="_Toc526777459"/>
      <w:bookmarkStart w:id="7" w:name="_Toc13847352"/>
      <w:bookmarkStart w:id="8" w:name="_Toc526777129"/>
      <w:bookmarkStart w:id="9" w:name="_Toc531519912"/>
      <w:bookmarkStart w:id="10" w:name="_Toc527286745"/>
      <w:r>
        <w:rPr>
          <w:rFonts w:ascii="Times New Roman" w:hAnsi="Times New Roman"/>
          <w:b/>
          <w:bCs/>
          <w:kern w:val="44"/>
          <w:sz w:val="36"/>
          <w:szCs w:val="44"/>
        </w:rPr>
        <w:t>1 项目概述</w:t>
      </w:r>
      <w:bookmarkEnd w:id="2"/>
      <w:bookmarkEnd w:id="3"/>
      <w:bookmarkEnd w:id="4"/>
      <w:bookmarkEnd w:id="5"/>
      <w:bookmarkEnd w:id="6"/>
      <w:bookmarkEnd w:id="7"/>
      <w:bookmarkEnd w:id="8"/>
      <w:bookmarkEnd w:id="9"/>
      <w:bookmarkEnd w:id="10"/>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1" w:name="_Toc527286746"/>
      <w:bookmarkStart w:id="12" w:name="_Toc526777460"/>
      <w:bookmarkStart w:id="13" w:name="_Toc525808630"/>
      <w:bookmarkStart w:id="14" w:name="_Toc13847353"/>
      <w:bookmarkStart w:id="15" w:name="_Toc534203154"/>
      <w:bookmarkStart w:id="16" w:name="_Toc526777130"/>
      <w:bookmarkStart w:id="17" w:name="_Toc526759769"/>
      <w:bookmarkStart w:id="18" w:name="_Toc8252"/>
      <w:bookmarkStart w:id="19" w:name="_Toc531519913"/>
      <w:r>
        <w:rPr>
          <w:rFonts w:ascii="Times New Roman" w:hAnsi="Times New Roman"/>
          <w:b/>
          <w:bCs/>
          <w:sz w:val="28"/>
          <w:szCs w:val="32"/>
        </w:rPr>
        <w:t>1.1项目背景</w:t>
      </w:r>
      <w:bookmarkEnd w:id="11"/>
      <w:bookmarkEnd w:id="12"/>
      <w:bookmarkEnd w:id="13"/>
      <w:bookmarkEnd w:id="14"/>
      <w:bookmarkEnd w:id="15"/>
      <w:bookmarkEnd w:id="16"/>
      <w:bookmarkEnd w:id="17"/>
      <w:bookmarkEnd w:id="18"/>
      <w:bookmarkEnd w:id="19"/>
    </w:p>
    <w:p>
      <w:pPr>
        <w:widowControl/>
        <w:spacing w:line="500" w:lineRule="exact"/>
        <w:ind w:firstLine="420"/>
        <w:rPr>
          <w:rFonts w:ascii="Times New Roman" w:hAnsi="Times New Roman"/>
          <w:sz w:val="24"/>
          <w:szCs w:val="24"/>
        </w:rPr>
      </w:pPr>
      <w:r>
        <w:rPr>
          <w:rFonts w:ascii="Times New Roman" w:hAnsi="Times New Roman"/>
          <w:sz w:val="24"/>
          <w:szCs w:val="24"/>
        </w:rPr>
        <w:t>为切实加强土壤污染防治，逐步改善土壤环境质量，国务院制定发布了《土壤污染防治行动计划》（国发〔2016〕31号），简称“土十条”。“土十条”中指出针对我过现阶段的</w:t>
      </w:r>
      <w:r>
        <w:rPr>
          <w:rFonts w:hint="eastAsia" w:ascii="Times New Roman" w:hAnsi="Times New Roman"/>
          <w:sz w:val="24"/>
          <w:szCs w:val="24"/>
        </w:rPr>
        <w:t>土壤</w:t>
      </w:r>
      <w:r>
        <w:rPr>
          <w:rFonts w:ascii="Times New Roman" w:hAnsi="Times New Roman"/>
          <w:sz w:val="24"/>
          <w:szCs w:val="24"/>
        </w:rPr>
        <w:t>污染状况，应当“强化未污染土壤保护，严控新增土壤污染。”其中，为“防范建设用地新增污染”，</w:t>
      </w:r>
      <w:r>
        <w:rPr>
          <w:rFonts w:hint="eastAsia" w:ascii="Times New Roman" w:hAnsi="Times New Roman"/>
          <w:sz w:val="24"/>
          <w:szCs w:val="24"/>
        </w:rPr>
        <w:t>应当</w:t>
      </w:r>
      <w:r>
        <w:rPr>
          <w:rFonts w:ascii="Times New Roman" w:hAnsi="Times New Roman"/>
          <w:sz w:val="24"/>
          <w:szCs w:val="24"/>
        </w:rPr>
        <w:t>“自2017年起，有关地方人民政府要与重点行业企业签订土壤污染防治责任书，明确相关措施和责任，责任书向社会公开。”</w:t>
      </w:r>
      <w:r>
        <w:rPr>
          <w:rFonts w:hint="eastAsia" w:ascii="Times New Roman" w:hAnsi="Times New Roman"/>
          <w:sz w:val="24"/>
          <w:szCs w:val="24"/>
        </w:rPr>
        <w:t>并且</w:t>
      </w:r>
      <w:r>
        <w:rPr>
          <w:rFonts w:ascii="Times New Roman" w:hAnsi="Times New Roman"/>
          <w:sz w:val="24"/>
          <w:szCs w:val="24"/>
        </w:rPr>
        <w:t>“加强日常环境监管。各地要根据工矿企业分布和污染排放情况，确定土壤环境重点监管企业名单，实行动态更新，并向社会公布。列入名单的企业每年要自行对其用地进行土壤环境监测，结果向社会公开。有关环境保护部门要定期对重点监管企业和工业园区周边开展监测，数据及时上传全国土壤环境信息化管理平台，结果作为环境执法和风险预警的重要依据。”</w:t>
      </w:r>
    </w:p>
    <w:p>
      <w:pPr>
        <w:widowControl/>
        <w:spacing w:line="500" w:lineRule="exact"/>
        <w:ind w:firstLine="420"/>
        <w:rPr>
          <w:rFonts w:ascii="Times New Roman" w:hAnsi="Times New Roman"/>
          <w:snapToGrid w:val="0"/>
          <w:kern w:val="0"/>
          <w:sz w:val="24"/>
          <w:szCs w:val="24"/>
        </w:rPr>
      </w:pPr>
      <w:r>
        <w:rPr>
          <w:rFonts w:ascii="Times New Roman" w:hAnsi="Times New Roman"/>
          <w:sz w:val="24"/>
          <w:szCs w:val="24"/>
        </w:rPr>
        <w:t>在此背景下，江苏省政府发布了《江苏省土壤污染防治工作方案》（苏政发〔2016〕169号），</w:t>
      </w:r>
      <w:bookmarkStart w:id="20" w:name="_Hlk529264465"/>
      <w:r>
        <w:rPr>
          <w:rFonts w:ascii="Times New Roman" w:hAnsi="Times New Roman"/>
          <w:sz w:val="24"/>
          <w:szCs w:val="24"/>
        </w:rPr>
        <w:t>以下简称为“江苏省土十条”</w:t>
      </w:r>
      <w:bookmarkEnd w:id="20"/>
      <w:r>
        <w:rPr>
          <w:rFonts w:ascii="Times New Roman" w:hAnsi="Times New Roman"/>
          <w:sz w:val="24"/>
          <w:szCs w:val="24"/>
        </w:rPr>
        <w:t>。其中，“江苏省土十条”在第</w:t>
      </w:r>
      <w:r>
        <w:rPr>
          <w:rFonts w:hint="eastAsia" w:ascii="Times New Roman" w:hAnsi="Times New Roman"/>
          <w:sz w:val="24"/>
          <w:szCs w:val="24"/>
        </w:rPr>
        <w:t>三</w:t>
      </w:r>
      <w:r>
        <w:rPr>
          <w:rFonts w:ascii="Times New Roman" w:hAnsi="Times New Roman"/>
          <w:sz w:val="24"/>
          <w:szCs w:val="24"/>
        </w:rPr>
        <w:t>条第</w:t>
      </w:r>
      <w:r>
        <w:rPr>
          <w:rFonts w:hint="eastAsia" w:ascii="Times New Roman" w:hAnsi="Times New Roman"/>
          <w:sz w:val="24"/>
          <w:szCs w:val="24"/>
        </w:rPr>
        <w:t>八</w:t>
      </w:r>
      <w:r>
        <w:rPr>
          <w:rFonts w:ascii="Times New Roman" w:hAnsi="Times New Roman"/>
          <w:sz w:val="24"/>
          <w:szCs w:val="24"/>
        </w:rPr>
        <w:t>款中指出“</w:t>
      </w:r>
      <w:r>
        <w:rPr>
          <w:rFonts w:hint="eastAsia" w:ascii="Times New Roman" w:hAnsi="Times New Roman"/>
          <w:sz w:val="24"/>
          <w:szCs w:val="24"/>
        </w:rPr>
        <w:t>严控工矿污染。加强日常环境监管。落实属地管理责任，各地要根据工矿企业分布、污染排放情况，确定土壤环境重点监管企业名单，实行动态更新，并向社会公布。</w:t>
      </w:r>
      <w:r>
        <w:rPr>
          <w:rFonts w:hint="default" w:ascii="Times New Roman" w:hAnsi="Times New Roman"/>
          <w:sz w:val="24"/>
          <w:szCs w:val="24"/>
          <w:lang w:val="en-US" w:eastAsia="zh-CN"/>
        </w:rPr>
        <w:t>依据苏州市张家港生态环境局下发的《2021年重点排污单位名录》与《苏州市土壤污染防治工作方案》，江苏奥斯佳材料科技有限公司为2021年度新增企业</w:t>
      </w:r>
      <w:r>
        <w:rPr>
          <w:rFonts w:hint="eastAsia" w:ascii="Times New Roman" w:hAnsi="Times New Roman"/>
          <w:sz w:val="24"/>
          <w:szCs w:val="24"/>
          <w:lang w:val="en-US" w:eastAsia="zh-CN"/>
        </w:rPr>
        <w:t>，</w:t>
      </w:r>
      <w:r>
        <w:rPr>
          <w:rFonts w:hint="eastAsia" w:ascii="Times New Roman" w:hAnsi="Times New Roman"/>
          <w:sz w:val="24"/>
          <w:szCs w:val="24"/>
        </w:rPr>
        <w:t>要求企业针对土壤和地下水开展隐患排查和自行监测工作。</w:t>
      </w:r>
    </w:p>
    <w:p>
      <w:pPr>
        <w:widowControl/>
        <w:spacing w:line="500" w:lineRule="exact"/>
        <w:ind w:firstLine="420"/>
        <w:rPr>
          <w:rFonts w:hint="eastAsia" w:ascii="Times New Roman" w:hAnsi="Times New Roman" w:eastAsia="宋体" w:cs="Times New Roman"/>
          <w:snapToGrid w:val="0"/>
          <w:kern w:val="0"/>
          <w:sz w:val="24"/>
          <w:szCs w:val="24"/>
          <w:lang w:eastAsia="zh-CN"/>
        </w:rPr>
      </w:pPr>
      <w:r>
        <w:rPr>
          <w:rFonts w:hint="eastAsia" w:ascii="Times New Roman" w:hAnsi="Times New Roman" w:eastAsia="宋体" w:cs="Times New Roman"/>
          <w:snapToGrid w:val="0"/>
          <w:kern w:val="0"/>
          <w:sz w:val="24"/>
          <w:szCs w:val="24"/>
          <w:lang w:eastAsia="zh-CN"/>
        </w:rPr>
        <w:t>20</w:t>
      </w:r>
      <w:r>
        <w:rPr>
          <w:rFonts w:hint="eastAsia" w:ascii="Times New Roman" w:hAnsi="Times New Roman" w:eastAsia="宋体" w:cs="Times New Roman"/>
          <w:snapToGrid w:val="0"/>
          <w:kern w:val="0"/>
          <w:sz w:val="24"/>
          <w:szCs w:val="24"/>
          <w:lang w:val="en-US" w:eastAsia="zh-CN"/>
        </w:rPr>
        <w:t>2</w:t>
      </w:r>
      <w:r>
        <w:rPr>
          <w:rFonts w:hint="eastAsia" w:ascii="Times New Roman" w:hAnsi="Times New Roman" w:cs="Times New Roman"/>
          <w:snapToGrid w:val="0"/>
          <w:kern w:val="0"/>
          <w:sz w:val="24"/>
          <w:szCs w:val="24"/>
          <w:lang w:val="en-US" w:eastAsia="zh-CN"/>
        </w:rPr>
        <w:t>1</w:t>
      </w:r>
      <w:r>
        <w:rPr>
          <w:rFonts w:hint="eastAsia" w:ascii="Times New Roman" w:hAnsi="Times New Roman" w:eastAsia="宋体" w:cs="Times New Roman"/>
          <w:snapToGrid w:val="0"/>
          <w:kern w:val="0"/>
          <w:sz w:val="24"/>
          <w:szCs w:val="24"/>
          <w:lang w:eastAsia="zh-CN"/>
        </w:rPr>
        <w:t>年</w:t>
      </w:r>
      <w:r>
        <w:rPr>
          <w:rFonts w:hint="eastAsia" w:ascii="Times New Roman" w:hAnsi="Times New Roman" w:cs="Times New Roman"/>
          <w:snapToGrid w:val="0"/>
          <w:kern w:val="0"/>
          <w:sz w:val="24"/>
          <w:szCs w:val="24"/>
          <w:lang w:val="en-US" w:eastAsia="zh-CN"/>
        </w:rPr>
        <w:t>10</w:t>
      </w:r>
      <w:r>
        <w:rPr>
          <w:rFonts w:hint="eastAsia" w:ascii="Times New Roman" w:hAnsi="Times New Roman" w:eastAsia="宋体" w:cs="Times New Roman"/>
          <w:snapToGrid w:val="0"/>
          <w:kern w:val="0"/>
          <w:sz w:val="24"/>
          <w:szCs w:val="24"/>
          <w:lang w:eastAsia="zh-CN"/>
        </w:rPr>
        <w:t>月，</w:t>
      </w:r>
      <w:r>
        <w:rPr>
          <w:rFonts w:hint="eastAsia" w:ascii="Times New Roman" w:hAnsi="Times New Roman" w:cs="Times New Roman"/>
          <w:snapToGrid w:val="0"/>
          <w:kern w:val="0"/>
          <w:sz w:val="24"/>
          <w:szCs w:val="24"/>
          <w:lang w:val="en-US" w:eastAsia="zh-CN"/>
        </w:rPr>
        <w:t>华科毛纺工业（张家港）</w:t>
      </w:r>
      <w:r>
        <w:rPr>
          <w:rFonts w:hint="eastAsia" w:ascii="Times New Roman" w:hAnsi="Times New Roman" w:cs="Times New Roman"/>
          <w:snapToGrid w:val="0"/>
          <w:kern w:val="0"/>
          <w:sz w:val="24"/>
          <w:szCs w:val="24"/>
          <w:lang w:eastAsia="zh-CN"/>
        </w:rPr>
        <w:t>有限公司</w:t>
      </w:r>
      <w:r>
        <w:rPr>
          <w:rFonts w:hint="eastAsia" w:ascii="Times New Roman" w:hAnsi="Times New Roman" w:eastAsia="宋体" w:cs="Times New Roman"/>
          <w:snapToGrid w:val="0"/>
          <w:kern w:val="0"/>
          <w:sz w:val="24"/>
          <w:szCs w:val="24"/>
          <w:lang w:eastAsia="zh-CN"/>
        </w:rPr>
        <w:t>按照《在产企业土壤及地下水自行监测技术指南》（征求意见稿）的要求编制本方案。</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21" w:name="_Toc14173"/>
      <w:bookmarkStart w:id="22" w:name="_Toc534203155"/>
      <w:bookmarkStart w:id="23" w:name="_Toc13847354"/>
      <w:bookmarkStart w:id="24" w:name="_Toc531519914"/>
      <w:r>
        <w:rPr>
          <w:rFonts w:ascii="Times New Roman" w:hAnsi="Times New Roman"/>
          <w:b/>
          <w:bCs/>
          <w:sz w:val="28"/>
          <w:szCs w:val="32"/>
        </w:rPr>
        <w:t>1.</w:t>
      </w:r>
      <w:r>
        <w:rPr>
          <w:rFonts w:hint="eastAsia" w:ascii="Times New Roman" w:hAnsi="Times New Roman"/>
          <w:b/>
          <w:bCs/>
          <w:sz w:val="28"/>
          <w:szCs w:val="32"/>
        </w:rPr>
        <w:t>2企业简介</w:t>
      </w:r>
      <w:bookmarkEnd w:id="21"/>
      <w:bookmarkEnd w:id="22"/>
      <w:bookmarkEnd w:id="23"/>
      <w:bookmarkEnd w:id="24"/>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kern w:val="0"/>
          <w:sz w:val="24"/>
          <w:szCs w:val="24"/>
          <w:vertAlign w:val="baseline"/>
          <w:lang w:eastAsia="en-US" w:bidi="ar-SA"/>
        </w:rPr>
      </w:pPr>
      <w:bookmarkStart w:id="25" w:name="_Toc26124"/>
      <w:bookmarkStart w:id="26" w:name="_Toc531519915"/>
      <w:bookmarkStart w:id="27" w:name="_Toc534203156"/>
      <w:bookmarkStart w:id="28" w:name="_Toc13847355"/>
      <w:r>
        <w:rPr>
          <w:rFonts w:hint="default" w:ascii="Times New Roman" w:hAnsi="Times New Roman" w:eastAsia="宋体" w:cs="Times New Roman"/>
          <w:color w:val="auto"/>
          <w:kern w:val="0"/>
          <w:sz w:val="24"/>
          <w:szCs w:val="24"/>
          <w:lang w:val="en-US" w:eastAsia="zh-CN" w:bidi="ar-SA"/>
        </w:rPr>
        <w:t>张家港市华科毛纺有限公司成立</w:t>
      </w:r>
      <w:r>
        <w:rPr>
          <w:rFonts w:hint="eastAsia" w:ascii="Times New Roman" w:hAnsi="Times New Roman" w:eastAsia="宋体" w:cs="Times New Roman"/>
          <w:color w:val="auto"/>
          <w:kern w:val="0"/>
          <w:sz w:val="24"/>
          <w:szCs w:val="24"/>
          <w:lang w:val="en-US" w:eastAsia="zh-CN" w:bidi="ar-SA"/>
        </w:rPr>
        <w:t>于</w:t>
      </w:r>
      <w:r>
        <w:rPr>
          <w:rFonts w:hint="default" w:ascii="Times New Roman" w:hAnsi="Times New Roman" w:eastAsia="宋体" w:cs="Times New Roman"/>
          <w:color w:val="auto"/>
          <w:kern w:val="0"/>
          <w:sz w:val="24"/>
          <w:szCs w:val="24"/>
          <w:lang w:val="en-US" w:eastAsia="zh-CN" w:bidi="ar-SA"/>
        </w:rPr>
        <w:t>2002年，位于张家港市杨舍镇包基村14组，是一家专门从事坯布染整的企业，现公司占地面积</w:t>
      </w:r>
      <w:r>
        <w:rPr>
          <w:rFonts w:hint="default" w:ascii="Times New Roman" w:hAnsi="Times New Roman" w:eastAsia="宋体" w:cs="Times New Roman"/>
          <w:color w:val="auto"/>
          <w:kern w:val="0"/>
          <w:sz w:val="24"/>
          <w:szCs w:val="24"/>
          <w:lang w:val="en-US" w:eastAsia="en-US" w:bidi="ar-SA"/>
        </w:rPr>
        <w:t>25800m</w:t>
      </w:r>
      <w:r>
        <w:rPr>
          <w:rFonts w:hint="default" w:ascii="Times New Roman" w:hAnsi="Times New Roman" w:eastAsia="宋体" w:cs="Times New Roman"/>
          <w:color w:val="auto"/>
          <w:kern w:val="0"/>
          <w:sz w:val="24"/>
          <w:szCs w:val="24"/>
          <w:vertAlign w:val="superscript"/>
          <w:lang w:val="en-US" w:eastAsia="en-US" w:bidi="ar-SA"/>
        </w:rPr>
        <w:t>2</w:t>
      </w:r>
      <w:r>
        <w:rPr>
          <w:rFonts w:hint="default" w:ascii="Times New Roman" w:hAnsi="Times New Roman" w:eastAsia="宋体" w:cs="Times New Roman"/>
          <w:color w:val="auto"/>
          <w:kern w:val="0"/>
          <w:sz w:val="24"/>
          <w:szCs w:val="24"/>
          <w:vertAlign w:val="baseline"/>
          <w:lang w:eastAsia="en-US" w:bidi="ar-SA"/>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目前公司主要生产车间包括呢布染整车间、散毛染色车间、污水处理站等，现有有职工188人，年工作300天，三班制，一班8小时。</w:t>
      </w:r>
    </w:p>
    <w:p>
      <w:pPr>
        <w:keepNext/>
        <w:keepLines/>
        <w:spacing w:line="500" w:lineRule="exact"/>
        <w:outlineLvl w:val="0"/>
        <w:rPr>
          <w:rFonts w:ascii="Times New Roman" w:hAnsi="Times New Roman"/>
          <w:b/>
          <w:bCs/>
          <w:kern w:val="44"/>
          <w:sz w:val="36"/>
          <w:szCs w:val="44"/>
        </w:rPr>
      </w:pPr>
      <w:r>
        <w:rPr>
          <w:rFonts w:hint="eastAsia" w:ascii="Times New Roman" w:hAnsi="Times New Roman"/>
          <w:b/>
          <w:bCs/>
          <w:kern w:val="44"/>
          <w:sz w:val="36"/>
          <w:szCs w:val="44"/>
        </w:rPr>
        <w:t>2</w:t>
      </w:r>
      <w:r>
        <w:rPr>
          <w:rFonts w:ascii="Times New Roman" w:hAnsi="Times New Roman"/>
          <w:b/>
          <w:bCs/>
          <w:kern w:val="44"/>
          <w:sz w:val="36"/>
          <w:szCs w:val="44"/>
        </w:rPr>
        <w:t xml:space="preserve"> </w:t>
      </w:r>
      <w:r>
        <w:rPr>
          <w:rFonts w:hint="eastAsia" w:ascii="Times New Roman" w:hAnsi="Times New Roman"/>
          <w:b/>
          <w:bCs/>
          <w:kern w:val="44"/>
          <w:sz w:val="36"/>
          <w:szCs w:val="44"/>
        </w:rPr>
        <w:t>编制依据</w:t>
      </w:r>
      <w:bookmarkEnd w:id="25"/>
      <w:bookmarkEnd w:id="26"/>
      <w:bookmarkEnd w:id="27"/>
      <w:bookmarkEnd w:id="28"/>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29" w:name="_Toc534203157"/>
      <w:bookmarkStart w:id="30" w:name="_Toc13847356"/>
      <w:bookmarkStart w:id="31" w:name="_Toc531519916"/>
      <w:bookmarkStart w:id="32" w:name="_Toc21181"/>
      <w:r>
        <w:rPr>
          <w:rFonts w:hint="eastAsia" w:ascii="Times New Roman" w:hAnsi="Times New Roman"/>
          <w:b/>
          <w:bCs/>
          <w:sz w:val="28"/>
          <w:szCs w:val="32"/>
        </w:rPr>
        <w:t>2</w:t>
      </w:r>
      <w:r>
        <w:rPr>
          <w:rFonts w:ascii="Times New Roman" w:hAnsi="Times New Roman"/>
          <w:b/>
          <w:bCs/>
          <w:sz w:val="28"/>
          <w:szCs w:val="32"/>
        </w:rPr>
        <w:t>.1</w:t>
      </w:r>
      <w:r>
        <w:rPr>
          <w:rFonts w:hint="eastAsia" w:ascii="Times New Roman" w:hAnsi="Times New Roman"/>
          <w:b/>
          <w:bCs/>
          <w:sz w:val="28"/>
          <w:szCs w:val="32"/>
        </w:rPr>
        <w:t>相关法律、法规及政策</w:t>
      </w:r>
      <w:bookmarkEnd w:id="29"/>
      <w:bookmarkEnd w:id="30"/>
      <w:bookmarkEnd w:id="31"/>
      <w:bookmarkEnd w:id="32"/>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（1）《中华人民共和国环境保护法》，2014年4月24日修订通过，2015年1月1日起施行；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（2）《中华人民共和国土壤污染防治法》2018年8月31日修订通过，自2019年1月1日起试行；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（3）《中华人民共和国大气污染防治法》，2015年8月29日修订通过，自2016年1月1日起施行；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（4）《中华人民共和国水污染防治法》，2017年6月27日修订通过，2008年6月1日起施行；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（5）《中华人民共和国固体废物污染环境防治法》，2016年11月7日修订通过，2005年4月1日起施行；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（6）《污染地块土壤环境管理办法（试行）》（环境保护部令 第42号）；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（7）《工矿用地土壤环境管理办法（试行）》（生态环境部令 第3号）；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（8） 《国务院关于印发土壤污染防治行动计划的通知》（国发〔2016〕31号）；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（9）《江苏省土壤污染防治工作方案》（苏政发〔2016〕169号）；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（10）《苏州市土壤污染防治工作方案》（苏府〔2017〕102号）；</w:t>
      </w:r>
    </w:p>
    <w:p>
      <w:pPr>
        <w:widowControl/>
        <w:spacing w:line="500" w:lineRule="exact"/>
        <w:ind w:firstLine="480" w:firstLineChars="200"/>
        <w:rPr>
          <w:rFonts w:ascii="Times New Roman" w:hAnsi="Times New Roman"/>
          <w:sz w:val="24"/>
          <w:szCs w:val="24"/>
        </w:rPr>
      </w:pPr>
      <w:r>
        <w:rPr>
          <w:rFonts w:hint="eastAsia" w:ascii="Times New Roman" w:hAnsi="Times New Roman"/>
          <w:sz w:val="24"/>
          <w:szCs w:val="24"/>
        </w:rPr>
        <w:t>（11）《张家港市土壤污染防治工作方案》（张政发〔2017〕106号）；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（12）《关于公布江苏省土壤环境重点监管企业（第一批）的通知》（苏环办〔2017〕373号）。</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33" w:name="_Toc531519917"/>
      <w:bookmarkStart w:id="34" w:name="_Toc534203158"/>
      <w:bookmarkStart w:id="35" w:name="_Toc25502"/>
      <w:bookmarkStart w:id="36" w:name="_Toc13847357"/>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2相关技术导则、规范及指南</w:t>
      </w:r>
      <w:bookmarkEnd w:id="33"/>
      <w:bookmarkEnd w:id="34"/>
      <w:bookmarkEnd w:id="35"/>
      <w:bookmarkEnd w:id="36"/>
    </w:p>
    <w:p>
      <w:pPr>
        <w:widowControl/>
        <w:spacing w:line="500" w:lineRule="exact"/>
        <w:ind w:firstLine="480" w:firstLineChars="200"/>
        <w:rPr>
          <w:rFonts w:ascii="Times New Roman" w:hAnsi="Times New Roman"/>
          <w:snapToGrid w:val="0"/>
          <w:kern w:val="0"/>
          <w:sz w:val="24"/>
          <w:szCs w:val="24"/>
        </w:rPr>
      </w:pPr>
      <w:bookmarkStart w:id="37" w:name="_Hlk529264769"/>
      <w:r>
        <w:rPr>
          <w:rFonts w:hint="eastAsia" w:ascii="Times New Roman" w:hAnsi="Times New Roman"/>
          <w:snapToGrid w:val="0"/>
          <w:kern w:val="0"/>
          <w:sz w:val="24"/>
          <w:szCs w:val="24"/>
        </w:rPr>
        <w:t>（1）《场地环境调查技术导则》（HJ25.1-2014）；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（2）《场地环境监测技术导则》（HJ25.2-2014）；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（3）《污染场地风险评估技术导则》（HJ25.3-2014）；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（4）《地下水环境监测技术规范》（HJ/T 164-2004）；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（5）《土壤环境监测技术规范》（HJ/T 166-2004）；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（6）《岩土工程勘察规范》（GB 50021-2001）；</w:t>
      </w:r>
    </w:p>
    <w:p>
      <w:pPr>
        <w:spacing w:line="500" w:lineRule="exact"/>
        <w:ind w:firstLine="480" w:firstLineChars="200"/>
        <w:contextualSpacing/>
        <w:rPr>
          <w:rFonts w:ascii="Times New Roman" w:hAnsi="Times New Roman"/>
          <w:snapToGrid w:val="0"/>
          <w:kern w:val="0"/>
          <w:sz w:val="24"/>
          <w:szCs w:val="24"/>
        </w:rPr>
      </w:pPr>
      <w:r>
        <w:rPr>
          <w:rFonts w:hint="eastAsia" w:ascii="Times New Roman" w:hAnsi="Times New Roman"/>
          <w:snapToGrid w:val="0"/>
          <w:kern w:val="0"/>
          <w:sz w:val="24"/>
          <w:szCs w:val="24"/>
        </w:rPr>
        <w:t>（7）</w:t>
      </w:r>
      <w:r>
        <w:rPr>
          <w:rFonts w:hint="eastAsia" w:ascii="Times New Roman" w:hAnsi="Times New Roman"/>
          <w:color w:val="000000"/>
          <w:kern w:val="0"/>
          <w:sz w:val="24"/>
        </w:rPr>
        <w:t>《危险废物鉴别技术规范（征求意见稿）》（环办标征函</w:t>
      </w:r>
      <w:r>
        <w:rPr>
          <w:rFonts w:hint="eastAsia" w:ascii="Times New Roman" w:hAnsi="Times New Roman"/>
          <w:snapToGrid w:val="0"/>
          <w:kern w:val="0"/>
          <w:sz w:val="24"/>
          <w:szCs w:val="24"/>
        </w:rPr>
        <w:t>〔</w:t>
      </w:r>
      <w:r>
        <w:rPr>
          <w:rFonts w:ascii="Times New Roman" w:hAnsi="Times New Roman"/>
          <w:color w:val="000000"/>
          <w:kern w:val="0"/>
          <w:sz w:val="24"/>
        </w:rPr>
        <w:t>2018</w:t>
      </w:r>
      <w:r>
        <w:rPr>
          <w:rFonts w:hint="eastAsia" w:ascii="Times New Roman" w:hAnsi="Times New Roman"/>
          <w:snapToGrid w:val="0"/>
          <w:kern w:val="0"/>
          <w:sz w:val="24"/>
          <w:szCs w:val="24"/>
        </w:rPr>
        <w:t>〕</w:t>
      </w:r>
      <w:r>
        <w:rPr>
          <w:rFonts w:ascii="Times New Roman" w:hAnsi="Times New Roman"/>
          <w:color w:val="000000"/>
          <w:kern w:val="0"/>
          <w:sz w:val="24"/>
        </w:rPr>
        <w:t>19号）</w:t>
      </w:r>
      <w:r>
        <w:rPr>
          <w:rFonts w:hint="eastAsia" w:ascii="Times New Roman" w:hAnsi="Times New Roman"/>
          <w:color w:val="000000"/>
          <w:kern w:val="0"/>
          <w:sz w:val="24"/>
        </w:rPr>
        <w:t>；</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（8）《排污单位自行监测技术指南 总则》（HJ</w:t>
      </w:r>
      <w:r>
        <w:rPr>
          <w:rFonts w:ascii="Times New Roman" w:hAnsi="Times New Roman"/>
          <w:snapToGrid w:val="0"/>
          <w:kern w:val="0"/>
          <w:sz w:val="24"/>
          <w:szCs w:val="24"/>
        </w:rPr>
        <w:t xml:space="preserve"> </w:t>
      </w:r>
      <w:r>
        <w:rPr>
          <w:rFonts w:hint="eastAsia" w:ascii="Times New Roman" w:hAnsi="Times New Roman"/>
          <w:snapToGrid w:val="0"/>
          <w:kern w:val="0"/>
          <w:sz w:val="24"/>
          <w:szCs w:val="24"/>
        </w:rPr>
        <w:t>819-2017）；</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（9）《建设用地土壤环境调查评估技术指南》（环境保护部，2017年12月14日）；</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（10）《工业企业场地环境调查评估与修复工作指南（试行）》（环境保护部，2014年11 月）；</w:t>
      </w:r>
    </w:p>
    <w:p>
      <w:pPr>
        <w:pStyle w:val="30"/>
        <w:spacing w:line="500" w:lineRule="exact"/>
        <w:ind w:right="210" w:firstLine="480"/>
        <w:jc w:val="both"/>
        <w:rPr>
          <w:rFonts w:ascii="Times New Roman" w:hAnsi="Times New Roman"/>
          <w:snapToGrid w:val="0"/>
          <w:kern w:val="0"/>
        </w:rPr>
      </w:pPr>
      <w:r>
        <w:rPr>
          <w:rFonts w:hint="eastAsia" w:ascii="Times New Roman" w:hAnsi="Times New Roman" w:eastAsia="宋体" w:cs="Times New Roman"/>
          <w:kern w:val="0"/>
          <w:szCs w:val="22"/>
        </w:rPr>
        <w:t>（11）</w:t>
      </w:r>
      <w:r>
        <w:rPr>
          <w:rFonts w:hint="default" w:ascii="Times New Roman" w:hAnsi="Times New Roman" w:eastAsia="宋体" w:cs="Times New Roman"/>
          <w:snapToGrid w:val="0"/>
          <w:kern w:val="0"/>
          <w:sz w:val="24"/>
          <w:szCs w:val="24"/>
          <w:lang w:val="en-US" w:eastAsia="zh-CN" w:bidi="ar-SA"/>
        </w:rPr>
        <w:t>《</w:t>
      </w:r>
      <w:r>
        <w:rPr>
          <w:rFonts w:hint="eastAsia" w:ascii="Times New Roman" w:hAnsi="Times New Roman" w:eastAsia="宋体" w:cs="Times New Roman"/>
          <w:snapToGrid w:val="0"/>
          <w:kern w:val="0"/>
          <w:sz w:val="24"/>
          <w:szCs w:val="24"/>
          <w:lang w:val="en-US" w:eastAsia="zh-CN" w:bidi="ar-SA"/>
        </w:rPr>
        <w:t>重点监管企业</w:t>
      </w:r>
      <w:r>
        <w:rPr>
          <w:rFonts w:hint="default" w:ascii="Times New Roman" w:hAnsi="Times New Roman" w:eastAsia="宋体" w:cs="Times New Roman"/>
          <w:snapToGrid w:val="0"/>
          <w:kern w:val="0"/>
          <w:sz w:val="24"/>
          <w:szCs w:val="24"/>
          <w:lang w:val="en-US" w:eastAsia="zh-CN" w:bidi="ar-SA"/>
        </w:rPr>
        <w:t>土壤污染隐患排查技术指南（试行）》（生态环境部 2021年 第1号公告）。</w:t>
      </w:r>
    </w:p>
    <w:bookmarkEnd w:id="37"/>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38" w:name="_Toc13847358"/>
      <w:bookmarkStart w:id="39" w:name="_Toc531519918"/>
      <w:bookmarkStart w:id="40" w:name="_Toc10382"/>
      <w:bookmarkStart w:id="41" w:name="_Toc534203159"/>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3相关标准</w:t>
      </w:r>
      <w:bookmarkEnd w:id="38"/>
      <w:bookmarkEnd w:id="39"/>
      <w:bookmarkEnd w:id="40"/>
      <w:bookmarkEnd w:id="41"/>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（1）《土壤环境质量建设用地土壤污染风险管控标准》（试行）</w:t>
      </w:r>
      <w:bookmarkStart w:id="42" w:name="_Hlk529264868"/>
      <w:r>
        <w:rPr>
          <w:rFonts w:hint="eastAsia" w:ascii="Times New Roman" w:hAnsi="Times New Roman"/>
          <w:snapToGrid w:val="0"/>
          <w:kern w:val="0"/>
          <w:sz w:val="24"/>
          <w:szCs w:val="24"/>
        </w:rPr>
        <w:t>（GB36600-2018）</w:t>
      </w:r>
      <w:bookmarkEnd w:id="42"/>
      <w:r>
        <w:rPr>
          <w:rFonts w:hint="eastAsia" w:ascii="Times New Roman" w:hAnsi="Times New Roman"/>
          <w:snapToGrid w:val="0"/>
          <w:kern w:val="0"/>
          <w:sz w:val="24"/>
          <w:szCs w:val="24"/>
        </w:rPr>
        <w:t>；</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（2）《地下水质量标准》（GB/T14848-2017）；</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w:t>
      </w:r>
      <w:r>
        <w:rPr>
          <w:rFonts w:ascii="Times New Roman" w:hAnsi="Times New Roman"/>
          <w:snapToGrid w:val="0"/>
          <w:kern w:val="0"/>
          <w:sz w:val="24"/>
          <w:szCs w:val="24"/>
        </w:rPr>
        <w:t>Resident Vapor Intrusion Screening Levels (VISL)</w:t>
      </w:r>
      <w:r>
        <w:rPr>
          <w:rFonts w:hint="eastAsia" w:ascii="Times New Roman" w:hAnsi="Times New Roman"/>
          <w:snapToGrid w:val="0"/>
          <w:kern w:val="0"/>
          <w:sz w:val="24"/>
          <w:szCs w:val="24"/>
        </w:rPr>
        <w:t>》（US</w:t>
      </w:r>
      <w:r>
        <w:rPr>
          <w:rFonts w:ascii="Times New Roman" w:hAnsi="Times New Roman"/>
          <w:snapToGrid w:val="0"/>
          <w:kern w:val="0"/>
          <w:sz w:val="24"/>
          <w:szCs w:val="24"/>
        </w:rPr>
        <w:t xml:space="preserve"> </w:t>
      </w:r>
      <w:r>
        <w:rPr>
          <w:rFonts w:hint="eastAsia" w:ascii="Times New Roman" w:hAnsi="Times New Roman"/>
          <w:snapToGrid w:val="0"/>
          <w:kern w:val="0"/>
          <w:sz w:val="24"/>
          <w:szCs w:val="24"/>
        </w:rPr>
        <w:t>EPA）。</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43" w:name="_Toc531519919"/>
      <w:bookmarkStart w:id="44" w:name="_Toc15798"/>
      <w:bookmarkStart w:id="45" w:name="_Toc534203160"/>
      <w:bookmarkStart w:id="46" w:name="_Toc13847359"/>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4其他资料</w:t>
      </w:r>
      <w:bookmarkEnd w:id="43"/>
      <w:bookmarkEnd w:id="44"/>
      <w:bookmarkEnd w:id="45"/>
      <w:bookmarkEnd w:id="46"/>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w:t>
      </w:r>
      <w:r>
        <w:rPr>
          <w:rFonts w:hint="default" w:ascii="Times New Roman" w:hAnsi="Times New Roman" w:eastAsia="宋体" w:cs="Times New Roman"/>
          <w:color w:val="auto"/>
          <w:kern w:val="0"/>
          <w:sz w:val="24"/>
          <w:szCs w:val="24"/>
          <w:lang w:val="en-US" w:eastAsia="zh-CN" w:bidi="ar-SA"/>
        </w:rPr>
        <w:t>张家港</w:t>
      </w:r>
      <w:r>
        <w:rPr>
          <w:rFonts w:hint="eastAsia" w:ascii="Times New Roman" w:hAnsi="Times New Roman" w:cs="Times New Roman"/>
          <w:color w:val="auto"/>
          <w:kern w:val="0"/>
          <w:sz w:val="24"/>
          <w:szCs w:val="24"/>
          <w:lang w:val="en-US" w:eastAsia="zh-CN" w:bidi="ar-SA"/>
        </w:rPr>
        <w:t>市</w:t>
      </w:r>
      <w:r>
        <w:rPr>
          <w:rFonts w:hint="eastAsia" w:ascii="Times New Roman" w:hAnsi="Times New Roman" w:cs="Times New Roman"/>
          <w:color w:val="auto"/>
          <w:kern w:val="0"/>
          <w:sz w:val="24"/>
          <w:szCs w:val="24"/>
          <w:lang w:val="en-US" w:eastAsia="zh-CN" w:bidi="ar-SA"/>
        </w:rPr>
        <w:t>华科毛纺</w:t>
      </w:r>
      <w:r>
        <w:rPr>
          <w:rFonts w:hint="default" w:ascii="Times New Roman" w:hAnsi="Times New Roman" w:eastAsia="宋体" w:cs="Times New Roman"/>
          <w:color w:val="auto"/>
          <w:kern w:val="0"/>
          <w:sz w:val="24"/>
          <w:szCs w:val="24"/>
          <w:lang w:val="en-US" w:eastAsia="zh-CN" w:bidi="ar-SA"/>
        </w:rPr>
        <w:t>有限公司</w:t>
      </w:r>
      <w:r>
        <w:rPr>
          <w:rFonts w:hint="eastAsia" w:ascii="Times New Roman" w:hAnsi="Times New Roman"/>
          <w:snapToGrid w:val="0"/>
          <w:kern w:val="0"/>
          <w:sz w:val="24"/>
          <w:szCs w:val="24"/>
        </w:rPr>
        <w:t>建设项目环境影响报告》；</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w:t>
      </w:r>
      <w:r>
        <w:rPr>
          <w:rFonts w:hint="eastAsia" w:ascii="Times New Roman" w:hAnsi="Times New Roman"/>
          <w:snapToGrid w:val="0"/>
          <w:kern w:val="0"/>
          <w:sz w:val="24"/>
          <w:szCs w:val="24"/>
          <w:lang w:val="en-US" w:eastAsia="zh-CN"/>
        </w:rPr>
        <w:t>2</w:t>
      </w:r>
      <w:r>
        <w:rPr>
          <w:rFonts w:hint="eastAsia" w:ascii="Times New Roman" w:hAnsi="Times New Roman"/>
          <w:snapToGrid w:val="0"/>
          <w:kern w:val="0"/>
          <w:sz w:val="24"/>
          <w:szCs w:val="24"/>
        </w:rPr>
        <w:t>）《</w:t>
      </w:r>
      <w:r>
        <w:rPr>
          <w:rFonts w:hint="default" w:ascii="Times New Roman" w:hAnsi="Times New Roman" w:eastAsia="宋体" w:cs="Times New Roman"/>
          <w:color w:val="auto"/>
          <w:kern w:val="0"/>
          <w:sz w:val="24"/>
          <w:szCs w:val="24"/>
          <w:lang w:val="en-US" w:eastAsia="zh-CN" w:bidi="ar-SA"/>
        </w:rPr>
        <w:t>张家港</w:t>
      </w:r>
      <w:r>
        <w:rPr>
          <w:rFonts w:hint="eastAsia" w:ascii="Times New Roman" w:hAnsi="Times New Roman" w:cs="Times New Roman"/>
          <w:color w:val="auto"/>
          <w:kern w:val="0"/>
          <w:sz w:val="24"/>
          <w:szCs w:val="24"/>
          <w:lang w:val="en-US" w:eastAsia="zh-CN" w:bidi="ar-SA"/>
        </w:rPr>
        <w:t>市华科毛纺</w:t>
      </w:r>
      <w:r>
        <w:rPr>
          <w:rFonts w:hint="default" w:ascii="Times New Roman" w:hAnsi="Times New Roman" w:eastAsia="宋体" w:cs="Times New Roman"/>
          <w:color w:val="auto"/>
          <w:kern w:val="0"/>
          <w:sz w:val="24"/>
          <w:szCs w:val="24"/>
          <w:lang w:val="en-US" w:eastAsia="zh-CN" w:bidi="ar-SA"/>
        </w:rPr>
        <w:t>有限公司</w:t>
      </w:r>
      <w:r>
        <w:rPr>
          <w:rFonts w:hint="eastAsia" w:ascii="Times New Roman" w:hAnsi="Times New Roman"/>
          <w:snapToGrid w:val="0"/>
          <w:kern w:val="0"/>
          <w:sz w:val="24"/>
          <w:szCs w:val="24"/>
        </w:rPr>
        <w:t>土壤污染隐患排查报告》。</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footerReference r:id="rId5" w:type="default"/>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47" w:name="_Toc534203161"/>
      <w:bookmarkStart w:id="48" w:name="_Toc13847360"/>
      <w:bookmarkStart w:id="49" w:name="_Toc531519920"/>
      <w:bookmarkStart w:id="50" w:name="_Toc12872"/>
      <w:r>
        <w:rPr>
          <w:rFonts w:hint="eastAsia" w:ascii="Times New Roman" w:hAnsi="Times New Roman"/>
          <w:b/>
          <w:bCs/>
          <w:kern w:val="44"/>
          <w:sz w:val="36"/>
          <w:szCs w:val="44"/>
        </w:rPr>
        <w:t>3</w:t>
      </w:r>
      <w:r>
        <w:rPr>
          <w:rFonts w:ascii="Times New Roman" w:hAnsi="Times New Roman"/>
          <w:b/>
          <w:bCs/>
          <w:kern w:val="44"/>
          <w:sz w:val="36"/>
          <w:szCs w:val="44"/>
        </w:rPr>
        <w:t xml:space="preserve"> </w:t>
      </w:r>
      <w:r>
        <w:rPr>
          <w:rFonts w:hint="eastAsia" w:ascii="Times New Roman" w:hAnsi="Times New Roman"/>
          <w:b/>
          <w:bCs/>
          <w:kern w:val="44"/>
          <w:sz w:val="36"/>
          <w:szCs w:val="44"/>
        </w:rPr>
        <w:t>工作流程</w:t>
      </w:r>
      <w:bookmarkEnd w:id="47"/>
      <w:bookmarkEnd w:id="48"/>
      <w:bookmarkEnd w:id="49"/>
      <w:bookmarkEnd w:id="50"/>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重点监管企业土壤与地下水自行监测工作流程主要包括三个部分：土壤污染隐患排查部分、土壤与地下水自行监测方案制定、土壤与地下水自行监测采样与分析。本项目属于土壤与地下水自行监测方案制定，工作内容与流程如图3所示。</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整体工作参照《在产企业土壤及地下水自行监测技术指南》（征求意见稿）（以下简称“指南”）的要求，针对重点设施与区域开展土壤一般监测以及地下水监测</w:t>
      </w:r>
      <w:r>
        <w:rPr>
          <w:rFonts w:hint="eastAsia" w:ascii="Times New Roman" w:hAnsi="Times New Roman"/>
          <w:snapToGrid w:val="0"/>
          <w:kern w:val="0"/>
          <w:sz w:val="24"/>
          <w:szCs w:val="24"/>
          <w:lang w:eastAsia="zh-CN"/>
        </w:rPr>
        <w:t>制定方案</w:t>
      </w:r>
      <w:r>
        <w:rPr>
          <w:rFonts w:hint="eastAsia" w:ascii="Times New Roman" w:hAnsi="Times New Roman"/>
          <w:snapToGrid w:val="0"/>
          <w:kern w:val="0"/>
          <w:sz w:val="24"/>
          <w:szCs w:val="24"/>
        </w:rP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b/>
          <w:snapToGrid w:val="0"/>
          <w:kern w:val="0"/>
          <w:sz w:val="24"/>
          <w:szCs w:val="24"/>
        </w:rPr>
      </w:pPr>
      <w:r>
        <w:rPr>
          <w:rFonts w:ascii="Times New Roman" w:hAnsi="Times New Roman"/>
          <w:b/>
          <w:snapToGrid w:val="0"/>
          <w:kern w:val="0"/>
          <w:sz w:val="24"/>
          <w:szCs w:val="24"/>
        </w:rPr>
        <w:drawing>
          <wp:inline distT="0" distB="0" distL="0" distR="0">
            <wp:extent cx="4218305" cy="3086735"/>
            <wp:effectExtent l="0" t="0" r="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b="56679"/>
                    <a:stretch>
                      <a:fillRect/>
                    </a:stretch>
                  </pic:blipFill>
                  <pic:spPr>
                    <a:xfrm>
                      <a:off x="0" y="0"/>
                      <a:ext cx="4235578" cy="3086735"/>
                    </a:xfrm>
                    <a:prstGeom prst="rect">
                      <a:avLst/>
                    </a:prstGeom>
                    <a:noFill/>
                  </pic:spPr>
                </pic:pic>
              </a:graphicData>
            </a:graphic>
          </wp:inline>
        </w:drawing>
      </w: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图3</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rPr>
        <w:t>重点监管企业自行监测</w:t>
      </w:r>
      <w:r>
        <w:rPr>
          <w:rFonts w:hint="eastAsia" w:ascii="Times New Roman" w:hAnsi="Times New Roman"/>
          <w:b/>
          <w:snapToGrid w:val="0"/>
          <w:kern w:val="0"/>
          <w:sz w:val="24"/>
          <w:szCs w:val="24"/>
          <w:lang w:eastAsia="zh-CN"/>
        </w:rPr>
        <w:t>方案编制</w:t>
      </w:r>
      <w:r>
        <w:rPr>
          <w:rFonts w:hint="eastAsia" w:ascii="Times New Roman" w:hAnsi="Times New Roman"/>
          <w:b/>
          <w:snapToGrid w:val="0"/>
          <w:kern w:val="0"/>
          <w:sz w:val="24"/>
          <w:szCs w:val="24"/>
        </w:rPr>
        <w:t>工作流程图</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51" w:name="_Toc531519921"/>
      <w:bookmarkStart w:id="52" w:name="_Toc13847361"/>
      <w:bookmarkStart w:id="53" w:name="_Toc534203162"/>
      <w:bookmarkStart w:id="54" w:name="_Toc22690"/>
      <w:r>
        <w:rPr>
          <w:rFonts w:hint="eastAsia" w:ascii="Times New Roman" w:hAnsi="Times New Roman"/>
          <w:b/>
          <w:bCs/>
          <w:kern w:val="44"/>
          <w:sz w:val="36"/>
          <w:szCs w:val="44"/>
        </w:rPr>
        <w:t>4</w:t>
      </w:r>
      <w:r>
        <w:rPr>
          <w:rFonts w:ascii="Times New Roman" w:hAnsi="Times New Roman"/>
          <w:b/>
          <w:bCs/>
          <w:kern w:val="44"/>
          <w:sz w:val="36"/>
          <w:szCs w:val="44"/>
        </w:rPr>
        <w:t xml:space="preserve"> </w:t>
      </w:r>
      <w:r>
        <w:rPr>
          <w:rFonts w:hint="eastAsia" w:ascii="Times New Roman" w:hAnsi="Times New Roman"/>
          <w:b/>
          <w:bCs/>
          <w:kern w:val="44"/>
          <w:sz w:val="36"/>
          <w:szCs w:val="44"/>
        </w:rPr>
        <w:t>排查概况</w:t>
      </w:r>
      <w:bookmarkEnd w:id="51"/>
      <w:bookmarkEnd w:id="52"/>
      <w:bookmarkEnd w:id="53"/>
      <w:bookmarkEnd w:id="54"/>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55" w:name="_Toc14544"/>
      <w:bookmarkStart w:id="56" w:name="_Toc13847362"/>
      <w:bookmarkStart w:id="57" w:name="_Toc534203163"/>
      <w:bookmarkStart w:id="58" w:name="_Toc531519922"/>
      <w:r>
        <w:rPr>
          <w:rFonts w:hint="eastAsia" w:ascii="Times New Roman" w:hAnsi="Times New Roman"/>
          <w:b/>
          <w:bCs/>
          <w:sz w:val="28"/>
          <w:szCs w:val="32"/>
        </w:rPr>
        <w:t>4</w:t>
      </w:r>
      <w:r>
        <w:rPr>
          <w:rFonts w:ascii="Times New Roman" w:hAnsi="Times New Roman"/>
          <w:b/>
          <w:bCs/>
          <w:sz w:val="28"/>
          <w:szCs w:val="32"/>
        </w:rPr>
        <w:t>.1</w:t>
      </w:r>
      <w:r>
        <w:rPr>
          <w:rFonts w:hint="eastAsia" w:ascii="Times New Roman" w:hAnsi="Times New Roman"/>
          <w:b/>
          <w:bCs/>
          <w:sz w:val="28"/>
          <w:szCs w:val="32"/>
        </w:rPr>
        <w:t>企业建设概况</w:t>
      </w:r>
      <w:bookmarkEnd w:id="55"/>
      <w:bookmarkEnd w:id="56"/>
      <w:bookmarkEnd w:id="57"/>
      <w:bookmarkEnd w:id="58"/>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现有项目已批准的生产规模为硬脂酸70000t/a、皂粒57600t/a、甘油10500t/a。该项目环评已于2010年3月19日获得张家港市环境保护局的审批（张环发【2010】37号），其中硬脂酸70000t/a及甘油</w:t>
      </w:r>
      <w:r>
        <w:rPr>
          <w:rFonts w:hint="eastAsia" w:ascii="Times New Roman" w:hAnsi="Times New Roman" w:eastAsia="宋体" w:cs="Times New Roman"/>
          <w:color w:val="auto"/>
          <w:kern w:val="0"/>
          <w:sz w:val="24"/>
          <w:szCs w:val="24"/>
          <w:lang w:val="en-US" w:eastAsia="zh-CN" w:bidi="ar-SA"/>
        </w:rPr>
        <w:t>6650</w:t>
      </w:r>
      <w:r>
        <w:rPr>
          <w:rFonts w:hint="default" w:ascii="Times New Roman" w:hAnsi="Times New Roman" w:eastAsia="宋体" w:cs="Times New Roman"/>
          <w:color w:val="auto"/>
          <w:kern w:val="0"/>
          <w:sz w:val="24"/>
          <w:szCs w:val="24"/>
          <w:lang w:val="en-US" w:eastAsia="zh-CN" w:bidi="ar-SA"/>
        </w:rPr>
        <w:t>t/a项目</w:t>
      </w:r>
      <w:r>
        <w:rPr>
          <w:rFonts w:hint="eastAsia" w:ascii="Times New Roman" w:hAnsi="Times New Roman" w:eastAsia="宋体" w:cs="Times New Roman"/>
          <w:color w:val="auto"/>
          <w:kern w:val="0"/>
          <w:sz w:val="24"/>
          <w:szCs w:val="24"/>
          <w:lang w:val="en-US" w:eastAsia="zh-CN" w:bidi="ar-SA"/>
        </w:rPr>
        <w:t>（甘油批准产能共10500t/a，其中3850t/a产生于皂粒工艺，6650t/a产生于硬脂酸工艺）</w:t>
      </w:r>
      <w:r>
        <w:rPr>
          <w:rFonts w:hint="default" w:ascii="Times New Roman" w:hAnsi="Times New Roman" w:eastAsia="宋体" w:cs="Times New Roman"/>
          <w:color w:val="auto"/>
          <w:kern w:val="0"/>
          <w:sz w:val="24"/>
          <w:szCs w:val="24"/>
          <w:lang w:val="en-US" w:eastAsia="zh-CN" w:bidi="ar-SA"/>
        </w:rPr>
        <w:t>生产装置及公辅工程已建成投入生产，并于2011年1月18日通过张家港市环境保护局的竣工环保验收（验收批复附后）</w:t>
      </w:r>
      <w:r>
        <w:rPr>
          <w:rFonts w:hint="eastAsia" w:ascii="Times New Roman" w:hAnsi="Times New Roman" w:eastAsia="宋体" w:cs="Times New Roman"/>
          <w:color w:val="auto"/>
          <w:kern w:val="0"/>
          <w:sz w:val="24"/>
          <w:szCs w:val="24"/>
          <w:lang w:val="en-US" w:eastAsia="zh-CN" w:bidi="ar-SA"/>
        </w:rPr>
        <w:t>；2012年编制</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华科毛纺</w:t>
      </w:r>
      <w:r>
        <w:rPr>
          <w:rFonts w:hint="default" w:ascii="Times New Roman" w:hAnsi="Times New Roman" w:eastAsia="宋体" w:cs="Times New Roman"/>
          <w:color w:val="auto"/>
          <w:kern w:val="0"/>
          <w:sz w:val="24"/>
          <w:szCs w:val="24"/>
          <w:lang w:val="en-US" w:eastAsia="zh-CN" w:bidi="ar-SA"/>
        </w:rPr>
        <w:t>工业（张家港）有限公司</w:t>
      </w:r>
      <w:r>
        <w:rPr>
          <w:rFonts w:hint="eastAsia" w:ascii="Times New Roman" w:hAnsi="Times New Roman" w:eastAsia="宋体" w:cs="Times New Roman"/>
          <w:color w:val="auto"/>
          <w:kern w:val="0"/>
          <w:sz w:val="24"/>
          <w:szCs w:val="24"/>
          <w:lang w:val="en-US" w:eastAsia="zh-CN" w:bidi="ar-SA"/>
        </w:rPr>
        <w:t>氢气稳压技改项目环境影响报告书</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，并于2014年通过环保局验收。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现有项目于2005年1月编制了《</w:t>
      </w:r>
      <w:r>
        <w:rPr>
          <w:rFonts w:hint="eastAsia" w:ascii="Times New Roman" w:hAnsi="Times New Roman" w:cs="Times New Roman"/>
          <w:color w:val="auto"/>
          <w:kern w:val="0"/>
          <w:sz w:val="24"/>
          <w:szCs w:val="24"/>
          <w:lang w:val="en-US" w:eastAsia="zh-CN" w:bidi="ar-SA"/>
        </w:rPr>
        <w:t>华科毛纺</w:t>
      </w:r>
      <w:r>
        <w:rPr>
          <w:rFonts w:hint="default" w:ascii="Times New Roman" w:hAnsi="Times New Roman" w:eastAsia="宋体" w:cs="Times New Roman"/>
          <w:color w:val="auto"/>
          <w:kern w:val="0"/>
          <w:sz w:val="24"/>
          <w:szCs w:val="24"/>
          <w:lang w:val="en-US" w:eastAsia="zh-CN" w:bidi="ar-SA"/>
        </w:rPr>
        <w:t>工业（张家港）有限公司年产硬脂酸83kt、皂粒57600t、甘油16.3kt项目环境影响报告书》，并于2005年3月通过了张家港市环保局的审批（张环计划［2005］9号，具体见附件）；2009年9月编制了《</w:t>
      </w:r>
      <w:r>
        <w:rPr>
          <w:rFonts w:hint="eastAsia" w:ascii="Times New Roman" w:hAnsi="Times New Roman" w:cs="Times New Roman"/>
          <w:color w:val="auto"/>
          <w:kern w:val="0"/>
          <w:sz w:val="24"/>
          <w:szCs w:val="24"/>
          <w:lang w:val="en-US" w:eastAsia="zh-CN" w:bidi="ar-SA"/>
        </w:rPr>
        <w:t>华科毛纺</w:t>
      </w:r>
      <w:r>
        <w:rPr>
          <w:rFonts w:hint="default" w:ascii="Times New Roman" w:hAnsi="Times New Roman" w:eastAsia="宋体" w:cs="Times New Roman"/>
          <w:color w:val="auto"/>
          <w:kern w:val="0"/>
          <w:sz w:val="24"/>
          <w:szCs w:val="24"/>
          <w:lang w:val="en-US" w:eastAsia="zh-CN" w:bidi="ar-SA"/>
        </w:rPr>
        <w:t>工业（张家港）有限公司增加二台锅炉项目环境影响报告书表》，并于2010年3月通过了张家港市环保局的审批（具体见附件）；2009年10月编制了《</w:t>
      </w:r>
      <w:r>
        <w:rPr>
          <w:rFonts w:hint="eastAsia" w:ascii="Times New Roman" w:hAnsi="Times New Roman" w:cs="Times New Roman"/>
          <w:color w:val="auto"/>
          <w:kern w:val="0"/>
          <w:sz w:val="24"/>
          <w:szCs w:val="24"/>
          <w:lang w:val="en-US" w:eastAsia="zh-CN" w:bidi="ar-SA"/>
        </w:rPr>
        <w:t>华科毛纺</w:t>
      </w:r>
      <w:r>
        <w:rPr>
          <w:rFonts w:hint="default" w:ascii="Times New Roman" w:hAnsi="Times New Roman" w:eastAsia="宋体" w:cs="Times New Roman"/>
          <w:color w:val="auto"/>
          <w:kern w:val="0"/>
          <w:sz w:val="24"/>
          <w:szCs w:val="24"/>
          <w:lang w:val="en-US" w:eastAsia="zh-CN" w:bidi="ar-SA"/>
        </w:rPr>
        <w:t>工业（张家港）有限公司年产硬脂酸83kt、皂粒57600t、甘油16.3kt项目环境影响评价修编报告》，并于2010年3月通过了张家港市环保局的审批（张环发［2010］37号）。</w:t>
      </w:r>
    </w:p>
    <w:p>
      <w:pPr>
        <w:widowControl/>
        <w:spacing w:line="500" w:lineRule="exact"/>
        <w:ind w:firstLine="420"/>
        <w:rPr>
          <w:rFonts w:ascii="Times New Roman" w:hAnsi="Times New Roman"/>
          <w:kern w:val="0"/>
          <w:sz w:val="24"/>
          <w:szCs w:val="24"/>
        </w:rPr>
      </w:pPr>
      <w:r>
        <w:rPr>
          <w:rFonts w:hint="default" w:ascii="Times New Roman" w:hAnsi="Times New Roman" w:eastAsia="宋体" w:cs="Times New Roman"/>
          <w:color w:val="auto"/>
          <w:kern w:val="0"/>
          <w:sz w:val="24"/>
          <w:szCs w:val="24"/>
          <w:lang w:val="en-US" w:eastAsia="zh-CN" w:bidi="ar-SA"/>
        </w:rPr>
        <w:t>2010年8月张家港市环境监测站对“年产硬脂酸70000t、甘油</w:t>
      </w:r>
      <w:r>
        <w:rPr>
          <w:rFonts w:hint="eastAsia" w:ascii="Times New Roman" w:hAnsi="Times New Roman" w:eastAsia="宋体" w:cs="Times New Roman"/>
          <w:color w:val="auto"/>
          <w:kern w:val="0"/>
          <w:sz w:val="24"/>
          <w:szCs w:val="24"/>
          <w:lang w:val="en-US" w:eastAsia="zh-CN" w:bidi="ar-SA"/>
        </w:rPr>
        <w:t>10</w:t>
      </w:r>
      <w:r>
        <w:rPr>
          <w:rFonts w:hint="default" w:ascii="Times New Roman" w:hAnsi="Times New Roman" w:eastAsia="宋体" w:cs="Times New Roman"/>
          <w:color w:val="auto"/>
          <w:kern w:val="0"/>
          <w:sz w:val="24"/>
          <w:szCs w:val="24"/>
          <w:lang w:val="en-US" w:eastAsia="zh-CN" w:bidi="ar-SA"/>
        </w:rPr>
        <w:t>5</w:t>
      </w:r>
      <w:r>
        <w:rPr>
          <w:rFonts w:hint="eastAsia" w:ascii="Times New Roman" w:hAnsi="Times New Roman" w:eastAsia="宋体" w:cs="Times New Roman"/>
          <w:color w:val="auto"/>
          <w:kern w:val="0"/>
          <w:sz w:val="24"/>
          <w:szCs w:val="24"/>
          <w:lang w:val="en-US" w:eastAsia="zh-CN" w:bidi="ar-SA"/>
        </w:rPr>
        <w:t>0</w:t>
      </w:r>
      <w:r>
        <w:rPr>
          <w:rFonts w:hint="default" w:ascii="Times New Roman" w:hAnsi="Times New Roman" w:eastAsia="宋体" w:cs="Times New Roman"/>
          <w:color w:val="auto"/>
          <w:kern w:val="0"/>
          <w:sz w:val="24"/>
          <w:szCs w:val="24"/>
          <w:lang w:val="en-US" w:eastAsia="zh-CN" w:bidi="ar-SA"/>
        </w:rPr>
        <w:t>0t项目</w:t>
      </w:r>
      <w:r>
        <w:rPr>
          <w:rFonts w:hint="eastAsia" w:ascii="Times New Roman" w:hAnsi="Times New Roman" w:eastAsia="宋体" w:cs="Times New Roman"/>
          <w:color w:val="auto"/>
          <w:kern w:val="0"/>
          <w:sz w:val="24"/>
          <w:szCs w:val="24"/>
          <w:lang w:val="en-US" w:eastAsia="zh-CN" w:bidi="ar-SA"/>
        </w:rPr>
        <w:t>及</w:t>
      </w:r>
      <w:r>
        <w:rPr>
          <w:rFonts w:hint="default" w:ascii="Times New Roman" w:hAnsi="Times New Roman" w:eastAsia="宋体" w:cs="Times New Roman"/>
          <w:color w:val="auto"/>
          <w:kern w:val="0"/>
          <w:sz w:val="24"/>
          <w:szCs w:val="24"/>
          <w:lang w:val="en-US" w:eastAsia="zh-CN" w:bidi="ar-SA"/>
        </w:rPr>
        <w:t>增加二台锅炉项目”进行了验收监测，2011年1月通过了张家港市环保局的验收审核</w:t>
      </w:r>
      <w:r>
        <w:rPr>
          <w:rFonts w:hint="default" w:ascii="Times New Roman" w:hAnsi="Times New Roman"/>
          <w:snapToGrid w:val="0"/>
          <w:kern w:val="0"/>
          <w:sz w:val="24"/>
          <w:szCs w:val="24"/>
          <w:lang w:val="en-US" w:eastAsia="zh-CN"/>
        </w:rPr>
        <w:t>。公司</w:t>
      </w:r>
      <w:r>
        <w:rPr>
          <w:rFonts w:hint="eastAsia" w:ascii="Times New Roman" w:hAnsi="Times New Roman"/>
          <w:snapToGrid w:val="0"/>
          <w:kern w:val="0"/>
          <w:sz w:val="24"/>
          <w:szCs w:val="24"/>
        </w:rPr>
        <w:t>建设情况见表4.1-1。</w:t>
      </w:r>
    </w:p>
    <w:p>
      <w:pPr>
        <w:spacing w:line="500" w:lineRule="exact"/>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w:t>
      </w:r>
      <w:r>
        <w:rPr>
          <w:rFonts w:ascii="Times New Roman" w:hAnsi="Times New Roman"/>
          <w:b/>
          <w:sz w:val="24"/>
          <w:szCs w:val="24"/>
        </w:rPr>
        <w:t>.1-1建设情况一览表</w:t>
      </w:r>
    </w:p>
    <w:tbl>
      <w:tblPr>
        <w:tblStyle w:val="2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861"/>
        <w:gridCol w:w="1379"/>
        <w:gridCol w:w="1200"/>
        <w:gridCol w:w="1128"/>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top"/>
          </w:tcPr>
          <w:p>
            <w:pPr>
              <w:pStyle w:val="39"/>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项目名称</w:t>
            </w:r>
          </w:p>
        </w:tc>
        <w:tc>
          <w:tcPr>
            <w:tcW w:w="1861" w:type="dxa"/>
            <w:vAlign w:val="top"/>
          </w:tcPr>
          <w:p>
            <w:pPr>
              <w:pStyle w:val="39"/>
              <w:spacing w:before="1"/>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建设情况</w:t>
            </w:r>
          </w:p>
        </w:tc>
        <w:tc>
          <w:tcPr>
            <w:tcW w:w="1379" w:type="dxa"/>
            <w:vAlign w:val="top"/>
          </w:tcPr>
          <w:p>
            <w:pPr>
              <w:pStyle w:val="39"/>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环评批复</w:t>
            </w:r>
          </w:p>
        </w:tc>
        <w:tc>
          <w:tcPr>
            <w:tcW w:w="1200" w:type="dxa"/>
            <w:vAlign w:val="top"/>
          </w:tcPr>
          <w:p>
            <w:pPr>
              <w:pStyle w:val="39"/>
              <w:spacing w:before="1"/>
              <w:ind w:right="83" w:rightChars="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审批时间</w:t>
            </w:r>
          </w:p>
        </w:tc>
        <w:tc>
          <w:tcPr>
            <w:tcW w:w="1128" w:type="dxa"/>
            <w:vAlign w:val="top"/>
          </w:tcPr>
          <w:p>
            <w:pPr>
              <w:pStyle w:val="39"/>
              <w:spacing w:before="1"/>
              <w:ind w:right="25" w:rightChars="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验收时间</w:t>
            </w:r>
          </w:p>
        </w:tc>
        <w:tc>
          <w:tcPr>
            <w:tcW w:w="1241" w:type="dxa"/>
            <w:vAlign w:val="top"/>
          </w:tcPr>
          <w:p>
            <w:pPr>
              <w:pStyle w:val="39"/>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18000吨聚氨酯用特种硅油</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现建成年产6000吨聚氨酯用特种硅油（一阶段）</w:t>
            </w:r>
          </w:p>
        </w:tc>
        <w:tc>
          <w:tcPr>
            <w:tcW w:w="137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苏环建【2017】20号</w:t>
            </w:r>
          </w:p>
        </w:tc>
        <w:tc>
          <w:tcPr>
            <w:tcW w:w="120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2017年3月23日</w:t>
            </w: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验收期间中</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试运行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阶段（2020年8月-至今）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10吨聚氨酯用其他助剂</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已取消建设</w:t>
            </w:r>
          </w:p>
        </w:tc>
        <w:tc>
          <w:tcPr>
            <w:tcW w:w="137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2000吨水性胶黏剂</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正在建设中</w:t>
            </w:r>
          </w:p>
        </w:tc>
        <w:tc>
          <w:tcPr>
            <w:tcW w:w="137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未验收</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w:t>
            </w:r>
          </w:p>
        </w:tc>
      </w:tr>
    </w:tbl>
    <w:p>
      <w:pPr>
        <w:pStyle w:val="33"/>
        <w:spacing w:line="500" w:lineRule="exact"/>
        <w:ind w:firstLine="420" w:firstLineChars="0"/>
      </w:pPr>
      <w:r>
        <w:rPr>
          <w:rFonts w:hint="default" w:ascii="Times New Roman" w:hAnsi="Times New Roman"/>
          <w:snapToGrid w:val="0"/>
          <w:kern w:val="0"/>
          <w:sz w:val="24"/>
          <w:szCs w:val="24"/>
          <w:lang w:val="en-US" w:eastAsia="zh-CN"/>
        </w:rPr>
        <w:t>公司</w:t>
      </w:r>
      <w:r>
        <w:rPr>
          <w:rFonts w:hint="eastAsia"/>
        </w:rPr>
        <w:t>平面布置见图4</w:t>
      </w:r>
      <w:r>
        <w:t>.</w:t>
      </w:r>
      <w:r>
        <w:rPr>
          <w:rFonts w:hint="eastAsia"/>
        </w:rPr>
        <w:t>1</w:t>
      </w:r>
      <w:r>
        <w:t>-1</w:t>
      </w:r>
      <w:r>
        <w:rPr>
          <w:rFonts w:hint="eastAsia"/>
        </w:rPr>
        <w:t>所示</w:t>
      </w:r>
      <w: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jc w:val="center"/>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59" w:name="_Toc13847363"/>
      <w:bookmarkStart w:id="60" w:name="_Toc531519923"/>
      <w:bookmarkStart w:id="61" w:name="_Toc534203164"/>
      <w:bookmarkStart w:id="62" w:name="_Toc16450"/>
      <w:r>
        <w:rPr>
          <w:rFonts w:hint="eastAsia" w:ascii="Times New Roman" w:hAnsi="Times New Roman"/>
          <w:b/>
          <w:bCs/>
          <w:sz w:val="28"/>
          <w:szCs w:val="32"/>
        </w:rPr>
        <w:t>4</w:t>
      </w:r>
      <w:r>
        <w:rPr>
          <w:rFonts w:ascii="Times New Roman" w:hAnsi="Times New Roman"/>
          <w:b/>
          <w:bCs/>
          <w:sz w:val="28"/>
          <w:szCs w:val="32"/>
        </w:rPr>
        <w:t>.</w:t>
      </w:r>
      <w:r>
        <w:rPr>
          <w:rFonts w:hint="eastAsia" w:ascii="Times New Roman" w:hAnsi="Times New Roman"/>
          <w:b/>
          <w:bCs/>
          <w:sz w:val="28"/>
          <w:szCs w:val="32"/>
        </w:rPr>
        <w:t>2产品及原辅料消耗</w:t>
      </w:r>
      <w:bookmarkEnd w:id="59"/>
      <w:bookmarkEnd w:id="60"/>
      <w:bookmarkEnd w:id="61"/>
      <w:bookmarkEnd w:id="62"/>
    </w:p>
    <w:p>
      <w:pPr>
        <w:tabs>
          <w:tab w:val="left" w:pos="1200"/>
          <w:tab w:val="center" w:pos="4535"/>
        </w:tabs>
        <w:spacing w:line="500" w:lineRule="exact"/>
        <w:ind w:firstLine="705" w:firstLineChars="294"/>
        <w:jc w:val="left"/>
        <w:rPr>
          <w:rFonts w:ascii="Times New Roman" w:hAnsi="Times New Roman"/>
          <w:bCs/>
          <w:sz w:val="24"/>
          <w:szCs w:val="24"/>
        </w:rPr>
      </w:pPr>
      <w:r>
        <w:rPr>
          <w:rFonts w:hint="eastAsia" w:ascii="Times New Roman" w:hAnsi="Times New Roman"/>
          <w:sz w:val="24"/>
          <w:szCs w:val="24"/>
          <w:lang w:eastAsia="zh-CN"/>
        </w:rPr>
        <w:t>公司</w:t>
      </w:r>
      <w:r>
        <w:rPr>
          <w:rFonts w:ascii="Times New Roman" w:hAnsi="Times New Roman"/>
          <w:sz w:val="24"/>
          <w:szCs w:val="24"/>
        </w:rPr>
        <w:t>主要原料能源</w:t>
      </w:r>
      <w:r>
        <w:rPr>
          <w:rFonts w:ascii="Times New Roman" w:hAnsi="Times New Roman"/>
          <w:bCs/>
          <w:sz w:val="24"/>
          <w:szCs w:val="24"/>
        </w:rPr>
        <w:t>消耗详见表</w:t>
      </w:r>
      <w:r>
        <w:rPr>
          <w:rFonts w:hint="eastAsia" w:ascii="Times New Roman" w:hAnsi="Times New Roman"/>
          <w:bCs/>
          <w:sz w:val="24"/>
          <w:szCs w:val="24"/>
        </w:rPr>
        <w:t>4.2</w:t>
      </w:r>
      <w:r>
        <w:rPr>
          <w:rFonts w:ascii="Times New Roman" w:hAnsi="Times New Roman"/>
          <w:bCs/>
          <w:sz w:val="24"/>
          <w:szCs w:val="24"/>
        </w:rPr>
        <w:t>-1。</w:t>
      </w:r>
    </w:p>
    <w:p>
      <w:pPr>
        <w:spacing w:line="500" w:lineRule="exact"/>
        <w:ind w:firstLine="482" w:firstLineChars="200"/>
        <w:jc w:val="center"/>
        <w:rPr>
          <w:rFonts w:ascii="Times New Roman" w:hAnsi="Times New Roman"/>
          <w:b/>
          <w:sz w:val="24"/>
        </w:rPr>
      </w:pPr>
      <w:r>
        <w:rPr>
          <w:rFonts w:ascii="Times New Roman" w:hAnsi="Times New Roman"/>
          <w:b/>
          <w:sz w:val="24"/>
        </w:rPr>
        <w:t>表</w:t>
      </w:r>
      <w:r>
        <w:rPr>
          <w:rFonts w:hint="eastAsia" w:ascii="Times New Roman" w:hAnsi="Times New Roman"/>
          <w:b/>
          <w:sz w:val="24"/>
        </w:rPr>
        <w:t>4.2</w:t>
      </w:r>
      <w:r>
        <w:rPr>
          <w:rFonts w:ascii="Times New Roman" w:hAnsi="Times New Roman"/>
          <w:b/>
          <w:sz w:val="24"/>
        </w:rPr>
        <w:t>-1 主要原辅材料消耗表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732"/>
        <w:gridCol w:w="275"/>
        <w:gridCol w:w="1176"/>
        <w:gridCol w:w="673"/>
        <w:gridCol w:w="1447"/>
        <w:gridCol w:w="925"/>
        <w:gridCol w:w="93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1"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序号</w:t>
            </w:r>
          </w:p>
        </w:tc>
        <w:tc>
          <w:tcPr>
            <w:tcW w:w="1018"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货物名称</w:t>
            </w:r>
          </w:p>
        </w:tc>
        <w:tc>
          <w:tcPr>
            <w:tcW w:w="854" w:type="pct"/>
            <w:gridSpan w:val="2"/>
            <w:noWrap w:val="0"/>
            <w:vAlign w:val="center"/>
          </w:tcPr>
          <w:p>
            <w:pPr>
              <w:spacing w:line="240" w:lineRule="exact"/>
              <w:jc w:val="center"/>
              <w:rPr>
                <w:sz w:val="21"/>
                <w:szCs w:val="21"/>
              </w:rPr>
            </w:pPr>
            <w:r>
              <w:rPr>
                <w:sz w:val="21"/>
                <w:szCs w:val="21"/>
              </w:rPr>
              <w:t>数量(t/a)</w:t>
            </w:r>
          </w:p>
        </w:tc>
        <w:tc>
          <w:tcPr>
            <w:tcW w:w="396" w:type="pct"/>
            <w:noWrap w:val="0"/>
            <w:vAlign w:val="center"/>
          </w:tcPr>
          <w:p>
            <w:pPr>
              <w:spacing w:line="240" w:lineRule="exact"/>
              <w:jc w:val="center"/>
              <w:rPr>
                <w:sz w:val="21"/>
                <w:szCs w:val="21"/>
              </w:rPr>
            </w:pPr>
            <w:r>
              <w:rPr>
                <w:sz w:val="21"/>
                <w:szCs w:val="21"/>
              </w:rPr>
              <w:t>形态</w:t>
            </w:r>
          </w:p>
        </w:tc>
        <w:tc>
          <w:tcPr>
            <w:tcW w:w="850" w:type="pct"/>
            <w:noWrap w:val="0"/>
            <w:vAlign w:val="center"/>
          </w:tcPr>
          <w:p>
            <w:pPr>
              <w:spacing w:line="240" w:lineRule="exact"/>
              <w:jc w:val="center"/>
              <w:rPr>
                <w:sz w:val="21"/>
                <w:szCs w:val="21"/>
              </w:rPr>
            </w:pPr>
            <w:r>
              <w:rPr>
                <w:sz w:val="21"/>
                <w:szCs w:val="21"/>
              </w:rPr>
              <w:t>储存方式</w:t>
            </w:r>
          </w:p>
        </w:tc>
        <w:tc>
          <w:tcPr>
            <w:tcW w:w="544"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最大存储量t</w:t>
            </w:r>
          </w:p>
        </w:tc>
        <w:tc>
          <w:tcPr>
            <w:tcW w:w="5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运输</w:t>
            </w:r>
          </w:p>
          <w:p>
            <w:pPr>
              <w:pStyle w:val="10"/>
              <w:spacing w:line="240" w:lineRule="exact"/>
              <w:jc w:val="center"/>
              <w:rPr>
                <w:rFonts w:ascii="Times New Roman" w:hAnsi="Times New Roman"/>
                <w:szCs w:val="21"/>
              </w:rPr>
            </w:pPr>
            <w:r>
              <w:rPr>
                <w:rFonts w:ascii="Times New Roman" w:hAnsi="Times New Roman"/>
                <w:szCs w:val="21"/>
              </w:rPr>
              <w:t>方式</w:t>
            </w:r>
          </w:p>
        </w:tc>
        <w:tc>
          <w:tcPr>
            <w:tcW w:w="547" w:type="pct"/>
            <w:noWrap w:val="0"/>
            <w:vAlign w:val="center"/>
          </w:tcPr>
          <w:p>
            <w:pPr>
              <w:spacing w:line="240" w:lineRule="exact"/>
              <w:jc w:val="center"/>
              <w:rPr>
                <w:sz w:val="21"/>
                <w:szCs w:val="21"/>
              </w:rPr>
            </w:pPr>
            <w:r>
              <w:rPr>
                <w:sz w:val="21"/>
                <w:szCs w:val="21"/>
              </w:rPr>
              <w:t>来源或</w:t>
            </w:r>
          </w:p>
          <w:p>
            <w:pPr>
              <w:spacing w:line="240" w:lineRule="exact"/>
              <w:jc w:val="center"/>
              <w:rPr>
                <w:sz w:val="21"/>
                <w:szCs w:val="21"/>
              </w:rPr>
            </w:pPr>
            <w:r>
              <w:rPr>
                <w:sz w:val="21"/>
                <w:szCs w:val="21"/>
              </w:rPr>
              <w:t>去处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000" w:type="pct"/>
            <w:gridSpan w:val="9"/>
            <w:noWrap w:val="0"/>
            <w:vAlign w:val="center"/>
          </w:tcPr>
          <w:p>
            <w:pPr>
              <w:spacing w:line="240" w:lineRule="exact"/>
              <w:jc w:val="center"/>
              <w:rPr>
                <w:sz w:val="21"/>
                <w:szCs w:val="21"/>
              </w:rPr>
            </w:pPr>
            <w:r>
              <w:rPr>
                <w:sz w:val="21"/>
                <w:szCs w:val="21"/>
              </w:rPr>
              <w:t>运入140158.7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1</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棕榈油</w:t>
            </w:r>
          </w:p>
        </w:tc>
        <w:tc>
          <w:tcPr>
            <w:tcW w:w="691" w:type="pct"/>
            <w:noWrap w:val="0"/>
            <w:vAlign w:val="center"/>
          </w:tcPr>
          <w:p>
            <w:pPr>
              <w:spacing w:line="240" w:lineRule="exact"/>
              <w:jc w:val="center"/>
              <w:rPr>
                <w:sz w:val="21"/>
                <w:szCs w:val="21"/>
              </w:rPr>
            </w:pPr>
            <w:r>
              <w:rPr>
                <w:sz w:val="21"/>
                <w:szCs w:val="21"/>
              </w:rPr>
              <w:t>134870</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spacing w:line="240" w:lineRule="exact"/>
              <w:jc w:val="center"/>
              <w:rPr>
                <w:sz w:val="21"/>
                <w:szCs w:val="21"/>
              </w:rPr>
            </w:pPr>
            <w:r>
              <w:rPr>
                <w:sz w:val="21"/>
                <w:szCs w:val="21"/>
              </w:rPr>
              <w:t>储罐</w:t>
            </w:r>
          </w:p>
        </w:tc>
        <w:tc>
          <w:tcPr>
            <w:tcW w:w="544" w:type="pct"/>
            <w:noWrap w:val="0"/>
            <w:vAlign w:val="center"/>
          </w:tcPr>
          <w:p>
            <w:pPr>
              <w:spacing w:line="240" w:lineRule="exact"/>
              <w:jc w:val="center"/>
              <w:rPr>
                <w:sz w:val="21"/>
                <w:szCs w:val="21"/>
              </w:rPr>
            </w:pPr>
            <w:r>
              <w:rPr>
                <w:sz w:val="21"/>
                <w:szCs w:val="21"/>
              </w:rPr>
              <w:t>1000</w:t>
            </w:r>
          </w:p>
        </w:tc>
        <w:tc>
          <w:tcPr>
            <w:tcW w:w="550" w:type="pct"/>
            <w:noWrap w:val="0"/>
            <w:vAlign w:val="center"/>
          </w:tcPr>
          <w:p>
            <w:pPr>
              <w:spacing w:line="240" w:lineRule="exact"/>
              <w:jc w:val="center"/>
              <w:rPr>
                <w:sz w:val="21"/>
                <w:szCs w:val="21"/>
              </w:rPr>
            </w:pPr>
            <w:r>
              <w:rPr>
                <w:sz w:val="21"/>
                <w:szCs w:val="21"/>
              </w:rPr>
              <w:t>船运、</w:t>
            </w:r>
          </w:p>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马来</w:t>
            </w:r>
          </w:p>
          <w:p>
            <w:pPr>
              <w:pStyle w:val="10"/>
              <w:spacing w:line="240" w:lineRule="exact"/>
              <w:jc w:val="center"/>
              <w:rPr>
                <w:rFonts w:ascii="Times New Roman" w:hAnsi="Times New Roman"/>
                <w:szCs w:val="21"/>
              </w:rPr>
            </w:pPr>
            <w:r>
              <w:rPr>
                <w:rFonts w:ascii="Times New Roman" w:hAnsi="Times New Roman"/>
                <w:szCs w:val="21"/>
              </w:rPr>
              <w:t>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2</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氢氧化钠溶液（32%）</w:t>
            </w:r>
          </w:p>
        </w:tc>
        <w:tc>
          <w:tcPr>
            <w:tcW w:w="691" w:type="pct"/>
            <w:noWrap w:val="0"/>
            <w:vAlign w:val="center"/>
          </w:tcPr>
          <w:p>
            <w:pPr>
              <w:spacing w:line="240" w:lineRule="exact"/>
              <w:jc w:val="center"/>
              <w:rPr>
                <w:sz w:val="21"/>
                <w:szCs w:val="21"/>
              </w:rPr>
            </w:pPr>
            <w:r>
              <w:rPr>
                <w:sz w:val="21"/>
                <w:szCs w:val="21"/>
              </w:rPr>
              <w:t>4275</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spacing w:line="240" w:lineRule="exact"/>
              <w:jc w:val="center"/>
              <w:rPr>
                <w:sz w:val="21"/>
                <w:szCs w:val="21"/>
              </w:rPr>
            </w:pPr>
            <w:r>
              <w:rPr>
                <w:sz w:val="21"/>
                <w:szCs w:val="21"/>
              </w:rPr>
              <w:t>储罐，50t/罐</w:t>
            </w:r>
          </w:p>
        </w:tc>
        <w:tc>
          <w:tcPr>
            <w:tcW w:w="544" w:type="pct"/>
            <w:noWrap w:val="0"/>
            <w:vAlign w:val="center"/>
          </w:tcPr>
          <w:p>
            <w:pPr>
              <w:spacing w:line="240" w:lineRule="exact"/>
              <w:jc w:val="center"/>
              <w:rPr>
                <w:sz w:val="21"/>
                <w:szCs w:val="21"/>
              </w:rPr>
            </w:pPr>
            <w:r>
              <w:rPr>
                <w:sz w:val="21"/>
                <w:szCs w:val="21"/>
              </w:rPr>
              <w:t>200</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3</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镍催化剂</w:t>
            </w:r>
          </w:p>
        </w:tc>
        <w:tc>
          <w:tcPr>
            <w:tcW w:w="691" w:type="pct"/>
            <w:noWrap w:val="0"/>
            <w:vAlign w:val="center"/>
          </w:tcPr>
          <w:p>
            <w:pPr>
              <w:spacing w:line="240" w:lineRule="exact"/>
              <w:jc w:val="center"/>
              <w:rPr>
                <w:sz w:val="21"/>
                <w:szCs w:val="21"/>
              </w:rPr>
            </w:pPr>
            <w:r>
              <w:rPr>
                <w:sz w:val="21"/>
                <w:szCs w:val="21"/>
              </w:rPr>
              <w:t>57</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spacing w:line="240" w:lineRule="exact"/>
              <w:jc w:val="center"/>
              <w:rPr>
                <w:sz w:val="21"/>
                <w:szCs w:val="21"/>
              </w:rPr>
            </w:pPr>
            <w:r>
              <w:rPr>
                <w:sz w:val="21"/>
                <w:szCs w:val="21"/>
              </w:rPr>
              <w:t>塑料袋，</w:t>
            </w:r>
          </w:p>
          <w:p>
            <w:pPr>
              <w:spacing w:line="240" w:lineRule="exact"/>
              <w:jc w:val="center"/>
              <w:rPr>
                <w:sz w:val="21"/>
                <w:szCs w:val="21"/>
              </w:rPr>
            </w:pPr>
            <w:r>
              <w:rPr>
                <w:sz w:val="21"/>
                <w:szCs w:val="21"/>
              </w:rPr>
              <w:t>25kg/袋</w:t>
            </w:r>
          </w:p>
        </w:tc>
        <w:tc>
          <w:tcPr>
            <w:tcW w:w="544" w:type="pct"/>
            <w:noWrap w:val="0"/>
            <w:vAlign w:val="center"/>
          </w:tcPr>
          <w:p>
            <w:pPr>
              <w:spacing w:line="240" w:lineRule="exact"/>
              <w:jc w:val="center"/>
              <w:rPr>
                <w:sz w:val="21"/>
                <w:szCs w:val="21"/>
              </w:rPr>
            </w:pPr>
            <w:r>
              <w:rPr>
                <w:sz w:val="21"/>
                <w:szCs w:val="21"/>
              </w:rPr>
              <w:t>3</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4</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盐酸（32%）</w:t>
            </w:r>
          </w:p>
        </w:tc>
        <w:tc>
          <w:tcPr>
            <w:tcW w:w="691" w:type="pct"/>
            <w:noWrap w:val="0"/>
            <w:vAlign w:val="center"/>
          </w:tcPr>
          <w:p>
            <w:pPr>
              <w:spacing w:line="240" w:lineRule="exact"/>
              <w:jc w:val="center"/>
              <w:rPr>
                <w:sz w:val="21"/>
                <w:szCs w:val="21"/>
              </w:rPr>
            </w:pPr>
            <w:r>
              <w:rPr>
                <w:sz w:val="21"/>
                <w:szCs w:val="21"/>
              </w:rPr>
              <w:t>43</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spacing w:line="240" w:lineRule="exact"/>
              <w:jc w:val="center"/>
              <w:rPr>
                <w:sz w:val="21"/>
                <w:szCs w:val="21"/>
              </w:rPr>
            </w:pPr>
            <w:r>
              <w:rPr>
                <w:sz w:val="21"/>
                <w:szCs w:val="21"/>
              </w:rPr>
              <w:t>塑料桶，1t/桶</w:t>
            </w:r>
          </w:p>
        </w:tc>
        <w:tc>
          <w:tcPr>
            <w:tcW w:w="544" w:type="pct"/>
            <w:noWrap w:val="0"/>
            <w:vAlign w:val="center"/>
          </w:tcPr>
          <w:p>
            <w:pPr>
              <w:spacing w:line="240" w:lineRule="exact"/>
              <w:jc w:val="center"/>
              <w:rPr>
                <w:sz w:val="21"/>
                <w:szCs w:val="21"/>
              </w:rPr>
            </w:pPr>
            <w:r>
              <w:rPr>
                <w:sz w:val="21"/>
                <w:szCs w:val="21"/>
              </w:rPr>
              <w:t>2</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5</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活性炭</w:t>
            </w:r>
          </w:p>
        </w:tc>
        <w:tc>
          <w:tcPr>
            <w:tcW w:w="691" w:type="pct"/>
            <w:noWrap w:val="0"/>
            <w:vAlign w:val="center"/>
          </w:tcPr>
          <w:p>
            <w:pPr>
              <w:spacing w:line="240" w:lineRule="exact"/>
              <w:jc w:val="center"/>
              <w:rPr>
                <w:sz w:val="21"/>
                <w:szCs w:val="21"/>
              </w:rPr>
            </w:pPr>
            <w:r>
              <w:rPr>
                <w:sz w:val="21"/>
                <w:szCs w:val="21"/>
              </w:rPr>
              <w:t>24</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spacing w:line="240" w:lineRule="exact"/>
              <w:jc w:val="center"/>
              <w:rPr>
                <w:sz w:val="21"/>
                <w:szCs w:val="21"/>
              </w:rPr>
            </w:pPr>
            <w:r>
              <w:rPr>
                <w:sz w:val="21"/>
                <w:szCs w:val="21"/>
              </w:rPr>
              <w:t>塑料袋，</w:t>
            </w:r>
          </w:p>
          <w:p>
            <w:pPr>
              <w:spacing w:line="240" w:lineRule="exact"/>
              <w:jc w:val="center"/>
              <w:rPr>
                <w:sz w:val="21"/>
                <w:szCs w:val="21"/>
              </w:rPr>
            </w:pPr>
            <w:r>
              <w:rPr>
                <w:sz w:val="21"/>
                <w:szCs w:val="21"/>
              </w:rPr>
              <w:t>25kg/袋</w:t>
            </w:r>
          </w:p>
        </w:tc>
        <w:tc>
          <w:tcPr>
            <w:tcW w:w="544" w:type="pct"/>
            <w:noWrap w:val="0"/>
            <w:vAlign w:val="center"/>
          </w:tcPr>
          <w:p>
            <w:pPr>
              <w:spacing w:line="240" w:lineRule="exact"/>
              <w:jc w:val="center"/>
              <w:rPr>
                <w:sz w:val="21"/>
                <w:szCs w:val="21"/>
              </w:rPr>
            </w:pPr>
            <w:r>
              <w:rPr>
                <w:sz w:val="21"/>
                <w:szCs w:val="21"/>
              </w:rPr>
              <w:t>1</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6</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硫酸铝</w:t>
            </w:r>
          </w:p>
        </w:tc>
        <w:tc>
          <w:tcPr>
            <w:tcW w:w="691" w:type="pct"/>
            <w:noWrap w:val="0"/>
            <w:vAlign w:val="center"/>
          </w:tcPr>
          <w:p>
            <w:pPr>
              <w:spacing w:line="240" w:lineRule="exact"/>
              <w:jc w:val="center"/>
              <w:rPr>
                <w:sz w:val="21"/>
                <w:szCs w:val="21"/>
              </w:rPr>
            </w:pPr>
            <w:r>
              <w:rPr>
                <w:sz w:val="21"/>
                <w:szCs w:val="21"/>
              </w:rPr>
              <w:t>4.5</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spacing w:line="240" w:lineRule="exact"/>
              <w:jc w:val="center"/>
              <w:rPr>
                <w:sz w:val="21"/>
                <w:szCs w:val="21"/>
              </w:rPr>
            </w:pPr>
            <w:r>
              <w:rPr>
                <w:sz w:val="21"/>
                <w:szCs w:val="21"/>
              </w:rPr>
              <w:t>塑料袋，</w:t>
            </w:r>
          </w:p>
          <w:p>
            <w:pPr>
              <w:spacing w:line="240" w:lineRule="exact"/>
              <w:jc w:val="center"/>
              <w:rPr>
                <w:sz w:val="21"/>
                <w:szCs w:val="21"/>
              </w:rPr>
            </w:pPr>
            <w:r>
              <w:rPr>
                <w:sz w:val="21"/>
                <w:szCs w:val="21"/>
              </w:rPr>
              <w:t>25kg/袋</w:t>
            </w:r>
          </w:p>
        </w:tc>
        <w:tc>
          <w:tcPr>
            <w:tcW w:w="544" w:type="pct"/>
            <w:noWrap w:val="0"/>
            <w:vAlign w:val="center"/>
          </w:tcPr>
          <w:p>
            <w:pPr>
              <w:spacing w:line="240" w:lineRule="exact"/>
              <w:jc w:val="center"/>
              <w:rPr>
                <w:sz w:val="21"/>
                <w:szCs w:val="21"/>
              </w:rPr>
            </w:pPr>
            <w:r>
              <w:rPr>
                <w:sz w:val="21"/>
                <w:szCs w:val="21"/>
              </w:rPr>
              <w:t>0.2</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7</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氯化钠</w:t>
            </w:r>
          </w:p>
        </w:tc>
        <w:tc>
          <w:tcPr>
            <w:tcW w:w="691" w:type="pct"/>
            <w:noWrap w:val="0"/>
            <w:vAlign w:val="center"/>
          </w:tcPr>
          <w:p>
            <w:pPr>
              <w:spacing w:line="240" w:lineRule="exact"/>
              <w:jc w:val="center"/>
              <w:rPr>
                <w:sz w:val="21"/>
                <w:szCs w:val="21"/>
              </w:rPr>
            </w:pPr>
            <w:r>
              <w:rPr>
                <w:sz w:val="21"/>
                <w:szCs w:val="21"/>
              </w:rPr>
              <w:t>115</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spacing w:line="240" w:lineRule="exact"/>
              <w:jc w:val="center"/>
              <w:rPr>
                <w:sz w:val="21"/>
                <w:szCs w:val="21"/>
              </w:rPr>
            </w:pPr>
            <w:r>
              <w:rPr>
                <w:sz w:val="21"/>
                <w:szCs w:val="21"/>
              </w:rPr>
              <w:t>塑料袋，</w:t>
            </w:r>
          </w:p>
          <w:p>
            <w:pPr>
              <w:spacing w:line="240" w:lineRule="exact"/>
              <w:jc w:val="center"/>
              <w:rPr>
                <w:sz w:val="21"/>
                <w:szCs w:val="21"/>
              </w:rPr>
            </w:pPr>
            <w:r>
              <w:rPr>
                <w:sz w:val="21"/>
                <w:szCs w:val="21"/>
              </w:rPr>
              <w:t>25kg/袋</w:t>
            </w:r>
          </w:p>
        </w:tc>
        <w:tc>
          <w:tcPr>
            <w:tcW w:w="544" w:type="pct"/>
            <w:noWrap w:val="0"/>
            <w:vAlign w:val="center"/>
          </w:tcPr>
          <w:p>
            <w:pPr>
              <w:spacing w:line="240" w:lineRule="exact"/>
              <w:jc w:val="center"/>
              <w:rPr>
                <w:sz w:val="21"/>
                <w:szCs w:val="21"/>
              </w:rPr>
            </w:pPr>
            <w:r>
              <w:rPr>
                <w:sz w:val="21"/>
                <w:szCs w:val="21"/>
              </w:rPr>
              <w:t>6</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spacing w:line="240" w:lineRule="exact"/>
              <w:jc w:val="center"/>
              <w:rPr>
                <w:sz w:val="21"/>
                <w:szCs w:val="21"/>
              </w:rPr>
            </w:pPr>
            <w:r>
              <w:rPr>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8</w:t>
            </w:r>
          </w:p>
        </w:tc>
        <w:tc>
          <w:tcPr>
            <w:tcW w:w="1181" w:type="pct"/>
            <w:gridSpan w:val="2"/>
            <w:noWrap w:val="0"/>
            <w:vAlign w:val="center"/>
          </w:tcPr>
          <w:p>
            <w:pPr>
              <w:adjustRightInd w:val="0"/>
              <w:snapToGrid w:val="0"/>
              <w:spacing w:line="240" w:lineRule="exact"/>
              <w:jc w:val="center"/>
              <w:rPr>
                <w:spacing w:val="-14"/>
                <w:sz w:val="21"/>
                <w:szCs w:val="21"/>
              </w:rPr>
            </w:pPr>
            <w:r>
              <w:rPr>
                <w:spacing w:val="-14"/>
                <w:sz w:val="21"/>
                <w:szCs w:val="21"/>
              </w:rPr>
              <w:t>氢气</w:t>
            </w:r>
          </w:p>
        </w:tc>
        <w:tc>
          <w:tcPr>
            <w:tcW w:w="691" w:type="pct"/>
            <w:noWrap w:val="0"/>
            <w:vAlign w:val="center"/>
          </w:tcPr>
          <w:p>
            <w:pPr>
              <w:spacing w:line="240" w:lineRule="exact"/>
              <w:jc w:val="center"/>
              <w:rPr>
                <w:sz w:val="21"/>
                <w:szCs w:val="21"/>
              </w:rPr>
            </w:pPr>
            <w:r>
              <w:rPr>
                <w:sz w:val="21"/>
                <w:szCs w:val="21"/>
              </w:rPr>
              <w:t>240</w:t>
            </w:r>
          </w:p>
        </w:tc>
        <w:tc>
          <w:tcPr>
            <w:tcW w:w="396" w:type="pct"/>
            <w:noWrap w:val="0"/>
            <w:vAlign w:val="center"/>
          </w:tcPr>
          <w:p>
            <w:pPr>
              <w:spacing w:line="240" w:lineRule="exact"/>
              <w:jc w:val="center"/>
              <w:rPr>
                <w:sz w:val="21"/>
                <w:szCs w:val="21"/>
              </w:rPr>
            </w:pPr>
            <w:r>
              <w:rPr>
                <w:sz w:val="21"/>
                <w:szCs w:val="21"/>
              </w:rPr>
              <w:t>气体</w:t>
            </w:r>
          </w:p>
        </w:tc>
        <w:tc>
          <w:tcPr>
            <w:tcW w:w="850" w:type="pct"/>
            <w:noWrap w:val="0"/>
            <w:vAlign w:val="center"/>
          </w:tcPr>
          <w:p>
            <w:pPr>
              <w:spacing w:line="240" w:lineRule="exact"/>
              <w:jc w:val="center"/>
              <w:rPr>
                <w:sz w:val="21"/>
                <w:szCs w:val="21"/>
              </w:rPr>
            </w:pPr>
            <w:r>
              <w:rPr>
                <w:sz w:val="21"/>
                <w:szCs w:val="21"/>
              </w:rPr>
              <w:t>储罐，25m</w:t>
            </w:r>
            <w:r>
              <w:rPr>
                <w:sz w:val="21"/>
                <w:szCs w:val="21"/>
                <w:vertAlign w:val="superscript"/>
              </w:rPr>
              <w:t>3</w:t>
            </w:r>
          </w:p>
        </w:tc>
        <w:tc>
          <w:tcPr>
            <w:tcW w:w="544" w:type="pct"/>
            <w:noWrap w:val="0"/>
            <w:vAlign w:val="center"/>
          </w:tcPr>
          <w:p>
            <w:pPr>
              <w:spacing w:line="240" w:lineRule="exact"/>
              <w:jc w:val="center"/>
              <w:rPr>
                <w:sz w:val="21"/>
                <w:szCs w:val="21"/>
              </w:rPr>
            </w:pPr>
            <w:r>
              <w:rPr>
                <w:sz w:val="21"/>
                <w:szCs w:val="21"/>
              </w:rPr>
              <w:t>0.2</w:t>
            </w:r>
          </w:p>
        </w:tc>
        <w:tc>
          <w:tcPr>
            <w:tcW w:w="550" w:type="pct"/>
            <w:noWrap w:val="0"/>
            <w:vAlign w:val="center"/>
          </w:tcPr>
          <w:p>
            <w:pPr>
              <w:spacing w:line="240" w:lineRule="exact"/>
              <w:jc w:val="center"/>
              <w:rPr>
                <w:sz w:val="21"/>
                <w:szCs w:val="21"/>
              </w:rPr>
            </w:pPr>
            <w:r>
              <w:rPr>
                <w:sz w:val="21"/>
                <w:szCs w:val="21"/>
              </w:rPr>
              <w:t>管道输送</w:t>
            </w:r>
          </w:p>
        </w:tc>
        <w:tc>
          <w:tcPr>
            <w:tcW w:w="547" w:type="pct"/>
            <w:noWrap w:val="0"/>
            <w:vAlign w:val="center"/>
          </w:tcPr>
          <w:p>
            <w:pPr>
              <w:spacing w:line="240" w:lineRule="exact"/>
              <w:jc w:val="center"/>
              <w:rPr>
                <w:sz w:val="21"/>
                <w:szCs w:val="21"/>
              </w:rPr>
            </w:pPr>
            <w:r>
              <w:rPr>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9</w:t>
            </w:r>
          </w:p>
        </w:tc>
        <w:tc>
          <w:tcPr>
            <w:tcW w:w="1181" w:type="pct"/>
            <w:gridSpan w:val="2"/>
            <w:noWrap w:val="0"/>
            <w:vAlign w:val="center"/>
          </w:tcPr>
          <w:p>
            <w:pPr>
              <w:spacing w:line="240" w:lineRule="exact"/>
              <w:jc w:val="center"/>
              <w:rPr>
                <w:sz w:val="21"/>
                <w:szCs w:val="21"/>
              </w:rPr>
            </w:pPr>
            <w:r>
              <w:rPr>
                <w:spacing w:val="-14"/>
                <w:sz w:val="21"/>
                <w:szCs w:val="21"/>
              </w:rPr>
              <w:t>硅藻土</w:t>
            </w:r>
          </w:p>
        </w:tc>
        <w:tc>
          <w:tcPr>
            <w:tcW w:w="691" w:type="pct"/>
            <w:noWrap w:val="0"/>
            <w:vAlign w:val="center"/>
          </w:tcPr>
          <w:p>
            <w:pPr>
              <w:spacing w:line="240" w:lineRule="exact"/>
              <w:jc w:val="center"/>
              <w:rPr>
                <w:sz w:val="21"/>
                <w:szCs w:val="21"/>
              </w:rPr>
            </w:pPr>
            <w:r>
              <w:rPr>
                <w:sz w:val="21"/>
                <w:szCs w:val="21"/>
              </w:rPr>
              <w:t>90</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spacing w:line="240" w:lineRule="exact"/>
              <w:jc w:val="center"/>
              <w:rPr>
                <w:sz w:val="21"/>
                <w:szCs w:val="21"/>
              </w:rPr>
            </w:pPr>
            <w:r>
              <w:rPr>
                <w:sz w:val="21"/>
                <w:szCs w:val="21"/>
              </w:rPr>
              <w:t>塑料袋，</w:t>
            </w:r>
          </w:p>
          <w:p>
            <w:pPr>
              <w:spacing w:line="240" w:lineRule="exact"/>
              <w:jc w:val="center"/>
              <w:rPr>
                <w:sz w:val="21"/>
                <w:szCs w:val="21"/>
              </w:rPr>
            </w:pPr>
            <w:r>
              <w:rPr>
                <w:sz w:val="21"/>
                <w:szCs w:val="21"/>
              </w:rPr>
              <w:t>25kg/袋</w:t>
            </w:r>
          </w:p>
        </w:tc>
        <w:tc>
          <w:tcPr>
            <w:tcW w:w="544" w:type="pct"/>
            <w:noWrap w:val="0"/>
            <w:vAlign w:val="center"/>
          </w:tcPr>
          <w:p>
            <w:pPr>
              <w:spacing w:line="240" w:lineRule="exact"/>
              <w:jc w:val="center"/>
              <w:rPr>
                <w:sz w:val="21"/>
                <w:szCs w:val="21"/>
              </w:rPr>
            </w:pPr>
            <w:r>
              <w:rPr>
                <w:sz w:val="21"/>
                <w:szCs w:val="21"/>
              </w:rPr>
              <w:t>5</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spacing w:line="240" w:lineRule="exact"/>
              <w:jc w:val="center"/>
              <w:rPr>
                <w:sz w:val="21"/>
                <w:szCs w:val="21"/>
              </w:rPr>
            </w:pPr>
            <w:r>
              <w:rPr>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spacing w:line="240" w:lineRule="exact"/>
              <w:jc w:val="center"/>
              <w:rPr>
                <w:sz w:val="21"/>
                <w:szCs w:val="21"/>
              </w:rPr>
            </w:pPr>
            <w:r>
              <w:rPr>
                <w:sz w:val="21"/>
                <w:szCs w:val="21"/>
              </w:rPr>
              <w:t>10</w:t>
            </w:r>
          </w:p>
        </w:tc>
        <w:tc>
          <w:tcPr>
            <w:tcW w:w="1181" w:type="pct"/>
            <w:gridSpan w:val="2"/>
            <w:noWrap w:val="0"/>
            <w:vAlign w:val="center"/>
          </w:tcPr>
          <w:p>
            <w:pPr>
              <w:spacing w:line="240" w:lineRule="exact"/>
              <w:jc w:val="center"/>
              <w:rPr>
                <w:spacing w:val="-14"/>
                <w:sz w:val="21"/>
                <w:szCs w:val="21"/>
              </w:rPr>
            </w:pPr>
            <w:r>
              <w:rPr>
                <w:spacing w:val="-14"/>
                <w:sz w:val="21"/>
                <w:szCs w:val="21"/>
              </w:rPr>
              <w:t>液氮</w:t>
            </w:r>
          </w:p>
        </w:tc>
        <w:tc>
          <w:tcPr>
            <w:tcW w:w="691" w:type="pct"/>
            <w:noWrap w:val="0"/>
            <w:vAlign w:val="center"/>
          </w:tcPr>
          <w:p>
            <w:pPr>
              <w:pStyle w:val="13"/>
              <w:pBdr>
                <w:bottom w:val="none" w:color="auto" w:sz="0" w:space="0"/>
              </w:pBdr>
              <w:tabs>
                <w:tab w:val="clear" w:pos="4153"/>
                <w:tab w:val="clear" w:pos="8306"/>
              </w:tabs>
              <w:autoSpaceDE w:val="0"/>
              <w:autoSpaceDN w:val="0"/>
              <w:adjustRightInd w:val="0"/>
              <w:snapToGrid/>
              <w:spacing w:line="240" w:lineRule="exact"/>
              <w:ind w:left="-113" w:right="-113"/>
              <w:rPr>
                <w:sz w:val="21"/>
                <w:szCs w:val="21"/>
              </w:rPr>
            </w:pPr>
            <w:r>
              <w:rPr>
                <w:sz w:val="21"/>
                <w:szCs w:val="21"/>
              </w:rPr>
              <w:t>440</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spacing w:line="240" w:lineRule="exact"/>
              <w:jc w:val="center"/>
              <w:rPr>
                <w:sz w:val="21"/>
                <w:szCs w:val="21"/>
              </w:rPr>
            </w:pPr>
            <w:r>
              <w:rPr>
                <w:sz w:val="21"/>
                <w:szCs w:val="21"/>
              </w:rPr>
              <w:t>钢瓶</w:t>
            </w:r>
          </w:p>
        </w:tc>
        <w:tc>
          <w:tcPr>
            <w:tcW w:w="544" w:type="pct"/>
            <w:noWrap w:val="0"/>
            <w:vAlign w:val="center"/>
          </w:tcPr>
          <w:p>
            <w:pPr>
              <w:spacing w:line="240" w:lineRule="exact"/>
              <w:jc w:val="center"/>
              <w:rPr>
                <w:sz w:val="21"/>
                <w:szCs w:val="21"/>
              </w:rPr>
            </w:pPr>
            <w:r>
              <w:rPr>
                <w:sz w:val="21"/>
                <w:szCs w:val="21"/>
              </w:rPr>
              <w:t>22</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spacing w:line="240" w:lineRule="exact"/>
              <w:jc w:val="center"/>
              <w:rPr>
                <w:sz w:val="21"/>
                <w:szCs w:val="21"/>
              </w:rPr>
            </w:pPr>
            <w:r>
              <w:rPr>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2" w:type="pct"/>
            <w:gridSpan w:val="3"/>
            <w:noWrap w:val="0"/>
            <w:vAlign w:val="center"/>
          </w:tcPr>
          <w:p>
            <w:pPr>
              <w:pStyle w:val="6"/>
              <w:adjustRightInd w:val="0"/>
              <w:snapToGrid w:val="0"/>
              <w:spacing w:line="240" w:lineRule="exact"/>
              <w:jc w:val="center"/>
              <w:rPr>
                <w:sz w:val="21"/>
                <w:szCs w:val="21"/>
              </w:rPr>
            </w:pPr>
            <w:r>
              <w:rPr>
                <w:sz w:val="21"/>
                <w:szCs w:val="21"/>
              </w:rPr>
              <w:t>合计</w:t>
            </w:r>
          </w:p>
        </w:tc>
        <w:tc>
          <w:tcPr>
            <w:tcW w:w="3578" w:type="pct"/>
            <w:gridSpan w:val="6"/>
            <w:noWrap w:val="0"/>
            <w:vAlign w:val="center"/>
          </w:tcPr>
          <w:p>
            <w:pPr>
              <w:pStyle w:val="10"/>
              <w:spacing w:line="240" w:lineRule="exact"/>
              <w:jc w:val="center"/>
              <w:rPr>
                <w:rFonts w:ascii="Times New Roman" w:hAnsi="Times New Roman"/>
                <w:szCs w:val="21"/>
              </w:rPr>
            </w:pPr>
            <w:r>
              <w:rPr>
                <w:rFonts w:ascii="Times New Roman" w:hAnsi="Times New Roman"/>
                <w:szCs w:val="21"/>
              </w:rPr>
              <w:t>140158.7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000" w:type="pct"/>
            <w:gridSpan w:val="9"/>
            <w:noWrap w:val="0"/>
            <w:vAlign w:val="center"/>
          </w:tcPr>
          <w:p>
            <w:pPr>
              <w:pStyle w:val="10"/>
              <w:spacing w:line="240" w:lineRule="exact"/>
              <w:jc w:val="center"/>
              <w:rPr>
                <w:rFonts w:ascii="Times New Roman" w:hAnsi="Times New Roman"/>
                <w:szCs w:val="21"/>
              </w:rPr>
            </w:pPr>
            <w:r>
              <w:rPr>
                <w:rFonts w:ascii="Times New Roman" w:hAnsi="Times New Roman"/>
                <w:szCs w:val="21"/>
              </w:rPr>
              <w:t>运出142800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vMerge w:val="restart"/>
            <w:shd w:val="clear" w:color="auto" w:fill="auto"/>
            <w:noWrap w:val="0"/>
            <w:vAlign w:val="center"/>
          </w:tcPr>
          <w:p>
            <w:pPr>
              <w:pStyle w:val="10"/>
              <w:spacing w:line="240" w:lineRule="exact"/>
              <w:jc w:val="center"/>
              <w:rPr>
                <w:rFonts w:ascii="Times New Roman" w:hAnsi="Times New Roman"/>
                <w:szCs w:val="21"/>
              </w:rPr>
            </w:pPr>
            <w:r>
              <w:rPr>
                <w:rFonts w:ascii="Times New Roman" w:hAnsi="Times New Roman"/>
                <w:szCs w:val="21"/>
              </w:rPr>
              <w:t>1</w:t>
            </w:r>
          </w:p>
        </w:tc>
        <w:tc>
          <w:tcPr>
            <w:tcW w:w="1018" w:type="pct"/>
            <w:vMerge w:val="restart"/>
            <w:shd w:val="clear" w:color="auto" w:fill="auto"/>
            <w:noWrap w:val="0"/>
            <w:vAlign w:val="center"/>
          </w:tcPr>
          <w:p>
            <w:pPr>
              <w:tabs>
                <w:tab w:val="left" w:pos="1260"/>
                <w:tab w:val="left" w:pos="3240"/>
              </w:tabs>
              <w:spacing w:line="240" w:lineRule="exact"/>
              <w:ind w:firstLine="210" w:firstLineChars="100"/>
              <w:jc w:val="center"/>
              <w:rPr>
                <w:sz w:val="21"/>
                <w:szCs w:val="21"/>
              </w:rPr>
            </w:pPr>
            <w:r>
              <w:rPr>
                <w:sz w:val="21"/>
                <w:szCs w:val="21"/>
              </w:rPr>
              <w:t>硬脂酸</w:t>
            </w:r>
          </w:p>
        </w:tc>
        <w:tc>
          <w:tcPr>
            <w:tcW w:w="854" w:type="pct"/>
            <w:gridSpan w:val="2"/>
            <w:noWrap w:val="0"/>
            <w:vAlign w:val="center"/>
          </w:tcPr>
          <w:p>
            <w:pPr>
              <w:tabs>
                <w:tab w:val="left" w:pos="1260"/>
                <w:tab w:val="left" w:pos="3240"/>
              </w:tabs>
              <w:spacing w:line="240" w:lineRule="exact"/>
              <w:ind w:firstLine="420" w:firstLineChars="200"/>
              <w:jc w:val="center"/>
              <w:rPr>
                <w:sz w:val="21"/>
                <w:szCs w:val="21"/>
              </w:rPr>
            </w:pPr>
            <w:r>
              <w:rPr>
                <w:sz w:val="21"/>
                <w:szCs w:val="21"/>
              </w:rPr>
              <w:t>47000</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PE编织袋，25kg、700kg</w:t>
            </w:r>
          </w:p>
        </w:tc>
        <w:tc>
          <w:tcPr>
            <w:tcW w:w="544" w:type="pct"/>
            <w:noWrap w:val="0"/>
            <w:vAlign w:val="center"/>
          </w:tcPr>
          <w:p>
            <w:pPr>
              <w:spacing w:line="240" w:lineRule="exact"/>
              <w:jc w:val="center"/>
              <w:rPr>
                <w:sz w:val="21"/>
                <w:szCs w:val="21"/>
              </w:rPr>
            </w:pPr>
            <w:r>
              <w:rPr>
                <w:sz w:val="21"/>
                <w:szCs w:val="21"/>
              </w:rPr>
              <w:t>2350</w:t>
            </w:r>
          </w:p>
        </w:tc>
        <w:tc>
          <w:tcPr>
            <w:tcW w:w="550" w:type="pct"/>
            <w:noWrap w:val="0"/>
            <w:vAlign w:val="center"/>
          </w:tcPr>
          <w:p>
            <w:pPr>
              <w:spacing w:line="240" w:lineRule="exact"/>
              <w:jc w:val="center"/>
              <w:rPr>
                <w:sz w:val="21"/>
                <w:szCs w:val="21"/>
              </w:rPr>
            </w:pPr>
            <w:r>
              <w:rPr>
                <w:sz w:val="21"/>
                <w:szCs w:val="21"/>
              </w:rPr>
              <w:t>汽车运</w:t>
            </w:r>
          </w:p>
        </w:tc>
        <w:tc>
          <w:tcPr>
            <w:tcW w:w="547" w:type="pct"/>
            <w:vMerge w:val="restart"/>
            <w:noWrap w:val="0"/>
            <w:vAlign w:val="center"/>
          </w:tcPr>
          <w:p>
            <w:pPr>
              <w:pStyle w:val="10"/>
              <w:spacing w:line="24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vMerge w:val="continue"/>
            <w:shd w:val="clear" w:color="auto" w:fill="auto"/>
            <w:noWrap w:val="0"/>
            <w:vAlign w:val="center"/>
          </w:tcPr>
          <w:p>
            <w:pPr>
              <w:pStyle w:val="10"/>
              <w:spacing w:line="240" w:lineRule="exact"/>
              <w:jc w:val="center"/>
              <w:rPr>
                <w:rFonts w:ascii="Times New Roman" w:hAnsi="Times New Roman"/>
                <w:szCs w:val="21"/>
              </w:rPr>
            </w:pPr>
          </w:p>
        </w:tc>
        <w:tc>
          <w:tcPr>
            <w:tcW w:w="1018" w:type="pct"/>
            <w:vMerge w:val="continue"/>
            <w:shd w:val="clear" w:color="auto" w:fill="auto"/>
            <w:noWrap w:val="0"/>
            <w:vAlign w:val="center"/>
          </w:tcPr>
          <w:p>
            <w:pPr>
              <w:tabs>
                <w:tab w:val="left" w:pos="1260"/>
                <w:tab w:val="left" w:pos="3240"/>
              </w:tabs>
              <w:spacing w:line="240" w:lineRule="exact"/>
              <w:ind w:firstLine="210" w:firstLineChars="100"/>
              <w:jc w:val="center"/>
              <w:rPr>
                <w:sz w:val="21"/>
                <w:szCs w:val="21"/>
              </w:rPr>
            </w:pPr>
          </w:p>
        </w:tc>
        <w:tc>
          <w:tcPr>
            <w:tcW w:w="854" w:type="pct"/>
            <w:gridSpan w:val="2"/>
            <w:noWrap w:val="0"/>
            <w:vAlign w:val="center"/>
          </w:tcPr>
          <w:p>
            <w:pPr>
              <w:tabs>
                <w:tab w:val="left" w:pos="1260"/>
                <w:tab w:val="left" w:pos="3240"/>
              </w:tabs>
              <w:spacing w:line="240" w:lineRule="exact"/>
              <w:ind w:firstLine="420" w:firstLineChars="200"/>
              <w:jc w:val="center"/>
              <w:rPr>
                <w:sz w:val="21"/>
                <w:szCs w:val="21"/>
              </w:rPr>
            </w:pPr>
            <w:r>
              <w:rPr>
                <w:sz w:val="21"/>
                <w:szCs w:val="21"/>
              </w:rPr>
              <w:t>23000</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储罐</w:t>
            </w:r>
          </w:p>
        </w:tc>
        <w:tc>
          <w:tcPr>
            <w:tcW w:w="544" w:type="pct"/>
            <w:noWrap w:val="0"/>
            <w:vAlign w:val="center"/>
          </w:tcPr>
          <w:p>
            <w:pPr>
              <w:spacing w:line="240" w:lineRule="exact"/>
              <w:jc w:val="center"/>
              <w:rPr>
                <w:sz w:val="21"/>
                <w:szCs w:val="21"/>
              </w:rPr>
            </w:pPr>
            <w:r>
              <w:rPr>
                <w:sz w:val="21"/>
                <w:szCs w:val="21"/>
              </w:rPr>
              <w:t>1150</w:t>
            </w:r>
          </w:p>
        </w:tc>
        <w:tc>
          <w:tcPr>
            <w:tcW w:w="550" w:type="pct"/>
            <w:noWrap w:val="0"/>
            <w:vAlign w:val="center"/>
          </w:tcPr>
          <w:p>
            <w:pPr>
              <w:spacing w:line="240" w:lineRule="exact"/>
              <w:jc w:val="center"/>
              <w:rPr>
                <w:sz w:val="21"/>
                <w:szCs w:val="21"/>
              </w:rPr>
            </w:pPr>
            <w:r>
              <w:rPr>
                <w:sz w:val="21"/>
                <w:szCs w:val="21"/>
              </w:rPr>
              <w:t>槽车运</w:t>
            </w:r>
          </w:p>
        </w:tc>
        <w:tc>
          <w:tcPr>
            <w:tcW w:w="547" w:type="pct"/>
            <w:vMerge w:val="continue"/>
            <w:noWrap w:val="0"/>
            <w:vAlign w:val="center"/>
          </w:tcPr>
          <w:p>
            <w:pPr>
              <w:pStyle w:val="10"/>
              <w:spacing w:line="24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pStyle w:val="10"/>
              <w:spacing w:line="240" w:lineRule="exact"/>
              <w:jc w:val="center"/>
              <w:rPr>
                <w:rFonts w:ascii="Times New Roman" w:hAnsi="Times New Roman"/>
                <w:szCs w:val="21"/>
              </w:rPr>
            </w:pPr>
            <w:r>
              <w:rPr>
                <w:rFonts w:ascii="Times New Roman" w:hAnsi="Times New Roman"/>
                <w:szCs w:val="21"/>
              </w:rPr>
              <w:t>2</w:t>
            </w:r>
          </w:p>
        </w:tc>
        <w:tc>
          <w:tcPr>
            <w:tcW w:w="1018" w:type="pct"/>
            <w:shd w:val="clear" w:color="auto" w:fill="auto"/>
            <w:noWrap w:val="0"/>
            <w:vAlign w:val="center"/>
          </w:tcPr>
          <w:p>
            <w:pPr>
              <w:tabs>
                <w:tab w:val="left" w:pos="1260"/>
                <w:tab w:val="left" w:pos="3240"/>
              </w:tabs>
              <w:spacing w:line="240" w:lineRule="exact"/>
              <w:ind w:firstLine="210" w:firstLineChars="100"/>
              <w:jc w:val="center"/>
              <w:rPr>
                <w:sz w:val="21"/>
                <w:szCs w:val="21"/>
              </w:rPr>
            </w:pPr>
            <w:r>
              <w:rPr>
                <w:sz w:val="21"/>
                <w:szCs w:val="21"/>
              </w:rPr>
              <w:t>甘油</w:t>
            </w:r>
          </w:p>
        </w:tc>
        <w:tc>
          <w:tcPr>
            <w:tcW w:w="854" w:type="pct"/>
            <w:gridSpan w:val="2"/>
            <w:noWrap w:val="0"/>
            <w:vAlign w:val="center"/>
          </w:tcPr>
          <w:p>
            <w:pPr>
              <w:tabs>
                <w:tab w:val="left" w:pos="0"/>
              </w:tabs>
              <w:spacing w:line="240" w:lineRule="exact"/>
              <w:ind w:firstLine="420" w:firstLineChars="200"/>
              <w:jc w:val="center"/>
              <w:rPr>
                <w:sz w:val="21"/>
                <w:szCs w:val="21"/>
              </w:rPr>
            </w:pPr>
            <w:r>
              <w:rPr>
                <w:sz w:val="21"/>
                <w:szCs w:val="21"/>
              </w:rPr>
              <w:t>10500</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钢桶，200L/桶</w:t>
            </w:r>
          </w:p>
        </w:tc>
        <w:tc>
          <w:tcPr>
            <w:tcW w:w="544" w:type="pct"/>
            <w:noWrap w:val="0"/>
            <w:vAlign w:val="center"/>
          </w:tcPr>
          <w:p>
            <w:pPr>
              <w:spacing w:line="240" w:lineRule="exact"/>
              <w:jc w:val="center"/>
              <w:rPr>
                <w:sz w:val="21"/>
                <w:szCs w:val="21"/>
              </w:rPr>
            </w:pPr>
            <w:r>
              <w:rPr>
                <w:sz w:val="21"/>
                <w:szCs w:val="21"/>
              </w:rPr>
              <w:t>525</w:t>
            </w:r>
          </w:p>
        </w:tc>
        <w:tc>
          <w:tcPr>
            <w:tcW w:w="550" w:type="pct"/>
            <w:noWrap w:val="0"/>
            <w:vAlign w:val="center"/>
          </w:tcPr>
          <w:p>
            <w:pPr>
              <w:spacing w:line="240" w:lineRule="exact"/>
              <w:jc w:val="center"/>
              <w:rPr>
                <w:sz w:val="21"/>
                <w:szCs w:val="21"/>
              </w:rPr>
            </w:pPr>
            <w:r>
              <w:rPr>
                <w:sz w:val="21"/>
                <w:szCs w:val="21"/>
              </w:rPr>
              <w:t>汽车运</w:t>
            </w:r>
          </w:p>
        </w:tc>
        <w:tc>
          <w:tcPr>
            <w:tcW w:w="547" w:type="pct"/>
            <w:vMerge w:val="continue"/>
            <w:noWrap w:val="0"/>
            <w:vAlign w:val="center"/>
          </w:tcPr>
          <w:p>
            <w:pPr>
              <w:pStyle w:val="10"/>
              <w:spacing w:line="24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pStyle w:val="10"/>
              <w:spacing w:line="240" w:lineRule="exact"/>
              <w:jc w:val="center"/>
              <w:rPr>
                <w:rFonts w:ascii="Times New Roman" w:hAnsi="Times New Roman"/>
                <w:szCs w:val="21"/>
              </w:rPr>
            </w:pPr>
            <w:r>
              <w:rPr>
                <w:rFonts w:ascii="Times New Roman" w:hAnsi="Times New Roman"/>
                <w:szCs w:val="21"/>
              </w:rPr>
              <w:t>3</w:t>
            </w:r>
          </w:p>
        </w:tc>
        <w:tc>
          <w:tcPr>
            <w:tcW w:w="1018" w:type="pct"/>
            <w:shd w:val="clear" w:color="auto" w:fill="auto"/>
            <w:noWrap w:val="0"/>
            <w:vAlign w:val="center"/>
          </w:tcPr>
          <w:p>
            <w:pPr>
              <w:tabs>
                <w:tab w:val="left" w:pos="1260"/>
                <w:tab w:val="left" w:pos="3240"/>
              </w:tabs>
              <w:spacing w:line="240" w:lineRule="exact"/>
              <w:ind w:firstLine="210" w:firstLineChars="100"/>
              <w:jc w:val="center"/>
              <w:rPr>
                <w:sz w:val="21"/>
                <w:szCs w:val="21"/>
              </w:rPr>
            </w:pPr>
            <w:r>
              <w:rPr>
                <w:sz w:val="21"/>
                <w:szCs w:val="21"/>
              </w:rPr>
              <w:t>皂粒</w:t>
            </w:r>
          </w:p>
        </w:tc>
        <w:tc>
          <w:tcPr>
            <w:tcW w:w="854" w:type="pct"/>
            <w:gridSpan w:val="2"/>
            <w:noWrap w:val="0"/>
            <w:vAlign w:val="center"/>
          </w:tcPr>
          <w:p>
            <w:pPr>
              <w:tabs>
                <w:tab w:val="left" w:pos="0"/>
              </w:tabs>
              <w:spacing w:line="240" w:lineRule="exact"/>
              <w:ind w:firstLine="420" w:firstLineChars="200"/>
              <w:jc w:val="center"/>
              <w:rPr>
                <w:sz w:val="21"/>
                <w:szCs w:val="21"/>
              </w:rPr>
            </w:pPr>
            <w:r>
              <w:rPr>
                <w:sz w:val="21"/>
                <w:szCs w:val="21"/>
              </w:rPr>
              <w:t>57600</w:t>
            </w:r>
          </w:p>
        </w:tc>
        <w:tc>
          <w:tcPr>
            <w:tcW w:w="396" w:type="pct"/>
            <w:noWrap w:val="0"/>
            <w:vAlign w:val="center"/>
          </w:tcPr>
          <w:p>
            <w:pPr>
              <w:spacing w:line="240" w:lineRule="exact"/>
              <w:jc w:val="center"/>
              <w:rPr>
                <w:sz w:val="21"/>
                <w:szCs w:val="21"/>
              </w:rPr>
            </w:pPr>
            <w:r>
              <w:rPr>
                <w:sz w:val="21"/>
                <w:szCs w:val="21"/>
              </w:rPr>
              <w:t>固体</w:t>
            </w:r>
          </w:p>
        </w:tc>
        <w:tc>
          <w:tcPr>
            <w:tcW w:w="8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PE编织袋，50kg</w:t>
            </w:r>
          </w:p>
        </w:tc>
        <w:tc>
          <w:tcPr>
            <w:tcW w:w="544" w:type="pct"/>
            <w:noWrap w:val="0"/>
            <w:vAlign w:val="center"/>
          </w:tcPr>
          <w:p>
            <w:pPr>
              <w:spacing w:line="240" w:lineRule="exact"/>
              <w:jc w:val="center"/>
              <w:rPr>
                <w:sz w:val="21"/>
                <w:szCs w:val="21"/>
              </w:rPr>
            </w:pPr>
            <w:r>
              <w:rPr>
                <w:sz w:val="21"/>
                <w:szCs w:val="21"/>
              </w:rPr>
              <w:t>2880</w:t>
            </w:r>
          </w:p>
        </w:tc>
        <w:tc>
          <w:tcPr>
            <w:tcW w:w="550" w:type="pct"/>
            <w:noWrap w:val="0"/>
            <w:vAlign w:val="center"/>
          </w:tcPr>
          <w:p>
            <w:pPr>
              <w:spacing w:line="240" w:lineRule="exact"/>
              <w:jc w:val="center"/>
              <w:rPr>
                <w:sz w:val="21"/>
                <w:szCs w:val="21"/>
              </w:rPr>
            </w:pPr>
            <w:r>
              <w:rPr>
                <w:sz w:val="21"/>
                <w:szCs w:val="21"/>
              </w:rPr>
              <w:t>汽车运</w:t>
            </w:r>
          </w:p>
        </w:tc>
        <w:tc>
          <w:tcPr>
            <w:tcW w:w="547" w:type="pct"/>
            <w:noWrap w:val="0"/>
            <w:vAlign w:val="center"/>
          </w:tcPr>
          <w:p>
            <w:pPr>
              <w:pStyle w:val="10"/>
              <w:spacing w:line="24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241" w:type="pct"/>
            <w:shd w:val="clear" w:color="auto" w:fill="auto"/>
            <w:noWrap w:val="0"/>
            <w:vAlign w:val="center"/>
          </w:tcPr>
          <w:p>
            <w:pPr>
              <w:pStyle w:val="10"/>
              <w:spacing w:line="240" w:lineRule="exact"/>
              <w:jc w:val="center"/>
              <w:rPr>
                <w:rFonts w:ascii="Times New Roman" w:hAnsi="Times New Roman"/>
                <w:szCs w:val="21"/>
              </w:rPr>
            </w:pPr>
            <w:r>
              <w:rPr>
                <w:rFonts w:ascii="Times New Roman" w:hAnsi="Times New Roman"/>
                <w:szCs w:val="21"/>
              </w:rPr>
              <w:t>4</w:t>
            </w:r>
          </w:p>
        </w:tc>
        <w:tc>
          <w:tcPr>
            <w:tcW w:w="1018" w:type="pct"/>
            <w:shd w:val="clear" w:color="auto" w:fill="auto"/>
            <w:noWrap w:val="0"/>
            <w:vAlign w:val="center"/>
          </w:tcPr>
          <w:p>
            <w:pPr>
              <w:tabs>
                <w:tab w:val="left" w:pos="1260"/>
                <w:tab w:val="left" w:pos="3240"/>
              </w:tabs>
              <w:spacing w:line="240" w:lineRule="exact"/>
              <w:ind w:firstLine="210" w:firstLineChars="100"/>
              <w:jc w:val="center"/>
              <w:rPr>
                <w:sz w:val="21"/>
                <w:szCs w:val="21"/>
              </w:rPr>
            </w:pPr>
            <w:r>
              <w:rPr>
                <w:sz w:val="21"/>
                <w:szCs w:val="21"/>
              </w:rPr>
              <w:t>残渣脂肪酸</w:t>
            </w:r>
          </w:p>
          <w:p>
            <w:pPr>
              <w:tabs>
                <w:tab w:val="left" w:pos="1260"/>
                <w:tab w:val="left" w:pos="3240"/>
              </w:tabs>
              <w:spacing w:line="240" w:lineRule="exact"/>
              <w:ind w:firstLine="210" w:firstLineChars="100"/>
              <w:jc w:val="center"/>
              <w:rPr>
                <w:sz w:val="21"/>
                <w:szCs w:val="21"/>
              </w:rPr>
            </w:pPr>
            <w:r>
              <w:rPr>
                <w:sz w:val="21"/>
                <w:szCs w:val="21"/>
              </w:rPr>
              <w:t>（副产品）</w:t>
            </w:r>
          </w:p>
        </w:tc>
        <w:tc>
          <w:tcPr>
            <w:tcW w:w="854" w:type="pct"/>
            <w:gridSpan w:val="2"/>
            <w:noWrap w:val="0"/>
            <w:vAlign w:val="center"/>
          </w:tcPr>
          <w:p>
            <w:pPr>
              <w:tabs>
                <w:tab w:val="left" w:pos="0"/>
              </w:tabs>
              <w:spacing w:line="240" w:lineRule="exact"/>
              <w:ind w:firstLine="420" w:firstLineChars="200"/>
              <w:jc w:val="center"/>
              <w:rPr>
                <w:sz w:val="21"/>
                <w:szCs w:val="21"/>
              </w:rPr>
            </w:pPr>
            <w:r>
              <w:rPr>
                <w:sz w:val="21"/>
                <w:szCs w:val="21"/>
              </w:rPr>
              <w:t>4700</w:t>
            </w:r>
          </w:p>
        </w:tc>
        <w:tc>
          <w:tcPr>
            <w:tcW w:w="396" w:type="pct"/>
            <w:noWrap w:val="0"/>
            <w:vAlign w:val="center"/>
          </w:tcPr>
          <w:p>
            <w:pPr>
              <w:spacing w:line="240" w:lineRule="exact"/>
              <w:jc w:val="center"/>
              <w:rPr>
                <w:sz w:val="21"/>
                <w:szCs w:val="21"/>
              </w:rPr>
            </w:pPr>
            <w:r>
              <w:rPr>
                <w:sz w:val="21"/>
                <w:szCs w:val="21"/>
              </w:rPr>
              <w:t>液体</w:t>
            </w:r>
          </w:p>
        </w:tc>
        <w:tc>
          <w:tcPr>
            <w:tcW w:w="850" w:type="pct"/>
            <w:noWrap w:val="0"/>
            <w:vAlign w:val="center"/>
          </w:tcPr>
          <w:p>
            <w:pPr>
              <w:pStyle w:val="10"/>
              <w:spacing w:line="240" w:lineRule="exact"/>
              <w:jc w:val="center"/>
              <w:rPr>
                <w:rFonts w:ascii="Times New Roman" w:hAnsi="Times New Roman"/>
                <w:szCs w:val="21"/>
              </w:rPr>
            </w:pPr>
            <w:r>
              <w:rPr>
                <w:rFonts w:ascii="Times New Roman" w:hAnsi="Times New Roman"/>
                <w:szCs w:val="21"/>
              </w:rPr>
              <w:t>储罐</w:t>
            </w:r>
          </w:p>
        </w:tc>
        <w:tc>
          <w:tcPr>
            <w:tcW w:w="544" w:type="pct"/>
            <w:noWrap w:val="0"/>
            <w:vAlign w:val="center"/>
          </w:tcPr>
          <w:p>
            <w:pPr>
              <w:spacing w:line="240" w:lineRule="exact"/>
              <w:jc w:val="center"/>
              <w:rPr>
                <w:sz w:val="21"/>
                <w:szCs w:val="21"/>
              </w:rPr>
            </w:pPr>
            <w:r>
              <w:rPr>
                <w:sz w:val="21"/>
                <w:szCs w:val="21"/>
              </w:rPr>
              <w:t>235</w:t>
            </w:r>
          </w:p>
        </w:tc>
        <w:tc>
          <w:tcPr>
            <w:tcW w:w="550" w:type="pct"/>
            <w:noWrap w:val="0"/>
            <w:vAlign w:val="center"/>
          </w:tcPr>
          <w:p>
            <w:pPr>
              <w:spacing w:line="240" w:lineRule="exact"/>
              <w:jc w:val="center"/>
              <w:rPr>
                <w:sz w:val="21"/>
                <w:szCs w:val="21"/>
              </w:rPr>
            </w:pPr>
            <w:r>
              <w:rPr>
                <w:sz w:val="21"/>
                <w:szCs w:val="21"/>
              </w:rPr>
              <w:t>槽车运</w:t>
            </w:r>
          </w:p>
        </w:tc>
        <w:tc>
          <w:tcPr>
            <w:tcW w:w="547" w:type="pct"/>
            <w:noWrap w:val="0"/>
            <w:vAlign w:val="center"/>
          </w:tcPr>
          <w:p>
            <w:pPr>
              <w:pStyle w:val="10"/>
              <w:spacing w:line="24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8" w:type="pct"/>
            <w:gridSpan w:val="2"/>
            <w:noWrap w:val="0"/>
            <w:vAlign w:val="center"/>
          </w:tcPr>
          <w:p>
            <w:pPr>
              <w:pStyle w:val="10"/>
              <w:spacing w:line="240" w:lineRule="exact"/>
              <w:jc w:val="center"/>
              <w:rPr>
                <w:rFonts w:ascii="Times New Roman" w:hAnsi="Times New Roman"/>
                <w:szCs w:val="21"/>
              </w:rPr>
            </w:pPr>
            <w:r>
              <w:rPr>
                <w:rFonts w:ascii="Times New Roman" w:hAnsi="Times New Roman"/>
                <w:szCs w:val="21"/>
              </w:rPr>
              <w:t>总计</w:t>
            </w:r>
          </w:p>
        </w:tc>
        <w:tc>
          <w:tcPr>
            <w:tcW w:w="3742" w:type="pct"/>
            <w:gridSpan w:val="7"/>
            <w:noWrap w:val="0"/>
            <w:vAlign w:val="center"/>
          </w:tcPr>
          <w:p>
            <w:pPr>
              <w:pStyle w:val="10"/>
              <w:spacing w:line="240" w:lineRule="exact"/>
              <w:jc w:val="center"/>
              <w:rPr>
                <w:rFonts w:ascii="Times New Roman" w:hAnsi="Times New Roman"/>
                <w:szCs w:val="21"/>
              </w:rPr>
            </w:pPr>
            <w:r>
              <w:rPr>
                <w:rFonts w:ascii="Times New Roman" w:hAnsi="Times New Roman"/>
                <w:szCs w:val="21"/>
              </w:rPr>
              <w:t>142800</w:t>
            </w:r>
          </w:p>
        </w:tc>
      </w:tr>
    </w:tbl>
    <w:p>
      <w:pPr>
        <w:pStyle w:val="2"/>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63" w:name="_Toc534203165"/>
      <w:bookmarkStart w:id="64" w:name="_Toc13847364"/>
      <w:bookmarkStart w:id="65" w:name="_Toc531519924"/>
      <w:bookmarkStart w:id="66" w:name="_Toc3310"/>
      <w:r>
        <w:rPr>
          <w:rFonts w:hint="eastAsia" w:ascii="Times New Roman" w:hAnsi="Times New Roman"/>
          <w:b/>
          <w:bCs/>
          <w:sz w:val="28"/>
          <w:szCs w:val="32"/>
        </w:rPr>
        <w:t>4</w:t>
      </w:r>
      <w:r>
        <w:rPr>
          <w:rFonts w:ascii="Times New Roman" w:hAnsi="Times New Roman"/>
          <w:b/>
          <w:bCs/>
          <w:sz w:val="28"/>
          <w:szCs w:val="32"/>
        </w:rPr>
        <w:t>.</w:t>
      </w:r>
      <w:r>
        <w:rPr>
          <w:rFonts w:hint="eastAsia" w:ascii="Times New Roman" w:hAnsi="Times New Roman"/>
          <w:b/>
          <w:bCs/>
          <w:sz w:val="28"/>
          <w:szCs w:val="32"/>
        </w:rPr>
        <w:t>3主要生产工艺</w:t>
      </w:r>
      <w:bookmarkEnd w:id="63"/>
      <w:bookmarkEnd w:id="64"/>
      <w:bookmarkEnd w:id="65"/>
      <w:bookmarkEnd w:id="66"/>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（1）硬脂酸、甘油（已批已验收项目）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现有项目生产过程中使用棕榈油作为原料，棕榈油经水解后生成粗脂肪酸和甘油。棕榈油经加氢后生成氢化脂肪酸。蒸馏或分馏的脂肪酸含饱和与不饱和的脂肪酸；经氢化、蒸馏后的蒸馏脂肪酸为饱和脂肪酸。（注：水解工序、氢化工序不分先后顺序，可以先水解后氢化，也可先氢化后水解）。具体反应过程如下介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①水解</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反应原理：棕榈油脂与水水解，生成脂肪酸和甘油。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棕榈油经泵、热交换器加热后（70～80℃；常压）进入脱气罐，脱气罐采用低压蒸汽加热（90～110℃；-0.03MPa），经闪蒸干燥（去除含有的少量水份）后经泵输送由底部的分布环进入水解塔。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经软化的水进入软水罐储存，经泵输送至水解工艺区，通过低压蒸汽加热方法，加热至70℃后经吸气活塞泵输送至水解塔的顶部。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逆向的棕榈油、软化水在水解塔内（5.2MPa、250-260℃）水解（蒸汽除参与反应外并起到搅拌作用），生成粗脂肪酸和甜水。粗脂肪酸由塔上部出反应器，在闪蒸罐内经闪蒸脱水（100℃；-0.03MPa）后，经热交换冷却后存储于储罐内(主要为不饱和脂肪酸粗产品)。甜水（粗甘油）由塔底部出反应器经泵输送至储罐存储。水解反应的主要反应方程式如下：</w:t>
      </w:r>
    </w:p>
    <w:p>
      <w:pPr>
        <w:pStyle w:val="6"/>
        <w:spacing w:line="480" w:lineRule="exact"/>
        <w:ind w:firstLine="562"/>
        <w:rPr>
          <w:position w:val="-3"/>
          <w:szCs w:val="28"/>
        </w:rPr>
      </w:pPr>
      <w:r>
        <w:rPr>
          <w:b/>
          <w:bCs/>
          <w:szCs w:val="28"/>
        </w:rPr>
        <mc:AlternateContent>
          <mc:Choice Requires="wpg">
            <w:drawing>
              <wp:anchor distT="0" distB="0" distL="114300" distR="114300" simplePos="0" relativeHeight="251664384" behindDoc="0" locked="0" layoutInCell="1" allowOverlap="1">
                <wp:simplePos x="0" y="0"/>
                <wp:positionH relativeFrom="column">
                  <wp:posOffset>386715</wp:posOffset>
                </wp:positionH>
                <wp:positionV relativeFrom="paragraph">
                  <wp:posOffset>50800</wp:posOffset>
                </wp:positionV>
                <wp:extent cx="1030605" cy="1624330"/>
                <wp:effectExtent l="0" t="0" r="0" b="0"/>
                <wp:wrapNone/>
                <wp:docPr id="38" name="组合 38"/>
                <wp:cNvGraphicFramePr/>
                <a:graphic xmlns:a="http://schemas.openxmlformats.org/drawingml/2006/main">
                  <a:graphicData uri="http://schemas.microsoft.com/office/word/2010/wordprocessingGroup">
                    <wpg:wgp>
                      <wpg:cNvGrpSpPr/>
                      <wpg:grpSpPr>
                        <a:xfrm>
                          <a:off x="0" y="0"/>
                          <a:ext cx="1030605" cy="1624330"/>
                          <a:chOff x="1908" y="8507"/>
                          <a:chExt cx="1356" cy="2119"/>
                        </a:xfrm>
                      </wpg:grpSpPr>
                      <wpg:grpSp>
                        <wpg:cNvPr id="8" name="组合 15"/>
                        <wpg:cNvGrpSpPr/>
                        <wpg:grpSpPr>
                          <a:xfrm>
                            <a:off x="1908" y="9177"/>
                            <a:ext cx="1356" cy="720"/>
                            <a:chOff x="1908" y="8507"/>
                            <a:chExt cx="1356" cy="720"/>
                          </a:xfrm>
                        </wpg:grpSpPr>
                        <wps:wsp>
                          <wps:cNvPr id="10" name="文本框 8"/>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2</w:t>
                                </w:r>
                              </w:p>
                            </w:txbxContent>
                          </wps:txbx>
                          <wps:bodyPr lIns="0" tIns="0" rIns="0" bIns="0" upright="1"/>
                        </wps:wsp>
                        <wpg:grpSp>
                          <wpg:cNvPr id="11" name="组合 14"/>
                          <wpg:cNvGrpSpPr/>
                          <wpg:grpSpPr>
                            <a:xfrm>
                              <a:off x="2562" y="8507"/>
                              <a:ext cx="302" cy="433"/>
                              <a:chOff x="2562" y="8507"/>
                              <a:chExt cx="302" cy="433"/>
                            </a:xfrm>
                          </wpg:grpSpPr>
                          <wps:wsp>
                            <wps:cNvPr id="39" name="文本框 9"/>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40" name="组合 13"/>
                            <wpg:cNvGrpSpPr/>
                            <wpg:grpSpPr>
                              <a:xfrm>
                                <a:off x="2580" y="8790"/>
                                <a:ext cx="67" cy="150"/>
                                <a:chOff x="3868" y="8858"/>
                                <a:chExt cx="67" cy="150"/>
                              </a:xfrm>
                            </wpg:grpSpPr>
                            <wps:wsp>
                              <wps:cNvPr id="41" name="直接连接符 11"/>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42" name="直接连接符 12"/>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g:grpSp>
                        <wpg:cNvPr id="43" name="组合 37"/>
                        <wpg:cNvGrpSpPr/>
                        <wpg:grpSpPr>
                          <a:xfrm>
                            <a:off x="1908" y="8507"/>
                            <a:ext cx="1356" cy="2119"/>
                            <a:chOff x="1908" y="8507"/>
                            <a:chExt cx="1356" cy="2119"/>
                          </a:xfrm>
                        </wpg:grpSpPr>
                        <wpg:grpSp>
                          <wpg:cNvPr id="44" name="组合 24"/>
                          <wpg:cNvGrpSpPr/>
                          <wpg:grpSpPr>
                            <a:xfrm>
                              <a:off x="1908" y="9906"/>
                              <a:ext cx="1356" cy="720"/>
                              <a:chOff x="1908" y="8507"/>
                              <a:chExt cx="1356" cy="720"/>
                            </a:xfrm>
                          </wpg:grpSpPr>
                          <wps:wsp>
                            <wps:cNvPr id="45" name="文本框 17"/>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3</w:t>
                                  </w:r>
                                </w:p>
                              </w:txbxContent>
                            </wps:txbx>
                            <wps:bodyPr lIns="0" tIns="0" rIns="0" bIns="0" upright="1"/>
                          </wps:wsp>
                          <wpg:grpSp>
                            <wpg:cNvPr id="46" name="组合 23"/>
                            <wpg:cNvGrpSpPr/>
                            <wpg:grpSpPr>
                              <a:xfrm>
                                <a:off x="2562" y="8507"/>
                                <a:ext cx="302" cy="433"/>
                                <a:chOff x="2562" y="8507"/>
                                <a:chExt cx="302" cy="433"/>
                              </a:xfrm>
                            </wpg:grpSpPr>
                            <wps:wsp>
                              <wps:cNvPr id="47" name="文本框 19"/>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48" name="组合 22"/>
                              <wpg:cNvGrpSpPr/>
                              <wpg:grpSpPr>
                                <a:xfrm>
                                  <a:off x="2580" y="8790"/>
                                  <a:ext cx="67" cy="150"/>
                                  <a:chOff x="3868" y="8858"/>
                                  <a:chExt cx="67" cy="150"/>
                                </a:xfrm>
                              </wpg:grpSpPr>
                              <wps:wsp>
                                <wps:cNvPr id="49" name="直接连接符 20"/>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50" name="直接连接符 21"/>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g:grpSp>
                          <wpg:cNvPr id="51" name="组合 36"/>
                          <wpg:cNvGrpSpPr/>
                          <wpg:grpSpPr>
                            <a:xfrm>
                              <a:off x="1908" y="8507"/>
                              <a:ext cx="1356" cy="1844"/>
                              <a:chOff x="1908" y="8507"/>
                              <a:chExt cx="1356" cy="1844"/>
                            </a:xfrm>
                          </wpg:grpSpPr>
                          <wpg:grpSp>
                            <wpg:cNvPr id="52" name="组合 33"/>
                            <wpg:cNvGrpSpPr/>
                            <wpg:grpSpPr>
                              <a:xfrm>
                                <a:off x="1908" y="8507"/>
                                <a:ext cx="1356" cy="720"/>
                                <a:chOff x="1908" y="8507"/>
                                <a:chExt cx="1356" cy="720"/>
                              </a:xfrm>
                            </wpg:grpSpPr>
                            <wps:wsp>
                              <wps:cNvPr id="53" name="文本框 25"/>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1</w:t>
                                    </w:r>
                                  </w:p>
                                </w:txbxContent>
                              </wps:txbx>
                              <wps:bodyPr lIns="0" tIns="0" rIns="0" bIns="0" upright="1"/>
                            </wps:wsp>
                            <wpg:grpSp>
                              <wpg:cNvPr id="54" name="组合 32"/>
                              <wpg:cNvGrpSpPr/>
                              <wpg:grpSpPr>
                                <a:xfrm>
                                  <a:off x="2562" y="8507"/>
                                  <a:ext cx="302" cy="433"/>
                                  <a:chOff x="2562" y="8507"/>
                                  <a:chExt cx="302" cy="433"/>
                                </a:xfrm>
                              </wpg:grpSpPr>
                              <wps:wsp>
                                <wps:cNvPr id="55" name="文本框 26"/>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56" name="组合 29"/>
                                <wpg:cNvGrpSpPr/>
                                <wpg:grpSpPr>
                                  <a:xfrm>
                                    <a:off x="2580" y="8790"/>
                                    <a:ext cx="67" cy="150"/>
                                    <a:chOff x="3868" y="8858"/>
                                    <a:chExt cx="67" cy="150"/>
                                  </a:xfrm>
                                </wpg:grpSpPr>
                                <wps:wsp>
                                  <wps:cNvPr id="57" name="直接连接符 27"/>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58" name="直接连接符 28"/>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s:wsp>
                            <wps:cNvPr id="59" name="直接连接符 34"/>
                            <wps:cNvCnPr/>
                            <wps:spPr>
                              <a:xfrm>
                                <a:off x="1970" y="9219"/>
                                <a:ext cx="0" cy="397"/>
                              </a:xfrm>
                              <a:prstGeom prst="line">
                                <a:avLst/>
                              </a:prstGeom>
                              <a:ln w="9525" cap="flat" cmpd="sng">
                                <a:solidFill>
                                  <a:srgbClr val="000000"/>
                                </a:solidFill>
                                <a:prstDash val="solid"/>
                                <a:headEnd type="none" w="med" len="med"/>
                                <a:tailEnd type="none" w="med" len="med"/>
                              </a:ln>
                            </wps:spPr>
                            <wps:bodyPr upright="1"/>
                          </wps:wsp>
                          <wps:wsp>
                            <wps:cNvPr id="60" name="直接连接符 35"/>
                            <wps:cNvCnPr/>
                            <wps:spPr>
                              <a:xfrm>
                                <a:off x="1980" y="9889"/>
                                <a:ext cx="0" cy="462"/>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30.45pt;margin-top:4pt;height:127.9pt;width:81.15pt;z-index:251664384;mso-width-relative:page;mso-height-relative:page;" coordorigin="1908,8507" coordsize="1356,2119" o:gfxdata="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Mr7wNbZAAAACAEAAA8AAAAAAAAAAQAgAAAAIgAAAGRycy9kb3ducmV2&#10;LnhtbFBLAQIUABQAAAAIAIdO4kB7rL61UgUAABgqAAAOAAAAAAAAAAEAIAAAACgBAABkcnMvZTJv&#10;RG9jLnhtbFBLBQYAAAAABgAGAFkBAADsCAAAAAA=&#10;">
                <o:lock v:ext="edit" aspectratio="f"/>
                <v:group id="组合 15" o:spid="_x0000_s1026" o:spt="203" style="position:absolute;left:1908;top:9177;height:720;width:1356;" coordorigin="1908,8507" coordsize="1356,72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8" o:spid="_x0000_s1026" o:spt="202" type="#_x0000_t202" style="position:absolute;left:1908;top:8909;height:318;width:1356;"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2</w:t>
                          </w:r>
                        </w:p>
                      </w:txbxContent>
                    </v:textbox>
                  </v:shape>
                  <v:group id="组合 14" o:spid="_x0000_s1026" o:spt="203" style="position:absolute;left:2562;top:8507;height:433;width:302;" coordorigin="2562,8507" coordsize="302,43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文本框 9" o:spid="_x0000_s1026" o:spt="202" type="#_x0000_t202" style="position:absolute;left:2562;top:8507;height:267;width:302;"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13" o:spid="_x0000_s1026" o:spt="203" style="position:absolute;left:2580;top:8790;height:150;width:67;" coordorigin="3868,8858" coordsize="67,15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直接连接符 11" o:spid="_x0000_s1026" o:spt="20" style="position:absolute;left:3868;top:8858;height:150;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2" o:spid="_x0000_s1026" o:spt="20" style="position:absolute;left:3935;top:8858;height:150;width: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v:group id="组合 37" o:spid="_x0000_s1026" o:spt="203" style="position:absolute;left:1908;top:8507;height:2119;width:1356;" coordorigin="1908,8507" coordsize="1356,2119"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组合 24" o:spid="_x0000_s1026" o:spt="203" style="position:absolute;left:1908;top:9906;height:720;width:1356;" coordorigin="1908,8507" coordsize="1356,72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17" o:spid="_x0000_s1026" o:spt="202" type="#_x0000_t202" style="position:absolute;left:1908;top:8909;height:318;width:1356;"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3</w:t>
                            </w:r>
                          </w:p>
                        </w:txbxContent>
                      </v:textbox>
                    </v:shape>
                    <v:group id="组合 23" o:spid="_x0000_s1026" o:spt="203" style="position:absolute;left:2562;top:8507;height:433;width:302;" coordorigin="2562,8507" coordsize="302,43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文本框 19" o:spid="_x0000_s1026" o:spt="202" type="#_x0000_t202" style="position:absolute;left:2562;top:8507;height:267;width:302;"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22" o:spid="_x0000_s1026" o:spt="203" style="position:absolute;left:2580;top:8790;height:150;width:67;" coordorigin="3868,8858" coordsize="67,15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line id="直接连接符 20" o:spid="_x0000_s1026" o:spt="20" style="position:absolute;left:3868;top:8858;height:150;width:0;"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1" o:spid="_x0000_s1026" o:spt="20" style="position:absolute;left:3935;top:8858;height:150;width: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v:group id="组合 36" o:spid="_x0000_s1026" o:spt="203" style="position:absolute;left:1908;top:8507;height:1844;width:1356;" coordorigin="1908,8507" coordsize="1356,184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组合 33" o:spid="_x0000_s1026" o:spt="203" style="position:absolute;left:1908;top:8507;height:720;width:1356;" coordorigin="1908,8507" coordsize="1356,72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文本框 25" o:spid="_x0000_s1026" o:spt="202" type="#_x0000_t202" style="position:absolute;left:1908;top:8909;height:318;width:1356;"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1</w:t>
                              </w:r>
                            </w:p>
                          </w:txbxContent>
                        </v:textbox>
                      </v:shape>
                      <v:group id="组合 32" o:spid="_x0000_s1026" o:spt="203" style="position:absolute;left:2562;top:8507;height:433;width:302;" coordorigin="2562,8507" coordsize="302,43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文本框 26" o:spid="_x0000_s1026" o:spt="202" type="#_x0000_t202" style="position:absolute;left:2562;top:8507;height:267;width:302;"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29" o:spid="_x0000_s1026" o:spt="203" style="position:absolute;left:2580;top:8790;height:150;width:67;" coordorigin="3868,8858" coordsize="67,15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直接连接符 27" o:spid="_x0000_s1026" o:spt="20" style="position:absolute;left:3868;top:8858;height:150;width: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8" o:spid="_x0000_s1026" o:spt="20" style="position:absolute;left:3935;top:8858;height:150;width: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v:line id="直接连接符 34" o:spid="_x0000_s1026" o:spt="20" style="position:absolute;left:1970;top:9219;height:397;width:0;"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5" o:spid="_x0000_s1026" o:spt="20" style="position:absolute;left:1980;top:9889;height:462;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w:pict>
          </mc:Fallback>
        </mc:AlternateContent>
      </w:r>
      <w:r>
        <w:rPr>
          <w:b/>
          <w:bCs/>
          <w:szCs w:val="28"/>
        </w:rPr>
        <mc:AlternateContent>
          <mc:Choice Requires="wpg">
            <w:drawing>
              <wp:anchor distT="0" distB="0" distL="114300" distR="114300" simplePos="0" relativeHeight="251663360" behindDoc="0" locked="0" layoutInCell="1" allowOverlap="1">
                <wp:simplePos x="0" y="0"/>
                <wp:positionH relativeFrom="column">
                  <wp:posOffset>4160520</wp:posOffset>
                </wp:positionH>
                <wp:positionV relativeFrom="paragraph">
                  <wp:posOffset>166370</wp:posOffset>
                </wp:positionV>
                <wp:extent cx="861060" cy="1341120"/>
                <wp:effectExtent l="0" t="0" r="0" b="0"/>
                <wp:wrapNone/>
                <wp:docPr id="61" name="组合 61"/>
                <wp:cNvGraphicFramePr/>
                <a:graphic xmlns:a="http://schemas.openxmlformats.org/drawingml/2006/main">
                  <a:graphicData uri="http://schemas.microsoft.com/office/word/2010/wordprocessingGroup">
                    <wpg:wgp>
                      <wpg:cNvGrpSpPr/>
                      <wpg:grpSpPr>
                        <a:xfrm>
                          <a:off x="0" y="0"/>
                          <a:ext cx="861060" cy="1341120"/>
                          <a:chOff x="8058" y="3180"/>
                          <a:chExt cx="1356" cy="1717"/>
                        </a:xfrm>
                      </wpg:grpSpPr>
                      <wps:wsp>
                        <wps:cNvPr id="62" name="文本框 39"/>
                        <wps:cNvSpPr txBox="1"/>
                        <wps:spPr>
                          <a:xfrm>
                            <a:off x="8058" y="4579"/>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3</w:t>
                              </w:r>
                              <w:r>
                                <w:rPr>
                                  <w:rFonts w:hint="eastAsia" w:ascii="宋体" w:hAnsi="宋体"/>
                                  <w:color w:val="000000"/>
                                </w:rPr>
                                <w:t>-COOH</w:t>
                              </w:r>
                            </w:p>
                          </w:txbxContent>
                        </wps:txbx>
                        <wps:bodyPr lIns="0" tIns="0" rIns="0" bIns="0" upright="1"/>
                      </wps:wsp>
                      <wps:wsp>
                        <wps:cNvPr id="64" name="文本框 40"/>
                        <wps:cNvSpPr txBox="1"/>
                        <wps:spPr>
                          <a:xfrm>
                            <a:off x="8058" y="3850"/>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2</w:t>
                              </w:r>
                              <w:r>
                                <w:rPr>
                                  <w:rFonts w:hint="eastAsia" w:ascii="宋体" w:hAnsi="宋体"/>
                                  <w:color w:val="000000"/>
                                </w:rPr>
                                <w:t>-COOH</w:t>
                              </w:r>
                            </w:p>
                          </w:txbxContent>
                        </wps:txbx>
                        <wps:bodyPr lIns="0" tIns="0" rIns="0" bIns="0" upright="1"/>
                      </wps:wsp>
                      <wps:wsp>
                        <wps:cNvPr id="65" name="文本框 41"/>
                        <wps:cNvSpPr txBox="1"/>
                        <wps:spPr>
                          <a:xfrm>
                            <a:off x="8058" y="3180"/>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1</w:t>
                              </w:r>
                              <w:r>
                                <w:rPr>
                                  <w:rFonts w:hint="eastAsia" w:ascii="宋体" w:hAnsi="宋体"/>
                                  <w:color w:val="000000"/>
                                </w:rPr>
                                <w:t>-COOH</w:t>
                              </w:r>
                            </w:p>
                          </w:txbxContent>
                        </wps:txbx>
                        <wps:bodyPr lIns="0" tIns="0" rIns="0" bIns="0" upright="1"/>
                      </wps:wsp>
                    </wpg:wgp>
                  </a:graphicData>
                </a:graphic>
              </wp:anchor>
            </w:drawing>
          </mc:Choice>
          <mc:Fallback>
            <w:pict>
              <v:group id="_x0000_s1026" o:spid="_x0000_s1026" o:spt="203" style="position:absolute;left:0pt;margin-left:327.6pt;margin-top:13.1pt;height:105.6pt;width:67.8pt;z-index:251663360;mso-width-relative:page;mso-height-relative:page;" coordorigin="8058,3180" coordsize="1356,1717" o:gfxdata="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fosfT2wAAAAoBAAAPAAAAAAAAAAEAIAAAACIAAABkcnMvZG93bnJldi54bWxQSwEC&#10;FAAUAAAACACHTuJAY/0w6WMCAADSBwAADgAAAAAAAAABACAAAAAqAQAAZHJzL2Uyb0RvYy54bWxQ&#10;SwUGAAAAAAYABgBZAQAA/wUAAAAA&#10;">
                <o:lock v:ext="edit" aspectratio="f"/>
                <v:shape id="文本框 39" o:spid="_x0000_s1026" o:spt="202" type="#_x0000_t202" style="position:absolute;left:8058;top:4579;height:318;width:1356;"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3</w:t>
                        </w:r>
                        <w:r>
                          <w:rPr>
                            <w:rFonts w:hint="eastAsia" w:ascii="宋体" w:hAnsi="宋体"/>
                            <w:color w:val="000000"/>
                          </w:rPr>
                          <w:t>-COOH</w:t>
                        </w:r>
                      </w:p>
                    </w:txbxContent>
                  </v:textbox>
                </v:shape>
                <v:shape id="文本框 40" o:spid="_x0000_s1026" o:spt="202" type="#_x0000_t202" style="position:absolute;left:8058;top:3850;height:318;width:1356;"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2</w:t>
                        </w:r>
                        <w:r>
                          <w:rPr>
                            <w:rFonts w:hint="eastAsia" w:ascii="宋体" w:hAnsi="宋体"/>
                            <w:color w:val="000000"/>
                          </w:rPr>
                          <w:t>-COOH</w:t>
                        </w:r>
                      </w:p>
                    </w:txbxContent>
                  </v:textbox>
                </v:shape>
                <v:shape id="文本框 41" o:spid="_x0000_s1026" o:spt="202" type="#_x0000_t202" style="position:absolute;left:8058;top:3180;height:318;width:1356;"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1</w:t>
                        </w:r>
                        <w:r>
                          <w:rPr>
                            <w:rFonts w:hint="eastAsia" w:ascii="宋体" w:hAnsi="宋体"/>
                            <w:color w:val="000000"/>
                          </w:rPr>
                          <w:t>-COOH</w:t>
                        </w:r>
                      </w:p>
                    </w:txbxContent>
                  </v:textbox>
                </v:shape>
              </v:group>
            </w:pict>
          </mc:Fallback>
        </mc:AlternateContent>
      </w:r>
      <w:r>
        <w:rPr>
          <w:position w:val="-3"/>
          <w:szCs w:val="28"/>
        </w:rPr>
        <mc:AlternateContent>
          <mc:Choice Requires="wpg">
            <w:drawing>
              <wp:anchor distT="0" distB="0" distL="114300" distR="114300" simplePos="0" relativeHeight="251661312" behindDoc="0" locked="0" layoutInCell="1" allowOverlap="1">
                <wp:simplePos x="0" y="0"/>
                <wp:positionH relativeFrom="column">
                  <wp:posOffset>2990850</wp:posOffset>
                </wp:positionH>
                <wp:positionV relativeFrom="paragraph">
                  <wp:posOffset>166370</wp:posOffset>
                </wp:positionV>
                <wp:extent cx="861060" cy="1337310"/>
                <wp:effectExtent l="0" t="0" r="0" b="0"/>
                <wp:wrapNone/>
                <wp:docPr id="66" name="组合 66"/>
                <wp:cNvGraphicFramePr/>
                <a:graphic xmlns:a="http://schemas.openxmlformats.org/drawingml/2006/main">
                  <a:graphicData uri="http://schemas.microsoft.com/office/word/2010/wordprocessingGroup">
                    <wpg:wgp>
                      <wpg:cNvGrpSpPr/>
                      <wpg:grpSpPr>
                        <a:xfrm>
                          <a:off x="0" y="0"/>
                          <a:ext cx="861060" cy="1337310"/>
                          <a:chOff x="6148" y="8930"/>
                          <a:chExt cx="1356" cy="1717"/>
                        </a:xfrm>
                      </wpg:grpSpPr>
                      <wps:wsp>
                        <wps:cNvPr id="67" name="文本框 52"/>
                        <wps:cNvSpPr txBox="1"/>
                        <wps:spPr>
                          <a:xfrm>
                            <a:off x="6148" y="1032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wps:txbx>
                        <wps:bodyPr lIns="0" tIns="0" rIns="0" bIns="0" upright="1"/>
                      </wps:wsp>
                      <wpg:grpSp>
                        <wpg:cNvPr id="68" name="组合 59"/>
                        <wpg:cNvGrpSpPr/>
                        <wpg:grpSpPr>
                          <a:xfrm>
                            <a:off x="6148" y="8930"/>
                            <a:ext cx="1356" cy="1442"/>
                            <a:chOff x="6148" y="8930"/>
                            <a:chExt cx="1356" cy="1442"/>
                          </a:xfrm>
                        </wpg:grpSpPr>
                        <wpg:grpSp>
                          <wpg:cNvPr id="69" name="组合 55"/>
                          <wpg:cNvGrpSpPr/>
                          <wpg:grpSpPr>
                            <a:xfrm>
                              <a:off x="6148" y="8930"/>
                              <a:ext cx="1356" cy="707"/>
                              <a:chOff x="6148" y="8930"/>
                              <a:chExt cx="1356" cy="707"/>
                            </a:xfrm>
                          </wpg:grpSpPr>
                          <wps:wsp>
                            <wps:cNvPr id="70" name="文本框 53"/>
                            <wps:cNvSpPr txBox="1"/>
                            <wps:spPr>
                              <a:xfrm>
                                <a:off x="6148" y="8930"/>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wps:txbx>
                            <wps:bodyPr lIns="0" tIns="0" rIns="0" bIns="0" upright="1"/>
                          </wps:wsp>
                          <wps:wsp>
                            <wps:cNvPr id="71" name="直接连接符 54"/>
                            <wps:cNvCnPr/>
                            <wps:spPr>
                              <a:xfrm>
                                <a:off x="6210" y="9240"/>
                                <a:ext cx="0" cy="397"/>
                              </a:xfrm>
                              <a:prstGeom prst="line">
                                <a:avLst/>
                              </a:prstGeom>
                              <a:ln w="9525" cap="flat" cmpd="sng">
                                <a:solidFill>
                                  <a:srgbClr val="000000"/>
                                </a:solidFill>
                                <a:prstDash val="solid"/>
                                <a:headEnd type="none" w="med" len="med"/>
                                <a:tailEnd type="none" w="med" len="med"/>
                              </a:ln>
                            </wps:spPr>
                            <wps:bodyPr upright="1"/>
                          </wps:wsp>
                        </wpg:grpSp>
                        <wpg:grpSp>
                          <wpg:cNvPr id="72" name="组合 58"/>
                          <wpg:cNvGrpSpPr/>
                          <wpg:grpSpPr>
                            <a:xfrm>
                              <a:off x="6148" y="9600"/>
                              <a:ext cx="1356" cy="772"/>
                              <a:chOff x="6148" y="9600"/>
                              <a:chExt cx="1356" cy="772"/>
                            </a:xfrm>
                          </wpg:grpSpPr>
                          <wps:wsp>
                            <wps:cNvPr id="73" name="文本框 56"/>
                            <wps:cNvSpPr txBox="1"/>
                            <wps:spPr>
                              <a:xfrm>
                                <a:off x="6148" y="9600"/>
                                <a:ext cx="1356" cy="318"/>
                              </a:xfrm>
                              <a:prstGeom prst="rect">
                                <a:avLst/>
                              </a:prstGeom>
                              <a:noFill/>
                              <a:ln>
                                <a:noFill/>
                              </a:ln>
                            </wps:spPr>
                            <wps:txbx>
                              <w:txbxContent>
                                <w:p>
                                  <w:pPr>
                                    <w:rPr>
                                      <w:rFonts w:hint="eastAsia" w:ascii="宋体" w:hAnsi="宋体"/>
                                    </w:rPr>
                                  </w:pPr>
                                  <w:r>
                                    <w:rPr>
                                      <w:rFonts w:hint="eastAsia" w:ascii="宋体" w:hAnsi="宋体"/>
                                    </w:rPr>
                                    <w:t>CH-OH   + +</w:t>
                                  </w:r>
                                </w:p>
                              </w:txbxContent>
                            </wps:txbx>
                            <wps:bodyPr lIns="0" tIns="0" rIns="0" bIns="0" upright="1"/>
                          </wps:wsp>
                          <wps:wsp>
                            <wps:cNvPr id="74" name="直接连接符 57"/>
                            <wps:cNvCnPr/>
                            <wps:spPr>
                              <a:xfrm>
                                <a:off x="6220" y="9910"/>
                                <a:ext cx="0" cy="462"/>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235.5pt;margin-top:13.1pt;height:105.3pt;width:67.8pt;z-index:251661312;mso-width-relative:page;mso-height-relative:page;" coordorigin="6148,8930" coordsize="1356,1717" o:gfxdata="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D9bcdTaAAAACgEAAA8AAAAAAAAAAQAgAAAAIgAAAGRycy9kb3ducmV2LnhtbFBL&#10;AQIUABQAAAAIAIdO4kCaPfzkvAMAAIgPAAAOAAAAAAAAAAEAIAAAACkBAABkcnMvZTJvRG9jLnht&#10;bFBLBQYAAAAABgAGAFkBAABXBwAAAAA=&#10;">
                <o:lock v:ext="edit" aspectratio="f"/>
                <v:shape id="文本框 52" o:spid="_x0000_s1026" o:spt="202" type="#_x0000_t202" style="position:absolute;left:6148;top:10329;height:318;width:1356;"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v:textbox>
                </v:shape>
                <v:group id="组合 59" o:spid="_x0000_s1026" o:spt="203" style="position:absolute;left:6148;top:8930;height:1442;width:1356;" coordorigin="6148,8930" coordsize="1356,144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55" o:spid="_x0000_s1026" o:spt="203" style="position:absolute;left:6148;top:8930;height:707;width:1356;" coordorigin="6148,8930" coordsize="1356,70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文本框 53" o:spid="_x0000_s1026" o:spt="202" type="#_x0000_t202" style="position:absolute;left:6148;top:8930;height:318;width:1356;"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v:textbox>
                    </v:shape>
                    <v:line id="直接连接符 54" o:spid="_x0000_s1026" o:spt="20" style="position:absolute;left:6210;top:9240;height:397;width:0;"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58" o:spid="_x0000_s1026" o:spt="203" style="position:absolute;left:6148;top:9600;height:772;width:1356;" coordorigin="6148,9600" coordsize="1356,77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文本框 56" o:spid="_x0000_s1026" o:spt="202" type="#_x0000_t202" style="position:absolute;left:6148;top:9600;height:318;width:1356;"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CH-OH   + +</w:t>
                            </w:r>
                          </w:p>
                        </w:txbxContent>
                      </v:textbox>
                    </v:shape>
                    <v:line id="直接连接符 57" o:spid="_x0000_s1026" o:spt="20" style="position:absolute;left:6220;top:9910;height:462;width: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w:pict>
          </mc:Fallback>
        </mc:AlternateContent>
      </w:r>
    </w:p>
    <w:p>
      <w:pPr>
        <w:spacing w:line="480" w:lineRule="exact"/>
        <w:ind w:firstLine="480"/>
        <w:rPr>
          <w:szCs w:val="28"/>
        </w:rPr>
      </w:pPr>
      <w:r>
        <w:rPr>
          <w:szCs w:val="28"/>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294640</wp:posOffset>
                </wp:positionV>
                <wp:extent cx="753110" cy="29718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753110" cy="297180"/>
                        </a:xfrm>
                        <a:prstGeom prst="rect">
                          <a:avLst/>
                        </a:prstGeom>
                        <a:noFill/>
                        <a:ln>
                          <a:noFill/>
                        </a:ln>
                      </wps:spPr>
                      <wps:txbx>
                        <w:txbxContent>
                          <w:p>
                            <w:pPr>
                              <w:rPr>
                                <w:rFonts w:hint="eastAsia" w:ascii="宋体" w:hAnsi="宋体"/>
                              </w:rPr>
                            </w:pPr>
                            <w:r>
                              <w:rPr>
                                <w:rFonts w:hint="eastAsia" w:ascii="宋体" w:hAnsi="宋体"/>
                              </w:rPr>
                              <w:t>+   3H</w:t>
                            </w:r>
                            <w:r>
                              <w:rPr>
                                <w:rFonts w:hint="eastAsia" w:ascii="宋体" w:hAnsi="宋体"/>
                                <w:vertAlign w:val="subscript"/>
                              </w:rPr>
                              <w:t>2</w:t>
                            </w:r>
                            <w:r>
                              <w:rPr>
                                <w:rFonts w:hint="eastAsia" w:ascii="宋体" w:hAnsi="宋体"/>
                              </w:rPr>
                              <w:t>O</w:t>
                            </w:r>
                          </w:p>
                        </w:txbxContent>
                      </wps:txbx>
                      <wps:bodyPr lIns="0" tIns="0" rIns="0" bIns="0" upright="1"/>
                    </wps:wsp>
                  </a:graphicData>
                </a:graphic>
              </wp:anchor>
            </w:drawing>
          </mc:Choice>
          <mc:Fallback>
            <w:pict>
              <v:shape id="_x0000_s1026" o:spid="_x0000_s1026" o:spt="202" type="#_x0000_t202" style="position:absolute;left:0pt;margin-left:117pt;margin-top:23.2pt;height:23.4pt;width:59.3pt;z-index:251660288;mso-width-relative:page;mso-height-relative:page;" filled="f" stroked="f" coordsize="21600,21600" o:gfxdata="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aE+ZjZAAAACQEAAA8AAAAAAAAAAQAgAAAAIgAAAGRycy9kb3ducmV2LnhtbFBL&#10;AQIUABQAAAAIAIdO4kCpzA0rvAEAAHMDAAAOAAAAAAAAAAEAIAAAACgBAABkcnMvZTJvRG9jLnht&#10;bFBLBQYAAAAABgAGAFkBAABWBQAAAAA=&#10;">
                <v:fill on="f" focussize="0,0"/>
                <v:stroke on="f"/>
                <v:imagedata o:title=""/>
                <o:lock v:ext="edit" aspectratio="f"/>
                <v:textbox inset="0mm,0mm,0mm,0mm">
                  <w:txbxContent>
                    <w:p>
                      <w:pPr>
                        <w:rPr>
                          <w:rFonts w:hint="eastAsia" w:ascii="宋体" w:hAnsi="宋体"/>
                        </w:rPr>
                      </w:pPr>
                      <w:r>
                        <w:rPr>
                          <w:rFonts w:hint="eastAsia" w:ascii="宋体" w:hAnsi="宋体"/>
                        </w:rPr>
                        <w:t>+   3H</w:t>
                      </w:r>
                      <w:r>
                        <w:rPr>
                          <w:rFonts w:hint="eastAsia" w:ascii="宋体" w:hAnsi="宋体"/>
                          <w:vertAlign w:val="subscript"/>
                        </w:rPr>
                        <w:t>2</w:t>
                      </w:r>
                      <w:r>
                        <w:rPr>
                          <w:rFonts w:hint="eastAsia" w:ascii="宋体" w:hAnsi="宋体"/>
                        </w:rPr>
                        <w:t>O</w:t>
                      </w:r>
                    </w:p>
                  </w:txbxContent>
                </v:textbox>
              </v:shape>
            </w:pict>
          </mc:Fallback>
        </mc:AlternateContent>
      </w:r>
    </w:p>
    <w:p>
      <w:pPr>
        <w:spacing w:line="480" w:lineRule="exact"/>
        <w:ind w:firstLine="480"/>
        <w:rPr>
          <w:szCs w:val="28"/>
        </w:rPr>
      </w:pPr>
      <w:r>
        <w:rPr>
          <w:szCs w:val="28"/>
        </w:rPr>
        <mc:AlternateContent>
          <mc:Choice Requires="wps">
            <w:drawing>
              <wp:anchor distT="0" distB="0" distL="114300" distR="114300" simplePos="0" relativeHeight="251662336" behindDoc="0" locked="0" layoutInCell="1" allowOverlap="1">
                <wp:simplePos x="0" y="0"/>
                <wp:positionH relativeFrom="column">
                  <wp:posOffset>2274570</wp:posOffset>
                </wp:positionH>
                <wp:positionV relativeFrom="paragraph">
                  <wp:posOffset>129540</wp:posOffset>
                </wp:positionV>
                <wp:extent cx="571500" cy="0"/>
                <wp:effectExtent l="0" t="25400" r="0" b="25400"/>
                <wp:wrapNone/>
                <wp:docPr id="76" name="直接连接符 76"/>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79.1pt;margin-top:10.2pt;height:0pt;width:45pt;z-index:251662336;mso-width-relative:page;mso-height-relative:page;" filled="f" stroked="t" coordsize="21600,21600" o:gfxdata="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A/hD2AAAAAkBAAAPAAAAAAAAAAEAIAAAACIAAABkcnMvZG93&#10;bnJldi54bWxQSwECFAAUAAAACACHTuJAMYQckAACAADnAwAADgAAAAAAAAABACAAAAAnAQAAZHJz&#10;L2Uyb0RvYy54bWxQSwUGAAAAAAYABgBZAQAAmQUAAAAA&#10;">
                <v:fill on="f" focussize="0,0"/>
                <v:stroke color="#000000" joinstyle="round" endarrow="block" endarrowwidth="narrow" endarrowlength="long"/>
                <v:imagedata o:title=""/>
                <o:lock v:ext="edit" aspectratio="f"/>
              </v:line>
            </w:pict>
          </mc:Fallback>
        </mc:AlternateContent>
      </w:r>
    </w:p>
    <w:p>
      <w:pPr>
        <w:pStyle w:val="6"/>
        <w:spacing w:line="480" w:lineRule="exact"/>
        <w:ind w:firstLine="480"/>
        <w:rPr>
          <w:position w:val="-3"/>
          <w:szCs w:val="28"/>
        </w:rPr>
      </w:pPr>
    </w:p>
    <w:p>
      <w:pPr>
        <w:pStyle w:val="6"/>
        <w:spacing w:line="480" w:lineRule="exact"/>
        <w:ind w:firstLine="480"/>
        <w:rPr>
          <w:position w:val="-3"/>
          <w:szCs w:val="28"/>
        </w:rPr>
      </w:pPr>
    </w:p>
    <w:p>
      <w:pPr>
        <w:spacing w:line="480" w:lineRule="exact"/>
        <w:ind w:left="84" w:leftChars="40" w:right="105" w:rightChars="50" w:firstLine="315" w:firstLineChars="150"/>
        <w:rPr>
          <w:rFonts w:hint="eastAsia" w:ascii="宋体" w:hAnsi="宋体" w:cs="宋体"/>
          <w:bCs/>
          <w:szCs w:val="28"/>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②氢化</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在一定条件下，通过加氢，将棕榈油中的不饱和脂肪酸全部转变成饱和脂肪酸的氢化工艺。使其氢化后性质稳定，不易变质，便于储运输。同时提高油脂的熔点，可用于制造肥皂和硬脂酸。</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棕榈油经泵、热交换器加热后（70～80℃；常压）进入脱气罐，脱气罐采用低压蒸汽加热（100℃；-0.03MPa），经闪蒸干燥（去除含有的少量水份）后经泵输送由底部的分布环进入加氢反应塔。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人工称量后按比例先向反应塔内加入一定量的镍（催化剂），氢气（纯度为99.9%）由AP公司经管道输送至加氢装置区进行生产。AP公司供应的氢气最大流量为1200m3/h，供氢管道管径为40mm，供氢压力为4.0Mpa。氢化反应为间隙式放热反应，现有项目每批次氢化釜内的反应压力均略有不同，在0.7Mpa -2.0Mpa范围内变化，在温度为190～210℃的条件下反应，生成饱和脂肪酸。脂肪酸和原料脂肪物换热冷却后再经工艺水冷却后进行过滤，过滤、冷却后的产品存储于储罐内。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③甘油提纯</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甜水（粗甘油）由塔底部输出，也要通过正压蒸发后进入静置分离器分离出里面的脂肪物。利用真空的负压作用，静置分离器里面的甜水被吸到蒸发器进行负压蒸发，进一步脱出水分，然后被输送到车间外的甜水罐。甜水中含有一些不溶性的油脂、胶质和磷脂等，通过加入盐酸，在酸性条件下（pH2～3）分离除去油脂等物质。向分离后的粗甘油内加入氢氧化钠溶液（32﹪）调整pH至6～8，加入硫酸铝溶液（絮凝剂）并进行搅拌，再加入一定量的氢氧化钠溶液，调节pH至9左右，以保护下一工序设备不被酸性甜水所腐蚀，经压滤机压滤后得到约25%浓度的甜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甘油经二级蒸发器中蒸发（蒸汽加热：温度为82～83℃左右；压力为30kPa）进行浓缩，至浓度为80～90％后送至甘油蒸馏塔，在140～155℃、0.2kPa压力下蒸汽加热下真空蒸馏（去除甘油中的低分子：除臭工艺），蒸馏后的甘油经两个脱色塔（活性炭脱色：蒸汽加热至温度90℃；压力为0.4～0.5MPa）处理，即为成品甘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④脂肪酸提纯</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原理：从混合脂肪物中按要求把低熔点的脂肪酸剔除出来，以改善脂肪酸的质量。蒸馏主要获得稳定的色泽很亮的纯净的产品和来自裂解后不能被水解的剩余残留物质。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脂肪酸蒸馏含饱和脂肪酸蒸馏及不饱和脂肪酸蒸馏。比如从粗脂肪酸中生产出C12、C14、C16、C18的物质，首先蒸馏出C6、C8、C10、C14，再分馏出C16～C18脂肪酸。蒸馏过程中，项目采用控制温度和真空度的方法控制精馏的脂肪酸产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粗脂肪酸经泵、热交换器加热后（70～80℃；常压）进入脱气罐，脱气罐采用低压蒸汽加热（100℃；-0.03MPa），经闪蒸干燥（去除含有的少量水份）后经泵输送由蒸馏塔的中部进入四级蒸馏塔（导热油供热）。一级蒸馏塔在压力为-4kPa、温度为200℃左右进行精馏，沸点最低的分馏脂肪酸经换热器冷却后存储于分馏脂肪酸储罐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二级精馏塔内压力为-3.5kPa、温度为220℃左右，沸点较低的分馏脂肪酸经换热器冷却后存储于分馏脂肪酸储罐内。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三级精馏塔内压力为-3kPa、温度为230℃左右，沸点较高的分馏脂肪酸经换热器冷却后存储于分馏脂肪酸储罐内。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四级精馏塔内压力为-3kPa、温度为240℃左右，沸点最高的分馏脂肪酸经换热器冷却后存储于分馏脂肪酸储罐内。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四个精馏塔相连，精馏塔的底部的高沸点组分经泵输送至另一个精馏塔中，经导热油加热进行精馏，如此反复，经过四次精馏后的上部分馏的产物为精制蒸馏脂肪酸。精馏塔上部蒸馏的脂肪酸经冷却后分别存储于储罐内。精馏塔底部的高沸点残渣（含少量脂肪酸）经泵输送至储罐区作为副产品待出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部分精馏的饱和脂肪酸（储存于储罐内温度约70℃）经泵输送至皂粒车间容器中，常温、常压情况下，鼓风机鼓风对脂肪酸进行冷却，冷却后的温度约为20℃左右，脂肪酸冷却成固体颗粒，脂肪酸颗粒经浮动床筛选后，小颗粒脂肪酸经自动封装机直接包装，入库待售。大颗粒脂肪酸经蒸汽加热熔融后返回脂肪酸储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皂粒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棕榈油原料或水解后的不饱和油脂输送至皂粒车间，向其中加入一定量的氢氧化钠溶液进行中和反应，生成脂肪酸钠与甘油。具体反应方程式如下： </w:t>
      </w:r>
    </w:p>
    <w:p>
      <w:pPr>
        <w:keepNext w:val="0"/>
        <w:keepLines w:val="0"/>
        <w:pageBreakBefore w:val="0"/>
        <w:widowControl w:val="0"/>
        <w:kinsoku/>
        <w:wordWrap/>
        <w:overflowPunct/>
        <w:topLinePunct w:val="0"/>
        <w:autoSpaceDE/>
        <w:autoSpaceDN/>
        <w:bidi w:val="0"/>
        <w:adjustRightInd/>
        <w:snapToGrid/>
        <w:spacing w:line="360" w:lineRule="auto"/>
        <w:ind w:firstLine="428" w:firstLineChars="200"/>
        <w:jc w:val="both"/>
        <w:textAlignment w:val="auto"/>
        <w:rPr>
          <w:rFonts w:hint="eastAsia" w:ascii="Times New Roman" w:hAnsi="Times New Roman" w:eastAsia="宋体" w:cs="Times New Roman"/>
          <w:spacing w:val="-13"/>
          <w:sz w:val="24"/>
          <w:szCs w:val="24"/>
          <w:lang w:val="en-US" w:eastAsia="zh-CN"/>
        </w:rPr>
      </w:pPr>
      <w:r>
        <w:rPr>
          <w:rFonts w:hint="eastAsia" w:ascii="Times New Roman" w:hAnsi="Times New Roman" w:eastAsia="宋体" w:cs="Times New Roman"/>
          <w:spacing w:val="-13"/>
          <w:sz w:val="24"/>
          <w:szCs w:val="24"/>
          <w:lang w:val="en-US" w:eastAsia="zh-CN"/>
        </w:rPr>
        <mc:AlternateContent>
          <mc:Choice Requires="wpg">
            <w:drawing>
              <wp:anchor distT="0" distB="0" distL="114300" distR="114300" simplePos="0" relativeHeight="251666432" behindDoc="0" locked="0" layoutInCell="1" allowOverlap="1">
                <wp:simplePos x="0" y="0"/>
                <wp:positionH relativeFrom="column">
                  <wp:posOffset>2990850</wp:posOffset>
                </wp:positionH>
                <wp:positionV relativeFrom="paragraph">
                  <wp:posOffset>166370</wp:posOffset>
                </wp:positionV>
                <wp:extent cx="1042670" cy="1337310"/>
                <wp:effectExtent l="0" t="0" r="0" b="0"/>
                <wp:wrapNone/>
                <wp:docPr id="77" name="组合 77"/>
                <wp:cNvGraphicFramePr/>
                <a:graphic xmlns:a="http://schemas.openxmlformats.org/drawingml/2006/main">
                  <a:graphicData uri="http://schemas.microsoft.com/office/word/2010/wordprocessingGroup">
                    <wpg:wgp>
                      <wpg:cNvGrpSpPr/>
                      <wpg:grpSpPr>
                        <a:xfrm>
                          <a:off x="0" y="0"/>
                          <a:ext cx="1042670" cy="1337310"/>
                          <a:chOff x="6148" y="8930"/>
                          <a:chExt cx="1356" cy="1717"/>
                        </a:xfrm>
                      </wpg:grpSpPr>
                      <wps:wsp>
                        <wps:cNvPr id="78" name="文本框 43"/>
                        <wps:cNvSpPr txBox="1"/>
                        <wps:spPr>
                          <a:xfrm>
                            <a:off x="6148" y="1032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wps:txbx>
                        <wps:bodyPr lIns="0" tIns="0" rIns="0" bIns="0" upright="1"/>
                      </wps:wsp>
                      <wpg:grpSp>
                        <wpg:cNvPr id="79" name="组合 50"/>
                        <wpg:cNvGrpSpPr/>
                        <wpg:grpSpPr>
                          <a:xfrm>
                            <a:off x="6148" y="8930"/>
                            <a:ext cx="1356" cy="1442"/>
                            <a:chOff x="6148" y="8930"/>
                            <a:chExt cx="1356" cy="1442"/>
                          </a:xfrm>
                        </wpg:grpSpPr>
                        <wpg:grpSp>
                          <wpg:cNvPr id="80" name="组合 46"/>
                          <wpg:cNvGrpSpPr/>
                          <wpg:grpSpPr>
                            <a:xfrm>
                              <a:off x="6148" y="8930"/>
                              <a:ext cx="1356" cy="707"/>
                              <a:chOff x="6148" y="8930"/>
                              <a:chExt cx="1356" cy="707"/>
                            </a:xfrm>
                          </wpg:grpSpPr>
                          <wps:wsp>
                            <wps:cNvPr id="81" name="文本框 44"/>
                            <wps:cNvSpPr txBox="1"/>
                            <wps:spPr>
                              <a:xfrm>
                                <a:off x="6148" y="8930"/>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wps:txbx>
                            <wps:bodyPr lIns="0" tIns="0" rIns="0" bIns="0" upright="1"/>
                          </wps:wsp>
                          <wps:wsp>
                            <wps:cNvPr id="82" name="直接连接符 45"/>
                            <wps:cNvCnPr/>
                            <wps:spPr>
                              <a:xfrm>
                                <a:off x="6210" y="9240"/>
                                <a:ext cx="0" cy="397"/>
                              </a:xfrm>
                              <a:prstGeom prst="line">
                                <a:avLst/>
                              </a:prstGeom>
                              <a:ln w="9525" cap="flat" cmpd="sng">
                                <a:solidFill>
                                  <a:srgbClr val="000000"/>
                                </a:solidFill>
                                <a:prstDash val="solid"/>
                                <a:headEnd type="none" w="med" len="med"/>
                                <a:tailEnd type="none" w="med" len="med"/>
                              </a:ln>
                            </wps:spPr>
                            <wps:bodyPr upright="1"/>
                          </wps:wsp>
                        </wpg:grpSp>
                        <wpg:grpSp>
                          <wpg:cNvPr id="83" name="组合 49"/>
                          <wpg:cNvGrpSpPr/>
                          <wpg:grpSpPr>
                            <a:xfrm>
                              <a:off x="6148" y="9600"/>
                              <a:ext cx="1356" cy="772"/>
                              <a:chOff x="6148" y="9600"/>
                              <a:chExt cx="1356" cy="772"/>
                            </a:xfrm>
                          </wpg:grpSpPr>
                          <wps:wsp>
                            <wps:cNvPr id="84" name="文本框 47"/>
                            <wps:cNvSpPr txBox="1"/>
                            <wps:spPr>
                              <a:xfrm>
                                <a:off x="6148" y="9600"/>
                                <a:ext cx="1356" cy="318"/>
                              </a:xfrm>
                              <a:prstGeom prst="rect">
                                <a:avLst/>
                              </a:prstGeom>
                              <a:noFill/>
                              <a:ln>
                                <a:noFill/>
                              </a:ln>
                            </wps:spPr>
                            <wps:txbx>
                              <w:txbxContent>
                                <w:p>
                                  <w:pPr>
                                    <w:rPr>
                                      <w:rFonts w:hint="eastAsia" w:ascii="宋体" w:hAnsi="宋体"/>
                                    </w:rPr>
                                  </w:pPr>
                                  <w:r>
                                    <w:rPr>
                                      <w:rFonts w:hint="eastAsia" w:ascii="宋体" w:hAnsi="宋体"/>
                                    </w:rPr>
                                    <w:t>CH-OH    +</w:t>
                                  </w:r>
                                </w:p>
                              </w:txbxContent>
                            </wps:txbx>
                            <wps:bodyPr lIns="0" tIns="0" rIns="0" bIns="0" upright="1"/>
                          </wps:wsp>
                          <wps:wsp>
                            <wps:cNvPr id="85" name="直接连接符 48"/>
                            <wps:cNvCnPr/>
                            <wps:spPr>
                              <a:xfrm>
                                <a:off x="6220" y="9910"/>
                                <a:ext cx="0" cy="462"/>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235.5pt;margin-top:13.1pt;height:105.3pt;width:82.1pt;z-index:251666432;mso-width-relative:page;mso-height-relative:page;" coordorigin="6148,8930" coordsize="1356,1717" o:gfxdata="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P+EPM9sAAAAKAQAADwAAAAAAAAABACAAAAAiAAAAZHJzL2Rvd25yZXYueG1sUEsB&#10;AhQAFAAAAAgAh07iQBPrMiK6AwAAiQ8AAA4AAAAAAAAAAQAgAAAAKgEAAGRycy9lMm9Eb2MueG1s&#10;UEsFBgAAAAAGAAYAWQEAAFYHAAAAAA==&#10;">
                <o:lock v:ext="edit" aspectratio="f"/>
                <v:shape id="文本框 43" o:spid="_x0000_s1026" o:spt="202" type="#_x0000_t202" style="position:absolute;left:6148;top:10329;height:318;width:1356;"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v:textbox>
                </v:shape>
                <v:group id="组合 50" o:spid="_x0000_s1026" o:spt="203" style="position:absolute;left:6148;top:8930;height:1442;width:1356;" coordorigin="6148,8930" coordsize="1356,1442"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group id="组合 46" o:spid="_x0000_s1026" o:spt="203" style="position:absolute;left:6148;top:8930;height:707;width:1356;" coordorigin="6148,8930" coordsize="1356,707"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文本框 44" o:spid="_x0000_s1026" o:spt="202" type="#_x0000_t202" style="position:absolute;left:6148;top:8930;height:318;width:1356;"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-OH</w:t>
                            </w:r>
                          </w:p>
                        </w:txbxContent>
                      </v:textbox>
                    </v:shape>
                    <v:line id="直接连接符 45" o:spid="_x0000_s1026" o:spt="20" style="position:absolute;left:6210;top:9240;height:397;width: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9" o:spid="_x0000_s1026" o:spt="203" style="position:absolute;left:6148;top:9600;height:772;width:1356;" coordorigin="6148,9600" coordsize="1356,772"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文本框 47" o:spid="_x0000_s1026" o:spt="202" type="#_x0000_t202" style="position:absolute;left:6148;top:9600;height:318;width:1356;"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宋体" w:hAnsi="宋体"/>
                              </w:rPr>
                            </w:pPr>
                            <w:r>
                              <w:rPr>
                                <w:rFonts w:hint="eastAsia" w:ascii="宋体" w:hAnsi="宋体"/>
                              </w:rPr>
                              <w:t>CH-OH    +</w:t>
                            </w:r>
                          </w:p>
                        </w:txbxContent>
                      </v:textbox>
                    </v:shape>
                    <v:line id="直接连接符 48" o:spid="_x0000_s1026" o:spt="20" style="position:absolute;left:6220;top:9910;height:462;width: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w:pict>
          </mc:Fallback>
        </mc:AlternateContent>
      </w:r>
      <w:r>
        <w:rPr>
          <w:rFonts w:hint="eastAsia" w:ascii="Times New Roman" w:hAnsi="Times New Roman" w:eastAsia="宋体" w:cs="Times New Roman"/>
          <w:spacing w:val="-13"/>
          <w:sz w:val="24"/>
          <w:szCs w:val="24"/>
          <w:lang w:val="en-US" w:eastAsia="zh-CN"/>
        </w:rPr>
        <mc:AlternateContent>
          <mc:Choice Requires="wpg">
            <w:drawing>
              <wp:anchor distT="0" distB="0" distL="114300" distR="114300" simplePos="0" relativeHeight="251669504" behindDoc="0" locked="0" layoutInCell="1" allowOverlap="1">
                <wp:simplePos x="0" y="0"/>
                <wp:positionH relativeFrom="column">
                  <wp:posOffset>386715</wp:posOffset>
                </wp:positionH>
                <wp:positionV relativeFrom="paragraph">
                  <wp:posOffset>-63500</wp:posOffset>
                </wp:positionV>
                <wp:extent cx="1030605" cy="1548130"/>
                <wp:effectExtent l="0" t="0" r="0" b="0"/>
                <wp:wrapNone/>
                <wp:docPr id="88" name="组合 88"/>
                <wp:cNvGraphicFramePr/>
                <a:graphic xmlns:a="http://schemas.openxmlformats.org/drawingml/2006/main">
                  <a:graphicData uri="http://schemas.microsoft.com/office/word/2010/wordprocessingGroup">
                    <wpg:wgp>
                      <wpg:cNvGrpSpPr/>
                      <wpg:grpSpPr>
                        <a:xfrm>
                          <a:off x="0" y="0"/>
                          <a:ext cx="1030605" cy="1548130"/>
                          <a:chOff x="1908" y="8507"/>
                          <a:chExt cx="1356" cy="2119"/>
                        </a:xfrm>
                      </wpg:grpSpPr>
                      <wpg:grpSp>
                        <wpg:cNvPr id="86" name="组合 69"/>
                        <wpg:cNvGrpSpPr/>
                        <wpg:grpSpPr>
                          <a:xfrm>
                            <a:off x="1908" y="9177"/>
                            <a:ext cx="1356" cy="720"/>
                            <a:chOff x="1908" y="8507"/>
                            <a:chExt cx="1356" cy="720"/>
                          </a:xfrm>
                        </wpg:grpSpPr>
                        <wps:wsp>
                          <wps:cNvPr id="87" name="文本框 63"/>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2</w:t>
                                </w:r>
                              </w:p>
                            </w:txbxContent>
                          </wps:txbx>
                          <wps:bodyPr lIns="0" tIns="0" rIns="0" bIns="0" upright="1"/>
                        </wps:wsp>
                        <wpg:grpSp>
                          <wpg:cNvPr id="89" name="组合 68"/>
                          <wpg:cNvGrpSpPr/>
                          <wpg:grpSpPr>
                            <a:xfrm>
                              <a:off x="2562" y="8507"/>
                              <a:ext cx="302" cy="433"/>
                              <a:chOff x="2562" y="8507"/>
                              <a:chExt cx="302" cy="433"/>
                            </a:xfrm>
                          </wpg:grpSpPr>
                          <wps:wsp>
                            <wps:cNvPr id="90" name="文本框 64"/>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91" name="组合 67"/>
                            <wpg:cNvGrpSpPr/>
                            <wpg:grpSpPr>
                              <a:xfrm>
                                <a:off x="2580" y="8790"/>
                                <a:ext cx="67" cy="150"/>
                                <a:chOff x="3868" y="8858"/>
                                <a:chExt cx="67" cy="150"/>
                              </a:xfrm>
                            </wpg:grpSpPr>
                            <wps:wsp>
                              <wps:cNvPr id="92" name="直接连接符 65"/>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93" name="直接连接符 66"/>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g:grpSp>
                        <wpg:cNvPr id="94" name="组合 87"/>
                        <wpg:cNvGrpSpPr/>
                        <wpg:grpSpPr>
                          <a:xfrm>
                            <a:off x="1908" y="8507"/>
                            <a:ext cx="1356" cy="2119"/>
                            <a:chOff x="1908" y="8507"/>
                            <a:chExt cx="1356" cy="2119"/>
                          </a:xfrm>
                        </wpg:grpSpPr>
                        <wpg:grpSp>
                          <wpg:cNvPr id="95" name="组合 76"/>
                          <wpg:cNvGrpSpPr/>
                          <wpg:grpSpPr>
                            <a:xfrm>
                              <a:off x="1908" y="9906"/>
                              <a:ext cx="1356" cy="720"/>
                              <a:chOff x="1908" y="8507"/>
                              <a:chExt cx="1356" cy="720"/>
                            </a:xfrm>
                          </wpg:grpSpPr>
                          <wps:wsp>
                            <wps:cNvPr id="96" name="文本框 70"/>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3</w:t>
                                  </w:r>
                                </w:p>
                              </w:txbxContent>
                            </wps:txbx>
                            <wps:bodyPr lIns="0" tIns="0" rIns="0" bIns="0" upright="1"/>
                          </wps:wsp>
                          <wpg:grpSp>
                            <wpg:cNvPr id="97" name="组合 75"/>
                            <wpg:cNvGrpSpPr/>
                            <wpg:grpSpPr>
                              <a:xfrm>
                                <a:off x="2562" y="8507"/>
                                <a:ext cx="302" cy="433"/>
                                <a:chOff x="2562" y="8507"/>
                                <a:chExt cx="302" cy="433"/>
                              </a:xfrm>
                            </wpg:grpSpPr>
                            <wps:wsp>
                              <wps:cNvPr id="98" name="文本框 71"/>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99" name="组合 74"/>
                              <wpg:cNvGrpSpPr/>
                              <wpg:grpSpPr>
                                <a:xfrm>
                                  <a:off x="2580" y="8790"/>
                                  <a:ext cx="67" cy="150"/>
                                  <a:chOff x="3868" y="8858"/>
                                  <a:chExt cx="67" cy="150"/>
                                </a:xfrm>
                              </wpg:grpSpPr>
                              <wps:wsp>
                                <wps:cNvPr id="100" name="直接连接符 72"/>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101" name="直接连接符 73"/>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g:grpSp>
                          <wpg:cNvPr id="102" name="组合 86"/>
                          <wpg:cNvGrpSpPr/>
                          <wpg:grpSpPr>
                            <a:xfrm>
                              <a:off x="1908" y="8507"/>
                              <a:ext cx="1356" cy="1844"/>
                              <a:chOff x="1908" y="8507"/>
                              <a:chExt cx="1356" cy="1844"/>
                            </a:xfrm>
                          </wpg:grpSpPr>
                          <wpg:grpSp>
                            <wpg:cNvPr id="103" name="组合 83"/>
                            <wpg:cNvGrpSpPr/>
                            <wpg:grpSpPr>
                              <a:xfrm>
                                <a:off x="1908" y="8507"/>
                                <a:ext cx="1356" cy="720"/>
                                <a:chOff x="1908" y="8507"/>
                                <a:chExt cx="1356" cy="720"/>
                              </a:xfrm>
                            </wpg:grpSpPr>
                            <wps:wsp>
                              <wps:cNvPr id="104" name="文本框 77"/>
                              <wps:cNvSpPr txBox="1"/>
                              <wps:spPr>
                                <a:xfrm>
                                  <a:off x="1908" y="8909"/>
                                  <a:ext cx="1356" cy="318"/>
                                </a:xfrm>
                                <a:prstGeom prst="rect">
                                  <a:avLst/>
                                </a:prstGeom>
                                <a:noFill/>
                                <a:ln>
                                  <a:noFill/>
                                </a:ln>
                              </wps:spPr>
                              <wps:txbx>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1</w:t>
                                    </w:r>
                                  </w:p>
                                </w:txbxContent>
                              </wps:txbx>
                              <wps:bodyPr lIns="0" tIns="0" rIns="0" bIns="0" upright="1"/>
                            </wps:wsp>
                            <wpg:grpSp>
                              <wpg:cNvPr id="105" name="组合 82"/>
                              <wpg:cNvGrpSpPr/>
                              <wpg:grpSpPr>
                                <a:xfrm>
                                  <a:off x="2562" y="8507"/>
                                  <a:ext cx="302" cy="433"/>
                                  <a:chOff x="2562" y="8507"/>
                                  <a:chExt cx="302" cy="433"/>
                                </a:xfrm>
                              </wpg:grpSpPr>
                              <wps:wsp>
                                <wps:cNvPr id="106" name="文本框 78"/>
                                <wps:cNvSpPr txBox="1"/>
                                <wps:spPr>
                                  <a:xfrm>
                                    <a:off x="2562" y="8507"/>
                                    <a:ext cx="302" cy="267"/>
                                  </a:xfrm>
                                  <a:prstGeom prst="rect">
                                    <a:avLst/>
                                  </a:prstGeom>
                                  <a:noFill/>
                                  <a:ln>
                                    <a:noFill/>
                                  </a:ln>
                                </wps:spPr>
                                <wps:txbx>
                                  <w:txbxContent>
                                    <w:p>
                                      <w:pPr>
                                        <w:rPr>
                                          <w:rFonts w:hint="eastAsia" w:ascii="宋体" w:hAnsi="宋体"/>
                                        </w:rPr>
                                      </w:pPr>
                                      <w:r>
                                        <w:rPr>
                                          <w:rFonts w:hint="eastAsia" w:ascii="宋体" w:hAnsi="宋体"/>
                                        </w:rPr>
                                        <w:t>O</w:t>
                                      </w:r>
                                    </w:p>
                                  </w:txbxContent>
                                </wps:txbx>
                                <wps:bodyPr lIns="0" tIns="0" rIns="0" bIns="0" upright="1"/>
                              </wps:wsp>
                              <wpg:grpSp>
                                <wpg:cNvPr id="107" name="组合 81"/>
                                <wpg:cNvGrpSpPr/>
                                <wpg:grpSpPr>
                                  <a:xfrm>
                                    <a:off x="2580" y="8790"/>
                                    <a:ext cx="67" cy="150"/>
                                    <a:chOff x="3868" y="8858"/>
                                    <a:chExt cx="67" cy="150"/>
                                  </a:xfrm>
                                </wpg:grpSpPr>
                                <wps:wsp>
                                  <wps:cNvPr id="108" name="直接连接符 79"/>
                                  <wps:cNvCnPr/>
                                  <wps:spPr>
                                    <a:xfrm>
                                      <a:off x="3868" y="8858"/>
                                      <a:ext cx="0" cy="150"/>
                                    </a:xfrm>
                                    <a:prstGeom prst="line">
                                      <a:avLst/>
                                    </a:prstGeom>
                                    <a:ln w="9525" cap="flat" cmpd="sng">
                                      <a:solidFill>
                                        <a:srgbClr val="000000"/>
                                      </a:solidFill>
                                      <a:prstDash val="solid"/>
                                      <a:headEnd type="none" w="med" len="med"/>
                                      <a:tailEnd type="none" w="med" len="med"/>
                                    </a:ln>
                                  </wps:spPr>
                                  <wps:bodyPr upright="1"/>
                                </wps:wsp>
                                <wps:wsp>
                                  <wps:cNvPr id="109" name="直接连接符 80"/>
                                  <wps:cNvCnPr/>
                                  <wps:spPr>
                                    <a:xfrm>
                                      <a:off x="3935" y="8858"/>
                                      <a:ext cx="0" cy="150"/>
                                    </a:xfrm>
                                    <a:prstGeom prst="line">
                                      <a:avLst/>
                                    </a:prstGeom>
                                    <a:ln w="9525" cap="flat" cmpd="sng">
                                      <a:solidFill>
                                        <a:srgbClr val="000000"/>
                                      </a:solidFill>
                                      <a:prstDash val="solid"/>
                                      <a:headEnd type="none" w="med" len="med"/>
                                      <a:tailEnd type="none" w="med" len="med"/>
                                    </a:ln>
                                  </wps:spPr>
                                  <wps:bodyPr upright="1"/>
                                </wps:wsp>
                              </wpg:grpSp>
                            </wpg:grpSp>
                          </wpg:grpSp>
                          <wps:wsp>
                            <wps:cNvPr id="110" name="直接连接符 84"/>
                            <wps:cNvCnPr/>
                            <wps:spPr>
                              <a:xfrm>
                                <a:off x="1970" y="9219"/>
                                <a:ext cx="0" cy="397"/>
                              </a:xfrm>
                              <a:prstGeom prst="line">
                                <a:avLst/>
                              </a:prstGeom>
                              <a:ln w="9525" cap="flat" cmpd="sng">
                                <a:solidFill>
                                  <a:srgbClr val="000000"/>
                                </a:solidFill>
                                <a:prstDash val="solid"/>
                                <a:headEnd type="none" w="med" len="med"/>
                                <a:tailEnd type="none" w="med" len="med"/>
                              </a:ln>
                            </wps:spPr>
                            <wps:bodyPr upright="1"/>
                          </wps:wsp>
                          <wps:wsp>
                            <wps:cNvPr id="111" name="直接连接符 85"/>
                            <wps:cNvCnPr/>
                            <wps:spPr>
                              <a:xfrm>
                                <a:off x="1980" y="9889"/>
                                <a:ext cx="0" cy="462"/>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30.45pt;margin-top:-5pt;height:121.9pt;width:81.15pt;z-index:251669504;mso-width-relative:page;mso-height-relative:page;" coordorigin="1908,8507" coordsize="1356,2119" o:gfxdata="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AAAAABkcnMvUEsBAhQAFAAAAAgA&#10;h07iQE1QS1XaAAAACgEAAA8AAAAAAAAAAQAgAAAAIgAAAGRycy9kb3ducmV2LnhtbFBLAQIUABQA&#10;AAAIAIdO4kDuPjE6fgUAACcqAAAOAAAAAAAAAAEAIAAAACkBAABkcnMvZTJvRG9jLnhtbFBLBQYA&#10;AAAABgAGAFkBAAAZCQAAAAA=&#10;">
                <o:lock v:ext="edit" aspectratio="f"/>
                <v:group id="组合 69" o:spid="_x0000_s1026" o:spt="203" style="position:absolute;left:1908;top:9177;height:720;width:1356;" coordorigin="1908,8507" coordsize="1356,720"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63" o:spid="_x0000_s1026" o:spt="202" type="#_x0000_t202" style="position:absolute;left:1908;top:8909;height:318;width:1356;"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2</w:t>
                          </w:r>
                        </w:p>
                      </w:txbxContent>
                    </v:textbox>
                  </v:shape>
                  <v:group id="组合 68" o:spid="_x0000_s1026" o:spt="203" style="position:absolute;left:2562;top:8507;height:433;width:302;" coordorigin="2562,8507" coordsize="302,43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文本框 64" o:spid="_x0000_s1026" o:spt="202" type="#_x0000_t202" style="position:absolute;left:2562;top:8507;height:267;width:302;"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67" o:spid="_x0000_s1026" o:spt="203" style="position:absolute;left:2580;top:8790;height:150;width:67;" coordorigin="3868,8858" coordsize="67,15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line id="直接连接符 65" o:spid="_x0000_s1026" o:spt="20" style="position:absolute;left:3868;top:8858;height:150;width:0;"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3935;top:8858;height:150;width: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group id="组合 87" o:spid="_x0000_s1026" o:spt="203" style="position:absolute;left:1908;top:8507;height:2119;width:1356;" coordorigin="1908,8507" coordsize="1356,2119"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组合 76" o:spid="_x0000_s1026" o:spt="203" style="position:absolute;left:1908;top:9906;height:720;width:1356;" coordorigin="1908,8507" coordsize="1356,72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70" o:spid="_x0000_s1026" o:spt="202" type="#_x0000_t202" style="position:absolute;left:1908;top:8909;height:318;width:135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3</w:t>
                            </w:r>
                          </w:p>
                        </w:txbxContent>
                      </v:textbox>
                    </v:shape>
                    <v:group id="组合 75" o:spid="_x0000_s1026" o:spt="203" style="position:absolute;left:2562;top:8507;height:433;width:302;" coordorigin="2562,8507" coordsize="302,433"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文本框 71" o:spid="_x0000_s1026" o:spt="202" type="#_x0000_t202" style="position:absolute;left:2562;top:8507;height:267;width:302;"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74" o:spid="_x0000_s1026" o:spt="203" style="position:absolute;left:2580;top:8790;height:150;width:67;" coordorigin="3868,8858" coordsize="67,15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line id="直接连接符 72" o:spid="_x0000_s1026" o:spt="20" style="position:absolute;left:3868;top:8858;height:150;width:0;"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3" o:spid="_x0000_s1026" o:spt="20" style="position:absolute;left:3935;top:8858;height:150;width: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group id="组合 86" o:spid="_x0000_s1026" o:spt="203" style="position:absolute;left:1908;top:8507;height:1844;width:1356;" coordorigin="1908,8507" coordsize="1356,1844"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组合 83" o:spid="_x0000_s1026" o:spt="203" style="position:absolute;left:1908;top:8507;height:720;width:1356;" coordorigin="1908,8507" coordsize="1356,720"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文本框 77" o:spid="_x0000_s1026" o:spt="202" type="#_x0000_t202" style="position:absolute;left:1908;top:8909;height:318;width:1356;"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宋体" w:hAnsi="宋体"/>
                                </w:rPr>
                              </w:pPr>
                              <w:r>
                                <w:rPr>
                                  <w:rFonts w:hint="eastAsia" w:ascii="宋体" w:hAnsi="宋体"/>
                                </w:rPr>
                                <w:t>CH</w:t>
                              </w:r>
                              <w:r>
                                <w:rPr>
                                  <w:rFonts w:hint="eastAsia" w:ascii="宋体" w:hAnsi="宋体"/>
                                  <w:vertAlign w:val="subscript"/>
                                </w:rPr>
                                <w:t>2</w:t>
                              </w:r>
                              <w:r>
                                <w:rPr>
                                  <w:rFonts w:hint="eastAsia" w:ascii="宋体" w:hAnsi="宋体"/>
                                </w:rPr>
                                <w:t>-O-C-</w:t>
                              </w:r>
                              <w:r>
                                <w:rPr>
                                  <w:rFonts w:hint="eastAsia" w:ascii="宋体" w:hAnsi="宋体"/>
                                  <w:color w:val="000000"/>
                                </w:rPr>
                                <w:t>R</w:t>
                              </w:r>
                              <w:r>
                                <w:rPr>
                                  <w:rFonts w:hint="eastAsia" w:ascii="宋体" w:hAnsi="宋体"/>
                                  <w:color w:val="000000"/>
                                  <w:vertAlign w:val="subscript"/>
                                </w:rPr>
                                <w:t>1</w:t>
                              </w:r>
                            </w:p>
                          </w:txbxContent>
                        </v:textbox>
                      </v:shape>
                      <v:group id="组合 82" o:spid="_x0000_s1026" o:spt="203" style="position:absolute;left:2562;top:8507;height:433;width:302;" coordorigin="2562,8507" coordsize="302,433"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文本框 78" o:spid="_x0000_s1026" o:spt="202" type="#_x0000_t202" style="position:absolute;left:2562;top:8507;height:267;width:302;"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宋体" w:hAnsi="宋体"/>
                                  </w:rPr>
                                </w:pPr>
                                <w:r>
                                  <w:rPr>
                                    <w:rFonts w:hint="eastAsia" w:ascii="宋体" w:hAnsi="宋体"/>
                                  </w:rPr>
                                  <w:t>O</w:t>
                                </w:r>
                              </w:p>
                            </w:txbxContent>
                          </v:textbox>
                        </v:shape>
                        <v:group id="组合 81" o:spid="_x0000_s1026" o:spt="203" style="position:absolute;left:2580;top:8790;height:150;width:67;" coordorigin="3868,8858" coordsize="67,15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line id="直接连接符 79" o:spid="_x0000_s1026" o:spt="20" style="position:absolute;left:3868;top:8858;height:150;width: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0" o:spid="_x0000_s1026" o:spt="20" style="position:absolute;left:3935;top:8858;height:150;width:0;" filled="f" stroked="t" coordsize="21600,21600" o:gfxdata="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zC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v:line id="直接连接符 84" o:spid="_x0000_s1026" o:spt="20" style="position:absolute;left:1970;top:9219;height:397;width: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5" o:spid="_x0000_s1026" o:spt="20" style="position:absolute;left:1980;top:9889;height:462;width: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w:pict>
          </mc:Fallback>
        </mc:AlternateContent>
      </w:r>
      <w:r>
        <w:rPr>
          <w:rFonts w:hint="eastAsia" w:ascii="Times New Roman" w:hAnsi="Times New Roman" w:eastAsia="宋体" w:cs="Times New Roman"/>
          <w:spacing w:val="-13"/>
          <w:sz w:val="24"/>
          <w:szCs w:val="24"/>
          <w:lang w:val="en-US" w:eastAsia="zh-CN"/>
        </w:rPr>
        <mc:AlternateContent>
          <mc:Choice Requires="wpg">
            <w:drawing>
              <wp:anchor distT="0" distB="0" distL="114300" distR="114300" simplePos="0" relativeHeight="251668480" behindDoc="0" locked="0" layoutInCell="1" allowOverlap="1">
                <wp:simplePos x="0" y="0"/>
                <wp:positionH relativeFrom="column">
                  <wp:posOffset>4160520</wp:posOffset>
                </wp:positionH>
                <wp:positionV relativeFrom="paragraph">
                  <wp:posOffset>166370</wp:posOffset>
                </wp:positionV>
                <wp:extent cx="861060" cy="1341120"/>
                <wp:effectExtent l="0" t="0" r="0" b="0"/>
                <wp:wrapNone/>
                <wp:docPr id="112" name="组合 112"/>
                <wp:cNvGraphicFramePr/>
                <a:graphic xmlns:a="http://schemas.openxmlformats.org/drawingml/2006/main">
                  <a:graphicData uri="http://schemas.microsoft.com/office/word/2010/wordprocessingGroup">
                    <wpg:wgp>
                      <wpg:cNvGrpSpPr/>
                      <wpg:grpSpPr>
                        <a:xfrm>
                          <a:off x="0" y="0"/>
                          <a:ext cx="861060" cy="1341120"/>
                          <a:chOff x="8058" y="3180"/>
                          <a:chExt cx="1356" cy="1717"/>
                        </a:xfrm>
                      </wpg:grpSpPr>
                      <wps:wsp>
                        <wps:cNvPr id="113" name="文本框 93"/>
                        <wps:cNvSpPr txBox="1"/>
                        <wps:spPr>
                          <a:xfrm>
                            <a:off x="8058" y="4579"/>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3</w:t>
                              </w:r>
                              <w:r>
                                <w:rPr>
                                  <w:rFonts w:hint="eastAsia" w:ascii="宋体" w:hAnsi="宋体"/>
                                  <w:color w:val="000000"/>
                                </w:rPr>
                                <w:t>-COONa</w:t>
                              </w:r>
                            </w:p>
                          </w:txbxContent>
                        </wps:txbx>
                        <wps:bodyPr lIns="0" tIns="0" rIns="0" bIns="0" upright="1"/>
                      </wps:wsp>
                      <wps:wsp>
                        <wps:cNvPr id="114" name="文本框 94"/>
                        <wps:cNvSpPr txBox="1"/>
                        <wps:spPr>
                          <a:xfrm>
                            <a:off x="8058" y="3850"/>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2</w:t>
                              </w:r>
                              <w:r>
                                <w:rPr>
                                  <w:rFonts w:hint="eastAsia" w:ascii="宋体" w:hAnsi="宋体"/>
                                  <w:color w:val="000000"/>
                                </w:rPr>
                                <w:t>-COONa</w:t>
                              </w:r>
                            </w:p>
                          </w:txbxContent>
                        </wps:txbx>
                        <wps:bodyPr lIns="0" tIns="0" rIns="0" bIns="0" upright="1"/>
                      </wps:wsp>
                      <wps:wsp>
                        <wps:cNvPr id="115" name="文本框 95"/>
                        <wps:cNvSpPr txBox="1"/>
                        <wps:spPr>
                          <a:xfrm>
                            <a:off x="8058" y="3180"/>
                            <a:ext cx="1356" cy="318"/>
                          </a:xfrm>
                          <a:prstGeom prst="rect">
                            <a:avLst/>
                          </a:prstGeom>
                          <a:noFill/>
                          <a:ln>
                            <a:noFill/>
                          </a:ln>
                        </wps:spPr>
                        <wps:txbx>
                          <w:txbxContent>
                            <w:p>
                              <w:pPr>
                                <w:rPr>
                                  <w:rFonts w:hint="eastAsia" w:ascii="宋体" w:hAnsi="宋体"/>
                                </w:rPr>
                              </w:pPr>
                              <w:r>
                                <w:rPr>
                                  <w:rFonts w:hint="eastAsia" w:ascii="宋体" w:hAnsi="宋体"/>
                                  <w:color w:val="000000"/>
                                </w:rPr>
                                <w:t>R</w:t>
                              </w:r>
                              <w:r>
                                <w:rPr>
                                  <w:rFonts w:hint="eastAsia" w:ascii="宋体" w:hAnsi="宋体"/>
                                  <w:color w:val="000000"/>
                                  <w:vertAlign w:val="subscript"/>
                                </w:rPr>
                                <w:t>1</w:t>
                              </w:r>
                              <w:r>
                                <w:rPr>
                                  <w:rFonts w:hint="eastAsia" w:ascii="宋体" w:hAnsi="宋体"/>
                                  <w:color w:val="000000"/>
                                </w:rPr>
                                <w:t>-COONa</w:t>
                              </w:r>
                            </w:p>
                          </w:txbxContent>
                        </wps:txbx>
                        <wps:bodyPr lIns="0" tIns="0" rIns="0" bIns="0" upright="1"/>
                      </wps:wsp>
                    </wpg:wgp>
                  </a:graphicData>
                </a:graphic>
              </wp:anchor>
            </w:drawing>
          </mc:Choice>
          <mc:Fallback>
            <w:pict>
              <v:group id="_x0000_s1026" o:spid="_x0000_s1026" o:spt="203" style="position:absolute;left:0pt;margin-left:327.6pt;margin-top:13.1pt;height:105.6pt;width:67.8pt;z-index:251668480;mso-width-relative:page;mso-height-relative:page;" coordorigin="8058,3180" coordsize="1356,1717" o:gfxdata="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osfT2wAAAAoBAAAPAAAAAAAAAAEAIAAAACIAAABkcnMvZG93bnJldi54bWxQSwECFAAU&#10;AAAACACHTuJAKrR6/WACAADXBwAADgAAAAAAAAABACAAAAAqAQAAZHJzL2Uyb0RvYy54bWxQSwUG&#10;AAAAAAYABgBZAQAA/AUAAAAA&#10;">
                <o:lock v:ext="edit" aspectratio="f"/>
                <v:shape id="文本框 93" o:spid="_x0000_s1026" o:spt="202" type="#_x0000_t202" style="position:absolute;left:8058;top:4579;height:318;width:1356;"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3</w:t>
                        </w:r>
                        <w:r>
                          <w:rPr>
                            <w:rFonts w:hint="eastAsia" w:ascii="宋体" w:hAnsi="宋体"/>
                            <w:color w:val="000000"/>
                          </w:rPr>
                          <w:t>-COONa</w:t>
                        </w:r>
                      </w:p>
                    </w:txbxContent>
                  </v:textbox>
                </v:shape>
                <v:shape id="文本框 94" o:spid="_x0000_s1026" o:spt="202" type="#_x0000_t202" style="position:absolute;left:8058;top:3850;height:318;width:135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2</w:t>
                        </w:r>
                        <w:r>
                          <w:rPr>
                            <w:rFonts w:hint="eastAsia" w:ascii="宋体" w:hAnsi="宋体"/>
                            <w:color w:val="000000"/>
                          </w:rPr>
                          <w:t>-COONa</w:t>
                        </w:r>
                      </w:p>
                    </w:txbxContent>
                  </v:textbox>
                </v:shape>
                <v:shape id="文本框 95" o:spid="_x0000_s1026" o:spt="202" type="#_x0000_t202" style="position:absolute;left:8058;top:3180;height:318;width:1356;"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宋体" w:hAnsi="宋体"/>
                          </w:rPr>
                        </w:pPr>
                        <w:r>
                          <w:rPr>
                            <w:rFonts w:hint="eastAsia" w:ascii="宋体" w:hAnsi="宋体"/>
                            <w:color w:val="000000"/>
                          </w:rPr>
                          <w:t>R</w:t>
                        </w:r>
                        <w:r>
                          <w:rPr>
                            <w:rFonts w:hint="eastAsia" w:ascii="宋体" w:hAnsi="宋体"/>
                            <w:color w:val="000000"/>
                            <w:vertAlign w:val="subscript"/>
                          </w:rPr>
                          <w:t>1</w:t>
                        </w:r>
                        <w:r>
                          <w:rPr>
                            <w:rFonts w:hint="eastAsia" w:ascii="宋体" w:hAnsi="宋体"/>
                            <w:color w:val="000000"/>
                          </w:rPr>
                          <w:t>-COONa</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8" w:firstLineChars="200"/>
        <w:jc w:val="both"/>
        <w:textAlignment w:val="auto"/>
        <w:rPr>
          <w:rFonts w:hint="eastAsia" w:ascii="Times New Roman" w:hAnsi="Times New Roman" w:eastAsia="宋体" w:cs="Times New Roman"/>
          <w:spacing w:val="-13"/>
          <w:sz w:val="24"/>
          <w:szCs w:val="24"/>
          <w:lang w:val="en-US" w:eastAsia="zh-CN"/>
        </w:rPr>
      </w:pPr>
      <w:r>
        <w:rPr>
          <w:rFonts w:hint="eastAsia" w:ascii="Times New Roman" w:hAnsi="Times New Roman" w:eastAsia="宋体" w:cs="Times New Roman"/>
          <w:spacing w:val="-13"/>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294640</wp:posOffset>
                </wp:positionV>
                <wp:extent cx="753110" cy="29718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53110" cy="297180"/>
                        </a:xfrm>
                        <a:prstGeom prst="rect">
                          <a:avLst/>
                        </a:prstGeom>
                        <a:noFill/>
                        <a:ln>
                          <a:noFill/>
                        </a:ln>
                      </wps:spPr>
                      <wps:txbx>
                        <w:txbxContent>
                          <w:p>
                            <w:pPr>
                              <w:rPr>
                                <w:rFonts w:hint="eastAsia" w:ascii="宋体" w:hAnsi="宋体"/>
                              </w:rPr>
                            </w:pPr>
                            <w:r>
                              <w:rPr>
                                <w:rFonts w:hint="eastAsia" w:ascii="宋体" w:hAnsi="宋体"/>
                              </w:rPr>
                              <w:t>+ 3</w:t>
                            </w:r>
                            <w:r>
                              <w:rPr>
                                <w:rFonts w:ascii="宋体"/>
                              </w:rPr>
                              <w:t>NaOH</w:t>
                            </w:r>
                          </w:p>
                        </w:txbxContent>
                      </wps:txbx>
                      <wps:bodyPr lIns="0" tIns="0" rIns="0" bIns="0" upright="1"/>
                    </wps:wsp>
                  </a:graphicData>
                </a:graphic>
              </wp:anchor>
            </w:drawing>
          </mc:Choice>
          <mc:Fallback>
            <w:pict>
              <v:shape id="_x0000_s1026" o:spid="_x0000_s1026" o:spt="202" type="#_x0000_t202" style="position:absolute;left:0pt;margin-left:117pt;margin-top:23.2pt;height:23.4pt;width:59.3pt;z-index:251665408;mso-width-relative:page;mso-height-relative:page;" filled="f" stroked="f" coordsize="21600,21600" o:gfxdata="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oT5mNkAAAAJAQAADwAAAAAAAAABACAAAAAiAAAAZHJzL2Rvd25yZXYueG1sUEsB&#10;AhQAFAAAAAgAh07iQKQBweS7AQAAdQMAAA4AAAAAAAAAAQAgAAAAKAEAAGRycy9lMm9Eb2MueG1s&#10;UEsFBgAAAAAGAAYAWQEAAFUFAAAAAA==&#10;">
                <v:fill on="f" focussize="0,0"/>
                <v:stroke on="f"/>
                <v:imagedata o:title=""/>
                <o:lock v:ext="edit" aspectratio="f"/>
                <v:textbox inset="0mm,0mm,0mm,0mm">
                  <w:txbxContent>
                    <w:p>
                      <w:pPr>
                        <w:rPr>
                          <w:rFonts w:hint="eastAsia" w:ascii="宋体" w:hAnsi="宋体"/>
                        </w:rPr>
                      </w:pPr>
                      <w:r>
                        <w:rPr>
                          <w:rFonts w:hint="eastAsia" w:ascii="宋体" w:hAnsi="宋体"/>
                        </w:rPr>
                        <w:t>+ 3</w:t>
                      </w:r>
                      <w:r>
                        <w:rPr>
                          <w:rFonts w:ascii="宋体"/>
                        </w:rPr>
                        <w:t>NaOH</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8" w:firstLineChars="200"/>
        <w:jc w:val="both"/>
        <w:textAlignment w:val="auto"/>
        <w:rPr>
          <w:rFonts w:hint="eastAsia" w:ascii="Times New Roman" w:hAnsi="Times New Roman" w:eastAsia="宋体" w:cs="Times New Roman"/>
          <w:spacing w:val="-13"/>
          <w:sz w:val="24"/>
          <w:szCs w:val="24"/>
          <w:lang w:val="en-US" w:eastAsia="zh-CN"/>
        </w:rPr>
      </w:pPr>
      <w:r>
        <w:rPr>
          <w:rFonts w:hint="eastAsia" w:ascii="Times New Roman" w:hAnsi="Times New Roman" w:eastAsia="宋体" w:cs="Times New Roman"/>
          <w:spacing w:val="-13"/>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2274570</wp:posOffset>
                </wp:positionH>
                <wp:positionV relativeFrom="paragraph">
                  <wp:posOffset>129540</wp:posOffset>
                </wp:positionV>
                <wp:extent cx="571500" cy="0"/>
                <wp:effectExtent l="0" t="25400" r="0" b="25400"/>
                <wp:wrapNone/>
                <wp:docPr id="117" name="直接连接符 117"/>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79.1pt;margin-top:10.2pt;height:0pt;width:45pt;z-index:251667456;mso-width-relative:page;mso-height-relative:page;" filled="f" stroked="t" coordsize="21600,21600" o:gfxdata="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QP4Q9gAAAAJAQAADwAAAAAAAAABACAAAAAiAAAAZHJzL2Rv&#10;d25yZXYueG1sUEsBAhQAFAAAAAgAh07iQKqJSKgBAgAA6QMAAA4AAAAAAAAAAQAgAAAAJwEAAGRy&#10;cy9lMm9Eb2MueG1sUEsFBgAAAAAGAAYAWQEAAJoFAAAAAA==&#10;">
                <v:fill on="f" focussize="0,0"/>
                <v:stroke color="#000000" joinstyle="round" endarrow="block" endarrowwidth="narrow" endarrowlength="long"/>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8" w:firstLineChars="200"/>
        <w:jc w:val="both"/>
        <w:textAlignment w:val="auto"/>
        <w:rPr>
          <w:rFonts w:hint="eastAsia" w:ascii="Times New Roman" w:hAnsi="Times New Roman" w:eastAsia="宋体" w:cs="Times New Roman"/>
          <w:spacing w:val="-13"/>
          <w:sz w:val="24"/>
          <w:szCs w:val="24"/>
          <w:lang w:val="en-US" w:eastAsia="zh-CN"/>
        </w:rPr>
      </w:pPr>
    </w:p>
    <w:p>
      <w:pPr>
        <w:pStyle w:val="2"/>
        <w:rPr>
          <w:rFonts w:hint="eastAsia" w:ascii="Times New Roman" w:hAnsi="Times New Roman" w:eastAsia="宋体" w:cs="Times New Roman"/>
          <w:spacing w:val="-13"/>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将反应液静置分层，分离出粗甘油，送甘油提纯车间进行提纯，提纯工艺与脂肪酸工艺产生的粗甘油提纯相同。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kern w:val="0"/>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color w:val="auto"/>
          <w:kern w:val="0"/>
          <w:sz w:val="24"/>
          <w:szCs w:val="24"/>
          <w:lang w:val="en-US" w:eastAsia="zh-CN" w:bidi="ar-SA"/>
        </w:rPr>
        <w:t>采用自来水、氯化钠（固体）自配成30％的氯化钠水溶液。皂化油经收集后向其内加入一定量的氯化钠水溶液（调节皂化液的粘度），皂化液在干燥室中进行真空干燥，并进行压条。干燥过程中会产生一定的粉尘，经旋风除尘器处理，干燥的皂条直接包装入库待售（此工序主要生产肥皂原料）</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项目工艺流程图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pPr>
      <w:r>
        <w:rPr>
          <w:rFonts w:hint="eastAsia" w:ascii="Times New Roman" w:hAnsi="Times New Roman" w:eastAsia="宋体" w:cs="Times New Roman"/>
          <w:color w:val="auto"/>
          <w:kern w:val="0"/>
          <w:sz w:val="24"/>
          <w:szCs w:val="24"/>
          <w:lang w:val="en-US" w:eastAsia="zh-CN" w:bidi="ar-SA"/>
        </w:rPr>
        <w:t>现有项目产品生产工艺见图2.4-1所示：</w:t>
      </w:r>
    </w:p>
    <w:p>
      <w:pPr>
        <w:ind w:left="-403" w:leftChars="-192"/>
        <w:jc w:val="center"/>
        <w:rPr>
          <w:kern w:val="0"/>
          <w:szCs w:val="28"/>
        </w:rPr>
      </w:pPr>
      <w:r>
        <w:drawing>
          <wp:inline distT="0" distB="0" distL="114300" distR="114300">
            <wp:extent cx="5509260" cy="4281805"/>
            <wp:effectExtent l="0" t="0" r="0" b="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9"/>
                    <a:stretch>
                      <a:fillRect/>
                    </a:stretch>
                  </pic:blipFill>
                  <pic:spPr>
                    <a:xfrm>
                      <a:off x="0" y="0"/>
                      <a:ext cx="5509260" cy="4281805"/>
                    </a:xfrm>
                    <a:prstGeom prst="rect">
                      <a:avLst/>
                    </a:prstGeom>
                    <a:noFill/>
                    <a:ln>
                      <a:noFill/>
                    </a:ln>
                  </pic:spPr>
                </pic:pic>
              </a:graphicData>
            </a:graphic>
          </wp:inline>
        </w:drawing>
      </w:r>
    </w:p>
    <w:p>
      <w:pPr>
        <w:widowControl/>
        <w:spacing w:line="500" w:lineRule="exact"/>
        <w:jc w:val="center"/>
        <w:rPr>
          <w:rFonts w:ascii="Times New Roman" w:hAnsi="Times New Roman"/>
          <w:snapToGrid w:val="0"/>
          <w:kern w:val="0"/>
          <w:sz w:val="24"/>
          <w:szCs w:val="24"/>
        </w:rPr>
      </w:pPr>
      <w:r>
        <w:rPr>
          <w:b/>
          <w:bCs/>
          <w:szCs w:val="28"/>
        </w:rPr>
        <w:t>图</w:t>
      </w:r>
      <w:r>
        <w:rPr>
          <w:rFonts w:hint="eastAsia"/>
          <w:b/>
          <w:bCs/>
          <w:szCs w:val="28"/>
          <w:lang w:val="en-US" w:eastAsia="zh-CN"/>
        </w:rPr>
        <w:t>2.4</w:t>
      </w:r>
      <w:r>
        <w:rPr>
          <w:b/>
          <w:bCs/>
          <w:szCs w:val="28"/>
        </w:rPr>
        <w:t>-1 现有项目生产工艺流程图</w:t>
      </w:r>
    </w:p>
    <w:p>
      <w:pPr>
        <w:widowControl/>
        <w:spacing w:line="500" w:lineRule="exact"/>
        <w:jc w:val="center"/>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67" w:name="_Toc531519926"/>
      <w:bookmarkStart w:id="68" w:name="_Toc11539"/>
      <w:bookmarkStart w:id="69" w:name="_Toc13847378"/>
      <w:bookmarkStart w:id="70" w:name="_Toc534203179"/>
      <w:r>
        <w:rPr>
          <w:rFonts w:hint="eastAsia" w:ascii="Times New Roman" w:hAnsi="Times New Roman"/>
          <w:b/>
          <w:bCs/>
          <w:kern w:val="44"/>
          <w:sz w:val="36"/>
          <w:szCs w:val="44"/>
        </w:rPr>
        <w:t>5</w:t>
      </w:r>
      <w:r>
        <w:rPr>
          <w:rFonts w:ascii="Times New Roman" w:hAnsi="Times New Roman"/>
          <w:b/>
          <w:bCs/>
          <w:kern w:val="44"/>
          <w:sz w:val="36"/>
          <w:szCs w:val="44"/>
        </w:rPr>
        <w:t xml:space="preserve"> </w:t>
      </w:r>
      <w:r>
        <w:rPr>
          <w:rFonts w:hint="eastAsia" w:ascii="Times New Roman" w:hAnsi="Times New Roman"/>
          <w:b/>
          <w:bCs/>
          <w:kern w:val="44"/>
          <w:sz w:val="36"/>
          <w:szCs w:val="44"/>
        </w:rPr>
        <w:t>重点区域</w:t>
      </w:r>
      <w:bookmarkEnd w:id="67"/>
      <w:bookmarkEnd w:id="68"/>
      <w:bookmarkEnd w:id="69"/>
      <w:bookmarkEnd w:id="70"/>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71" w:name="_Toc531519927"/>
      <w:bookmarkStart w:id="72" w:name="_Toc27799"/>
      <w:bookmarkStart w:id="73" w:name="_Toc13847379"/>
      <w:bookmarkStart w:id="74" w:name="_Toc534203180"/>
      <w:r>
        <w:rPr>
          <w:rFonts w:hint="eastAsia" w:ascii="Times New Roman" w:hAnsi="Times New Roman"/>
          <w:b/>
          <w:bCs/>
          <w:sz w:val="28"/>
          <w:szCs w:val="32"/>
        </w:rPr>
        <w:t>5.1识别原则</w:t>
      </w:r>
      <w:bookmarkEnd w:id="71"/>
      <w:bookmarkEnd w:id="72"/>
      <w:bookmarkEnd w:id="73"/>
      <w:bookmarkEnd w:id="74"/>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根据各设施信息、污染物迁移途径等，识别企业内部存在土壤或地下水污染隐患的重点设施。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存在土壤或地下水污染隐患的重点设施一般包括但不仅限于：</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a）涉及有毒有害物质的生产区或生产设施；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b）涉及有毒有害物质的原辅材料、产品、固体废物等的贮存或堆放区；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c）涉及有毒有害物质的原辅材料、产品、固体废物等的转运、传送或装卸区；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d）贮存或运输有毒有害物质的各类罐槽或管线；</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e）三废（废气、废水、固体废物）处理处置或排放区。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重点设施数量较多的自行监测企业可根据重点设施在企业内分布情况，将重点设施分布较为密集的区域识别为重点区域，在企业平面布置图中标记。</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75" w:name="_Toc534203182"/>
      <w:bookmarkStart w:id="76" w:name="_Toc531519929"/>
      <w:bookmarkStart w:id="77" w:name="_Toc13847381"/>
      <w:bookmarkStart w:id="78" w:name="_Toc30434"/>
      <w:r>
        <w:rPr>
          <w:rFonts w:hint="eastAsia" w:ascii="Times New Roman" w:hAnsi="Times New Roman"/>
          <w:b/>
          <w:bCs/>
          <w:sz w:val="28"/>
          <w:szCs w:val="32"/>
        </w:rPr>
        <w:t>5.</w:t>
      </w:r>
      <w:r>
        <w:rPr>
          <w:rFonts w:hint="eastAsia" w:ascii="Times New Roman" w:hAnsi="Times New Roman"/>
          <w:b/>
          <w:bCs/>
          <w:sz w:val="28"/>
          <w:szCs w:val="32"/>
          <w:lang w:val="en-US" w:eastAsia="zh-CN"/>
        </w:rPr>
        <w:t>2</w:t>
      </w:r>
      <w:r>
        <w:rPr>
          <w:rFonts w:hint="eastAsia" w:ascii="Times New Roman" w:hAnsi="Times New Roman"/>
          <w:b/>
          <w:bCs/>
          <w:sz w:val="28"/>
          <w:szCs w:val="32"/>
        </w:rPr>
        <w:t>重点设施的识别</w:t>
      </w:r>
      <w:bookmarkEnd w:id="75"/>
      <w:bookmarkEnd w:id="76"/>
      <w:bookmarkEnd w:id="77"/>
      <w:bookmarkEnd w:id="78"/>
    </w:p>
    <w:p>
      <w:pPr>
        <w:widowControl/>
        <w:spacing w:line="500" w:lineRule="exact"/>
        <w:ind w:firstLine="420"/>
        <w:rPr>
          <w:rFonts w:hint="eastAsia" w:ascii="Times New Roman" w:hAnsi="Times New Roman" w:eastAsia="宋体"/>
          <w:snapToGrid w:val="0"/>
          <w:kern w:val="0"/>
          <w:sz w:val="24"/>
          <w:szCs w:val="24"/>
          <w:lang w:eastAsia="zh-CN"/>
        </w:rPr>
      </w:pPr>
      <w:r>
        <w:rPr>
          <w:rFonts w:hint="eastAsia" w:ascii="Times New Roman" w:hAnsi="Times New Roman"/>
          <w:snapToGrid w:val="0"/>
          <w:kern w:val="0"/>
          <w:sz w:val="24"/>
          <w:szCs w:val="24"/>
        </w:rPr>
        <w:t>依据重点设施及区域的识别原则，以及厂区内的分布情况，排查识别各</w:t>
      </w:r>
      <w:r>
        <w:rPr>
          <w:rFonts w:hint="eastAsia" w:ascii="Times New Roman" w:hAnsi="Times New Roman"/>
          <w:snapToGrid w:val="0"/>
          <w:kern w:val="0"/>
          <w:sz w:val="24"/>
          <w:szCs w:val="24"/>
          <w:lang w:val="en-US" w:eastAsia="zh-CN"/>
        </w:rPr>
        <w:t>区</w:t>
      </w:r>
      <w:r>
        <w:rPr>
          <w:rFonts w:hint="eastAsia" w:ascii="Times New Roman" w:hAnsi="Times New Roman"/>
          <w:snapToGrid w:val="0"/>
          <w:kern w:val="0"/>
          <w:sz w:val="24"/>
          <w:szCs w:val="24"/>
        </w:rPr>
        <w:t>的重点设施及区域如下</w:t>
      </w:r>
      <w:r>
        <w:rPr>
          <w:rFonts w:hint="eastAsia" w:ascii="Times New Roman" w:hAnsi="Times New Roman"/>
          <w:snapToGrid w:val="0"/>
          <w:kern w:val="0"/>
          <w:sz w:val="24"/>
          <w:szCs w:val="24"/>
          <w:lang w:eastAsia="zh-CN"/>
        </w:rPr>
        <w:t>：</w:t>
      </w: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表5.</w:t>
      </w:r>
      <w:r>
        <w:rPr>
          <w:rFonts w:hint="eastAsia" w:ascii="Times New Roman" w:hAnsi="Times New Roman"/>
          <w:b/>
          <w:snapToGrid w:val="0"/>
          <w:kern w:val="0"/>
          <w:sz w:val="24"/>
          <w:szCs w:val="24"/>
          <w:lang w:val="en-US" w:eastAsia="zh-CN"/>
        </w:rPr>
        <w:t>2</w:t>
      </w:r>
      <w:r>
        <w:rPr>
          <w:rFonts w:hint="eastAsia" w:ascii="Times New Roman" w:hAnsi="Times New Roman"/>
          <w:b/>
          <w:snapToGrid w:val="0"/>
          <w:kern w:val="0"/>
          <w:sz w:val="24"/>
          <w:szCs w:val="24"/>
        </w:rPr>
        <w:t>-1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lang w:val="en-US" w:eastAsia="zh-CN"/>
        </w:rPr>
        <w:t>厂区内</w:t>
      </w:r>
      <w:r>
        <w:rPr>
          <w:rFonts w:hint="eastAsia" w:ascii="Times New Roman" w:hAnsi="Times New Roman"/>
          <w:b/>
          <w:snapToGrid w:val="0"/>
          <w:kern w:val="0"/>
          <w:sz w:val="24"/>
          <w:szCs w:val="24"/>
        </w:rPr>
        <w:t>重点设施表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54"/>
        <w:gridCol w:w="2187"/>
        <w:gridCol w:w="2550"/>
        <w:gridCol w:w="1787"/>
        <w:gridCol w:w="16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5" w:type="pct"/>
            <w:vAlign w:val="center"/>
          </w:tcPr>
          <w:p>
            <w:pPr>
              <w:jc w:val="center"/>
              <w:rPr>
                <w:rFonts w:ascii="Times New Roman" w:hAnsi="Times New Roman"/>
                <w:b/>
                <w:szCs w:val="21"/>
              </w:rPr>
            </w:pPr>
            <w:r>
              <w:rPr>
                <w:rFonts w:ascii="Times New Roman" w:hAnsi="Times New Roman"/>
                <w:b/>
                <w:szCs w:val="21"/>
              </w:rPr>
              <w:t>重点设施名称</w:t>
            </w:r>
          </w:p>
        </w:tc>
        <w:tc>
          <w:tcPr>
            <w:tcW w:w="1023" w:type="pct"/>
            <w:vAlign w:val="center"/>
          </w:tcPr>
          <w:p>
            <w:pPr>
              <w:jc w:val="center"/>
              <w:rPr>
                <w:rFonts w:ascii="Times New Roman" w:hAnsi="Times New Roman"/>
                <w:b/>
                <w:szCs w:val="21"/>
              </w:rPr>
            </w:pPr>
            <w:r>
              <w:rPr>
                <w:rFonts w:ascii="Times New Roman" w:hAnsi="Times New Roman"/>
                <w:b/>
                <w:szCs w:val="21"/>
              </w:rPr>
              <w:t>设施功能</w:t>
            </w:r>
          </w:p>
        </w:tc>
        <w:tc>
          <w:tcPr>
            <w:tcW w:w="1193" w:type="pct"/>
            <w:vAlign w:val="center"/>
          </w:tcPr>
          <w:p>
            <w:pPr>
              <w:jc w:val="center"/>
              <w:rPr>
                <w:rFonts w:ascii="Times New Roman" w:hAnsi="Times New Roman"/>
                <w:b/>
                <w:szCs w:val="21"/>
              </w:rPr>
            </w:pPr>
            <w:r>
              <w:rPr>
                <w:rFonts w:ascii="Times New Roman" w:hAnsi="Times New Roman"/>
                <w:b/>
                <w:szCs w:val="21"/>
              </w:rPr>
              <w:t>涉及有毒有害物质清单</w:t>
            </w:r>
          </w:p>
        </w:tc>
        <w:tc>
          <w:tcPr>
            <w:tcW w:w="836" w:type="pct"/>
            <w:vAlign w:val="center"/>
          </w:tcPr>
          <w:p>
            <w:pPr>
              <w:jc w:val="center"/>
              <w:rPr>
                <w:rFonts w:ascii="Times New Roman" w:hAnsi="Times New Roman"/>
                <w:b/>
                <w:szCs w:val="21"/>
              </w:rPr>
            </w:pPr>
            <w:r>
              <w:rPr>
                <w:rFonts w:ascii="Times New Roman" w:hAnsi="Times New Roman"/>
                <w:b/>
                <w:szCs w:val="21"/>
              </w:rPr>
              <w:t>关注污染物</w:t>
            </w:r>
          </w:p>
        </w:tc>
        <w:tc>
          <w:tcPr>
            <w:tcW w:w="750" w:type="pct"/>
            <w:vAlign w:val="center"/>
          </w:tcPr>
          <w:p>
            <w:pPr>
              <w:jc w:val="center"/>
              <w:rPr>
                <w:rFonts w:ascii="Times New Roman" w:hAnsi="Times New Roman"/>
                <w:b/>
                <w:szCs w:val="21"/>
              </w:rPr>
            </w:pPr>
            <w:r>
              <w:rPr>
                <w:rFonts w:ascii="Times New Roman" w:hAnsi="Times New Roman"/>
                <w:b/>
                <w:szCs w:val="21"/>
              </w:rPr>
              <w:t>可能的迁移途径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rPr>
            </w:pPr>
            <w:r>
              <w:rPr>
                <w:rFonts w:hint="eastAsia" w:ascii="Times New Roman" w:hAnsi="Times New Roman" w:cs="Times New Roman"/>
                <w:b w:val="0"/>
                <w:bCs w:val="0"/>
                <w:color w:val="auto"/>
                <w:lang w:val="en-US" w:eastAsia="zh-CN"/>
              </w:rPr>
              <w:t>成品仓库</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仓库</w:t>
            </w:r>
          </w:p>
        </w:tc>
        <w:tc>
          <w:tcPr>
            <w:tcW w:w="1193" w:type="pct"/>
            <w:vAlign w:val="center"/>
          </w:tcPr>
          <w:p>
            <w:pPr>
              <w:jc w:val="center"/>
              <w:rPr>
                <w:rFonts w:ascii="Times New Roman" w:hAnsi="Times New Roman"/>
                <w:szCs w:val="21"/>
              </w:rPr>
            </w:pP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hint="eastAsia" w:ascii="Times New Roman" w:hAnsi="Times New Roman" w:eastAsia="宋体"/>
                <w:szCs w:val="21"/>
                <w:lang w:eastAsia="zh-CN"/>
              </w:rPr>
            </w:pPr>
            <w:r>
              <w:rPr>
                <w:rFonts w:hint="eastAsia" w:ascii="Times New Roman" w:hAnsi="Times New Roman"/>
                <w:szCs w:val="21"/>
                <w:lang w:val="en-US" w:eastAsia="zh-CN"/>
              </w:rPr>
              <w:t>杨撒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rPr>
            </w:pPr>
            <w:r>
              <w:rPr>
                <w:rFonts w:hint="eastAsia" w:ascii="Times New Roman" w:hAnsi="Times New Roman" w:cs="Times New Roman"/>
                <w:b w:val="0"/>
                <w:bCs w:val="0"/>
                <w:color w:val="auto"/>
                <w:lang w:val="en-US" w:eastAsia="zh-CN"/>
              </w:rPr>
              <w:t>原材料罐区</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原辅料的贮存</w:t>
            </w:r>
          </w:p>
        </w:tc>
        <w:tc>
          <w:tcPr>
            <w:tcW w:w="1193" w:type="pct"/>
            <w:vAlign w:val="center"/>
          </w:tcPr>
          <w:p>
            <w:pPr>
              <w:jc w:val="center"/>
              <w:rPr>
                <w:rFonts w:ascii="Times New Roman" w:hAnsi="Times New Roman"/>
                <w:szCs w:val="21"/>
              </w:rPr>
            </w:pPr>
            <w:r>
              <w:rPr>
                <w:rFonts w:hint="eastAsia" w:ascii="Times New Roman" w:hAnsi="Times New Roman" w:cs="Times New Roman"/>
                <w:color w:val="auto"/>
                <w:szCs w:val="21"/>
                <w:lang w:val="en-US" w:eastAsia="zh-CN"/>
              </w:rPr>
              <w:t>棕榈油、</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成产车间、中间罐</w:t>
            </w:r>
          </w:p>
        </w:tc>
        <w:tc>
          <w:tcPr>
            <w:tcW w:w="1023" w:type="pct"/>
            <w:vAlign w:val="center"/>
          </w:tcPr>
          <w:p>
            <w:pPr>
              <w:jc w:val="center"/>
              <w:rPr>
                <w:rFonts w:hint="default" w:ascii="Times New Roman" w:hAnsi="Times New Roman"/>
                <w:szCs w:val="21"/>
                <w:lang w:val="en-US"/>
              </w:rPr>
            </w:pPr>
            <w:r>
              <w:rPr>
                <w:rFonts w:hint="eastAsia" w:ascii="Times New Roman" w:hAnsi="Times New Roman"/>
                <w:szCs w:val="21"/>
                <w:lang w:val="en-US" w:eastAsia="zh-CN"/>
              </w:rPr>
              <w:t>原辅料的贮存、成品生产</w:t>
            </w:r>
          </w:p>
        </w:tc>
        <w:tc>
          <w:tcPr>
            <w:tcW w:w="1193" w:type="pct"/>
            <w:vAlign w:val="center"/>
          </w:tcPr>
          <w:p>
            <w:pPr>
              <w:jc w:val="center"/>
              <w:rPr>
                <w:rFonts w:hint="default" w:ascii="Times New Roman" w:hAnsi="Times New Roman"/>
                <w:szCs w:val="21"/>
                <w:lang w:val="en-US"/>
              </w:rPr>
            </w:pPr>
            <w:r>
              <w:rPr>
                <w:rFonts w:hint="eastAsia" w:ascii="Times New Roman" w:hAnsi="Times New Roman" w:cs="Times New Roman"/>
                <w:color w:val="auto"/>
                <w:szCs w:val="21"/>
                <w:lang w:val="en-US" w:eastAsia="zh-CN"/>
              </w:rPr>
              <w:t>氢氧化钠、盐酸、棕榈油、</w:t>
            </w:r>
            <w:r>
              <w:rPr>
                <w:rFonts w:hint="default" w:ascii="Times New Roman" w:hAnsi="Times New Roman" w:cs="Times New Roman"/>
                <w:color w:val="auto"/>
                <w:szCs w:val="21"/>
                <w:lang w:val="en-US" w:eastAsia="zh-CN"/>
              </w:rPr>
              <w:t>石油烃</w:t>
            </w:r>
            <w:r>
              <w:rPr>
                <w:rFonts w:hint="eastAsia" w:ascii="Times New Roman" w:hAnsi="Times New Roman" w:cs="Times New Roman"/>
                <w:color w:val="auto"/>
                <w:szCs w:val="21"/>
                <w:lang w:val="en-US" w:eastAsia="zh-CN"/>
              </w:rPr>
              <w:t>、甘油</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cs="Times New Roman"/>
                <w:b w:val="0"/>
                <w:bCs w:val="0"/>
                <w:color w:val="auto"/>
                <w:lang w:val="en-US" w:eastAsia="zh-CN"/>
              </w:rPr>
              <w:t>危废仓库</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危险废物的暂存</w:t>
            </w:r>
          </w:p>
        </w:tc>
        <w:tc>
          <w:tcPr>
            <w:tcW w:w="1193" w:type="pct"/>
            <w:vAlign w:val="center"/>
          </w:tcPr>
          <w:p>
            <w:pPr>
              <w:jc w:val="center"/>
              <w:rPr>
                <w:rFonts w:hint="default" w:ascii="Times New Roman" w:hAnsi="Times New Roman"/>
                <w:szCs w:val="21"/>
                <w:lang w:val="en-US"/>
              </w:rPr>
            </w:pPr>
            <w:r>
              <w:rPr>
                <w:rFonts w:hint="eastAsia" w:ascii="Times New Roman" w:hAnsi="Times New Roman" w:cs="Times New Roman"/>
                <w:color w:val="auto"/>
                <w:szCs w:val="21"/>
                <w:lang w:val="en-US" w:eastAsia="zh-CN"/>
              </w:rPr>
              <w:t>氢氧化钠、盐酸、棕榈油、</w:t>
            </w:r>
            <w:r>
              <w:rPr>
                <w:rFonts w:hint="default" w:ascii="Times New Roman" w:hAnsi="Times New Roman" w:cs="Times New Roman"/>
                <w:color w:val="auto"/>
                <w:szCs w:val="21"/>
                <w:lang w:val="en-US" w:eastAsia="zh-CN"/>
              </w:rPr>
              <w:t>石油烃</w:t>
            </w:r>
            <w:r>
              <w:rPr>
                <w:rFonts w:hint="eastAsia" w:ascii="Times New Roman" w:hAnsi="Times New Roman" w:cs="Times New Roman"/>
                <w:color w:val="auto"/>
                <w:szCs w:val="21"/>
                <w:lang w:val="en-US" w:eastAsia="zh-CN"/>
              </w:rPr>
              <w:t>、甘油</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加氢车间</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中间工序</w:t>
            </w:r>
          </w:p>
        </w:tc>
        <w:tc>
          <w:tcPr>
            <w:tcW w:w="1193" w:type="pct"/>
            <w:vAlign w:val="center"/>
          </w:tcPr>
          <w:p>
            <w:pPr>
              <w:jc w:val="center"/>
              <w:rPr>
                <w:rFonts w:hint="default" w:ascii="Times New Roman" w:hAnsi="Times New Roman"/>
                <w:szCs w:val="21"/>
                <w:lang w:val="en-US"/>
              </w:rPr>
            </w:pPr>
            <w:r>
              <w:rPr>
                <w:rFonts w:hint="default" w:ascii="Times New Roman" w:hAnsi="Times New Roman" w:cs="Times New Roman"/>
                <w:color w:val="auto"/>
                <w:szCs w:val="21"/>
                <w:lang w:val="en-US" w:eastAsia="zh-CN"/>
              </w:rPr>
              <w:t>石油烃</w:t>
            </w:r>
            <w:r>
              <w:rPr>
                <w:rFonts w:hint="eastAsia" w:ascii="Times New Roman" w:hAnsi="Times New Roman" w:cs="Times New Roman"/>
                <w:color w:val="auto"/>
                <w:szCs w:val="21"/>
                <w:lang w:val="en-US" w:eastAsia="zh-CN"/>
              </w:rPr>
              <w:t>、氢气、棕榈油、镍催化剂</w:t>
            </w:r>
          </w:p>
        </w:tc>
        <w:tc>
          <w:tcPr>
            <w:tcW w:w="836" w:type="pct"/>
            <w:vAlign w:val="center"/>
          </w:tcPr>
          <w:p>
            <w:pPr>
              <w:jc w:val="center"/>
              <w:rPr>
                <w:rFonts w:hint="default" w:ascii="Times New Roman" w:hAnsi="Times New Roman"/>
                <w:szCs w:val="21"/>
                <w:vertAlign w:val="baseline"/>
                <w:lang w:val="en-US"/>
              </w:rPr>
            </w:pPr>
            <w:r>
              <w:rPr>
                <w:rFonts w:hint="eastAsia" w:ascii="Times New Roman" w:hAnsi="Times New Roman" w:eastAsia="宋体" w:cs="Times New Roman"/>
                <w:b w:val="0"/>
                <w:bCs w:val="0"/>
                <w:color w:val="auto"/>
                <w:lang w:val="en-US" w:eastAsia="zh-CN"/>
              </w:rPr>
              <w:t>pH、</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r>
              <w:rPr>
                <w:rFonts w:hint="eastAsia" w:ascii="Times New Roman" w:hAnsi="Times New Roman" w:cs="Times New Roman"/>
                <w:b w:val="0"/>
                <w:bCs w:val="0"/>
                <w:color w:val="auto"/>
                <w:vertAlign w:val="baseline"/>
                <w:lang w:val="en-US" w:eastAsia="zh-CN"/>
              </w:rPr>
              <w:t>、镍</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应急池、雨水池</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收集应急废水、初期雨水</w:t>
            </w:r>
          </w:p>
        </w:tc>
        <w:tc>
          <w:tcPr>
            <w:tcW w:w="1193" w:type="pct"/>
            <w:vAlign w:val="center"/>
          </w:tcPr>
          <w:p>
            <w:pPr>
              <w:jc w:val="center"/>
              <w:rPr>
                <w:rFonts w:hint="default" w:ascii="Times New Roman" w:hAnsi="Times New Roman"/>
                <w:szCs w:val="21"/>
                <w:lang w:val="en-US"/>
              </w:rPr>
            </w:pPr>
            <w:r>
              <w:rPr>
                <w:rFonts w:hint="default" w:ascii="Times New Roman" w:hAnsi="Times New Roman" w:cs="Times New Roman"/>
                <w:color w:val="auto"/>
                <w:szCs w:val="21"/>
                <w:lang w:val="en-US" w:eastAsia="zh-CN"/>
              </w:rPr>
              <w:t>石油烃</w:t>
            </w:r>
            <w:r>
              <w:rPr>
                <w:rFonts w:hint="eastAsia" w:ascii="Times New Roman" w:hAnsi="Times New Roman" w:cs="Times New Roman"/>
                <w:color w:val="auto"/>
                <w:szCs w:val="21"/>
                <w:lang w:val="en-US" w:eastAsia="zh-CN"/>
              </w:rPr>
              <w:t>、氢气、棕榈油、镍催化剂</w:t>
            </w:r>
            <w:r>
              <w:rPr>
                <w:rFonts w:hint="eastAsia" w:ascii="Times New Roman" w:hAnsi="Times New Roman" w:cs="Times New Roman"/>
                <w:color w:val="auto"/>
                <w:sz w:val="21"/>
                <w:szCs w:val="21"/>
                <w:lang w:val="en-US" w:eastAsia="zh-CN"/>
              </w:rPr>
              <w:t>、氢氧化钠、盐酸</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SVOCs、镍、</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bookmarkStart w:id="79" w:name="_Toc531519931"/>
            <w:bookmarkStart w:id="80" w:name="_Toc13847383"/>
            <w:bookmarkStart w:id="81" w:name="_Toc534203184"/>
            <w:bookmarkStart w:id="82" w:name="_Toc13852929"/>
            <w:bookmarkStart w:id="83" w:name="_Toc13847388"/>
            <w:bookmarkStart w:id="84" w:name="_Toc534203189"/>
            <w:bookmarkStart w:id="85" w:name="_Toc531519936"/>
            <w:r>
              <w:rPr>
                <w:rFonts w:hint="eastAsia" w:ascii="Times New Roman" w:hAnsi="Times New Roman"/>
                <w:szCs w:val="21"/>
                <w:lang w:val="en-US" w:eastAsia="zh-CN"/>
              </w:rPr>
              <w:t>厂区污水收集排放池</w:t>
            </w:r>
          </w:p>
        </w:tc>
        <w:tc>
          <w:tcPr>
            <w:tcW w:w="1023"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全厂地面废水收集排放池</w:t>
            </w:r>
          </w:p>
        </w:tc>
        <w:tc>
          <w:tcPr>
            <w:tcW w:w="1193" w:type="pct"/>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镍、盐酸、氢氧化钠、棕榈油、甘油</w:t>
            </w:r>
          </w:p>
        </w:tc>
        <w:tc>
          <w:tcPr>
            <w:tcW w:w="836" w:type="pct"/>
            <w:vAlign w:val="center"/>
          </w:tcPr>
          <w:p>
            <w:pPr>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bookmarkEnd w:id="79"/>
      <w:bookmarkEnd w:id="80"/>
      <w:bookmarkEnd w:id="81"/>
      <w:bookmarkEnd w:id="82"/>
    </w:tbl>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86" w:name="_Toc17255"/>
      <w:r>
        <w:rPr>
          <w:rFonts w:hint="eastAsia" w:ascii="Times New Roman" w:hAnsi="Times New Roman"/>
          <w:b/>
          <w:bCs/>
          <w:sz w:val="28"/>
          <w:szCs w:val="32"/>
        </w:rPr>
        <w:t>5.</w:t>
      </w:r>
      <w:r>
        <w:rPr>
          <w:rFonts w:hint="eastAsia" w:ascii="Times New Roman" w:hAnsi="Times New Roman"/>
          <w:b/>
          <w:bCs/>
          <w:sz w:val="28"/>
          <w:szCs w:val="32"/>
          <w:lang w:val="en-US" w:eastAsia="zh-CN"/>
        </w:rPr>
        <w:t>3</w:t>
      </w:r>
      <w:r>
        <w:rPr>
          <w:rFonts w:hint="eastAsia" w:ascii="Times New Roman" w:hAnsi="Times New Roman"/>
          <w:b/>
          <w:bCs/>
          <w:sz w:val="28"/>
          <w:szCs w:val="32"/>
        </w:rPr>
        <w:t>重点区域的识别</w:t>
      </w:r>
      <w:bookmarkEnd w:id="83"/>
      <w:bookmarkEnd w:id="84"/>
      <w:bookmarkEnd w:id="85"/>
      <w:bookmarkEnd w:id="86"/>
    </w:p>
    <w:p>
      <w:pPr>
        <w:widowControl/>
        <w:spacing w:line="500" w:lineRule="exact"/>
        <w:ind w:firstLine="420"/>
        <w:rPr>
          <w:rFonts w:hint="eastAsia" w:ascii="Times New Roman" w:hAnsi="Times New Roman"/>
          <w:snapToGrid w:val="0"/>
          <w:kern w:val="0"/>
          <w:sz w:val="24"/>
          <w:szCs w:val="24"/>
        </w:rPr>
      </w:pPr>
      <w:r>
        <w:rPr>
          <w:rFonts w:hint="eastAsia" w:ascii="Times New Roman" w:hAnsi="Times New Roman"/>
          <w:snapToGrid w:val="0"/>
          <w:kern w:val="0"/>
          <w:sz w:val="24"/>
          <w:szCs w:val="24"/>
          <w:lang w:val="en-US" w:eastAsia="zh-CN"/>
        </w:rPr>
        <w:t>上述重点设施的识别，区域</w:t>
      </w:r>
      <w:r>
        <w:rPr>
          <w:rFonts w:hint="eastAsia" w:ascii="Times New Roman" w:hAnsi="Times New Roman"/>
          <w:snapToGrid w:val="0"/>
          <w:kern w:val="0"/>
          <w:sz w:val="24"/>
          <w:szCs w:val="24"/>
        </w:rPr>
        <w:t>重点设施的识别为土壤与地下水自行监测的重点区域，厂区重点区域分布如图5.4-1所示。</w:t>
      </w:r>
    </w:p>
    <w:p>
      <w:pPr>
        <w:widowControl/>
        <w:jc w:val="center"/>
        <w:rPr>
          <w:rFonts w:ascii="Times New Roman" w:hAnsi="Times New Roman"/>
          <w:snapToGrid w:val="0"/>
          <w:kern w:val="0"/>
          <w:sz w:val="24"/>
          <w:szCs w:val="24"/>
        </w:rPr>
      </w:pPr>
      <w:r>
        <w:rPr>
          <w:sz w:val="21"/>
        </w:rPr>
        <mc:AlternateContent>
          <mc:Choice Requires="wps">
            <w:drawing>
              <wp:anchor distT="0" distB="0" distL="114300" distR="114300" simplePos="0" relativeHeight="251659264" behindDoc="0" locked="0" layoutInCell="1" allowOverlap="1">
                <wp:simplePos x="0" y="0"/>
                <wp:positionH relativeFrom="column">
                  <wp:posOffset>8375650</wp:posOffset>
                </wp:positionH>
                <wp:positionV relativeFrom="paragraph">
                  <wp:posOffset>1235710</wp:posOffset>
                </wp:positionV>
                <wp:extent cx="956945" cy="298450"/>
                <wp:effectExtent l="0" t="0" r="0" b="0"/>
                <wp:wrapNone/>
                <wp:docPr id="4" name="文本框 4"/>
                <wp:cNvGraphicFramePr/>
                <a:graphic xmlns:a="http://schemas.openxmlformats.org/drawingml/2006/main">
                  <a:graphicData uri="http://schemas.microsoft.com/office/word/2010/wordprocessingShape">
                    <wps:wsp>
                      <wps:cNvSpPr txBox="1"/>
                      <wps:spPr>
                        <a:xfrm>
                          <a:off x="8978900" y="2060575"/>
                          <a:ext cx="95694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5pt;margin-top:97.3pt;height:23.5pt;width:75.35pt;z-index:251659264;mso-width-relative:page;mso-height-relative:page;" filled="f" stroked="f" coordsize="21600,21600" o:gfxdata="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whhL/dAAAADQEAAA8AAAAA&#10;AAAAAQAgAAAAIgAAAGRycy9kb3ducmV2LnhtbFBLAQIUABQAAAAIAIdO4kAv25nJSAIAAHEEAAAO&#10;AAAAAAAAAAEAIAAAACwBAABkcnMvZTJvRG9jLnhtbFBLBQYAAAAABgAGAFkBAADmBQAAAAA=&#10;">
                <v:fill on="f" focussize="0,0"/>
                <v:stroke on="f" weight="0.5pt"/>
                <v:imagedata o:title=""/>
                <o:lock v:ext="edit" aspectratio="f"/>
                <v:textbox>
                  <w:txbxContent>
                    <w:p>
                      <w:pPr>
                        <w:rPr>
                          <w:rFonts w:hint="default" w:eastAsia="宋体"/>
                          <w:sz w:val="18"/>
                          <w:szCs w:val="18"/>
                          <w:lang w:val="en-US" w:eastAsia="zh-CN"/>
                        </w:rPr>
                      </w:pPr>
                    </w:p>
                  </w:txbxContent>
                </v:textbox>
              </v:shape>
            </w:pict>
          </mc:Fallback>
        </mc:AlternateContent>
      </w:r>
    </w:p>
    <w:p>
      <w:pPr>
        <w:widowControl/>
        <w:jc w:val="center"/>
        <w:rPr>
          <w:rFonts w:hint="eastAsia" w:ascii="Times New Roman" w:hAnsi="Times New Roman"/>
          <w:b/>
          <w:snapToGrid w:val="0"/>
          <w:kern w:val="0"/>
          <w:sz w:val="24"/>
          <w:szCs w:val="24"/>
        </w:rPr>
      </w:pPr>
      <w:r>
        <w:drawing>
          <wp:inline distT="0" distB="0" distL="114300" distR="114300">
            <wp:extent cx="5549900" cy="4483100"/>
            <wp:effectExtent l="0" t="0" r="0" b="0"/>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0"/>
                    <a:stretch>
                      <a:fillRect/>
                    </a:stretch>
                  </pic:blipFill>
                  <pic:spPr>
                    <a:xfrm>
                      <a:off x="0" y="0"/>
                      <a:ext cx="5549900" cy="4483100"/>
                    </a:xfrm>
                    <a:prstGeom prst="rect">
                      <a:avLst/>
                    </a:prstGeom>
                    <a:noFill/>
                    <a:ln>
                      <a:noFill/>
                    </a:ln>
                  </pic:spPr>
                </pic:pic>
              </a:graphicData>
            </a:graphic>
          </wp:inline>
        </w:drawing>
      </w:r>
    </w:p>
    <w:p>
      <w:pPr>
        <w:widowControl/>
        <w:jc w:val="center"/>
        <w:rPr>
          <w:rFonts w:hint="eastAsia" w:ascii="Times New Roman" w:hAnsi="Times New Roman"/>
          <w:b/>
          <w:snapToGrid w:val="0"/>
          <w:kern w:val="0"/>
          <w:sz w:val="24"/>
          <w:szCs w:val="24"/>
        </w:rPr>
      </w:pPr>
    </w:p>
    <w:p>
      <w:pPr>
        <w:widowControl/>
        <w:jc w:val="center"/>
        <w:rPr>
          <w:rFonts w:ascii="Times New Roman" w:hAnsi="Times New Roman"/>
          <w:sz w:val="24"/>
          <w:szCs w:val="24"/>
        </w:rPr>
      </w:pPr>
      <w:r>
        <w:rPr>
          <w:rFonts w:hint="eastAsia" w:ascii="Times New Roman" w:hAnsi="Times New Roman"/>
          <w:b/>
          <w:snapToGrid w:val="0"/>
          <w:kern w:val="0"/>
          <w:sz w:val="24"/>
          <w:szCs w:val="24"/>
        </w:rPr>
        <w:t>图5.4-1自行监测重点区域图（</w:t>
      </w:r>
      <w:r>
        <w:rPr>
          <w:rFonts w:hint="eastAsia" w:ascii="Times New Roman" w:hAnsi="Times New Roman"/>
          <w:b/>
          <w:snapToGrid w:val="0"/>
          <w:kern w:val="0"/>
          <w:sz w:val="24"/>
          <w:szCs w:val="24"/>
          <w:lang w:val="en-US" w:eastAsia="zh-CN"/>
        </w:rPr>
        <w:t>红色阴影区域为重点区域，黄色区域其他厂区</w:t>
      </w:r>
      <w:r>
        <w:rPr>
          <w:rFonts w:hint="eastAsia" w:ascii="Times New Roman" w:hAnsi="Times New Roman"/>
          <w:b/>
          <w:snapToGrid w:val="0"/>
          <w:kern w:val="0"/>
          <w:sz w:val="24"/>
          <w:szCs w:val="24"/>
        </w:rPr>
        <w:t>）</w:t>
      </w:r>
    </w:p>
    <w:p>
      <w:pPr>
        <w:widowControl/>
        <w:spacing w:line="500" w:lineRule="exact"/>
        <w:rPr>
          <w:rFonts w:ascii="Times New Roman" w:hAnsi="Times New Roman"/>
          <w:snapToGrid w:val="0"/>
          <w:kern w:val="0"/>
          <w:sz w:val="24"/>
          <w:szCs w:val="24"/>
        </w:rPr>
        <w:sectPr>
          <w:pgSz w:w="11906" w:h="16838"/>
          <w:pgMar w:top="720" w:right="720" w:bottom="720" w:left="72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87" w:name="_Toc531519937"/>
      <w:bookmarkStart w:id="88" w:name="_Toc2520"/>
      <w:bookmarkStart w:id="89" w:name="_Toc534203190"/>
      <w:bookmarkStart w:id="90" w:name="_Toc13847389"/>
      <w:r>
        <w:rPr>
          <w:rFonts w:hint="eastAsia" w:ascii="Times New Roman" w:hAnsi="Times New Roman"/>
          <w:b/>
          <w:bCs/>
          <w:kern w:val="44"/>
          <w:sz w:val="36"/>
          <w:szCs w:val="44"/>
        </w:rPr>
        <w:t>6</w:t>
      </w:r>
      <w:r>
        <w:rPr>
          <w:rFonts w:ascii="Times New Roman" w:hAnsi="Times New Roman"/>
          <w:b/>
          <w:bCs/>
          <w:kern w:val="44"/>
          <w:sz w:val="36"/>
          <w:szCs w:val="44"/>
        </w:rPr>
        <w:t xml:space="preserve"> </w:t>
      </w:r>
      <w:r>
        <w:rPr>
          <w:rFonts w:hint="eastAsia" w:ascii="Times New Roman" w:hAnsi="Times New Roman"/>
          <w:b/>
          <w:bCs/>
          <w:kern w:val="44"/>
          <w:sz w:val="36"/>
          <w:szCs w:val="44"/>
        </w:rPr>
        <w:t>监测点位</w:t>
      </w:r>
      <w:bookmarkEnd w:id="87"/>
      <w:bookmarkEnd w:id="88"/>
      <w:bookmarkEnd w:id="89"/>
      <w:bookmarkEnd w:id="90"/>
    </w:p>
    <w:p>
      <w:pPr>
        <w:keepNext/>
        <w:keepLines/>
        <w:widowControl/>
        <w:spacing w:before="156" w:beforeLines="50" w:after="156" w:afterLines="50" w:line="500" w:lineRule="exact"/>
        <w:outlineLvl w:val="1"/>
        <w:rPr>
          <w:rFonts w:ascii="Times New Roman" w:hAnsi="Times New Roman"/>
          <w:snapToGrid w:val="0"/>
          <w:kern w:val="0"/>
          <w:sz w:val="24"/>
          <w:szCs w:val="24"/>
        </w:rPr>
      </w:pPr>
      <w:bookmarkStart w:id="91" w:name="_Toc531519938"/>
      <w:bookmarkStart w:id="92" w:name="_Toc10232"/>
      <w:bookmarkStart w:id="93" w:name="_Toc13847390"/>
      <w:bookmarkStart w:id="94" w:name="_Toc534203191"/>
      <w:r>
        <w:rPr>
          <w:rFonts w:hint="eastAsia" w:ascii="Times New Roman" w:hAnsi="Times New Roman"/>
          <w:b/>
          <w:bCs/>
          <w:sz w:val="28"/>
          <w:szCs w:val="32"/>
        </w:rPr>
        <w:t>6.1点位布设原则</w:t>
      </w:r>
      <w:bookmarkEnd w:id="91"/>
      <w:bookmarkEnd w:id="92"/>
      <w:bookmarkEnd w:id="93"/>
      <w:bookmarkEnd w:id="94"/>
    </w:p>
    <w:p>
      <w:pPr>
        <w:keepNext/>
        <w:keepLines/>
        <w:spacing w:line="500" w:lineRule="exact"/>
        <w:outlineLvl w:val="2"/>
        <w:rPr>
          <w:rFonts w:ascii="Times New Roman" w:hAnsi="Times New Roman"/>
          <w:b/>
          <w:bCs/>
          <w:sz w:val="24"/>
          <w:szCs w:val="32"/>
        </w:rPr>
      </w:pPr>
      <w:bookmarkStart w:id="95" w:name="_Toc531519939"/>
      <w:bookmarkStart w:id="96" w:name="_Toc26811"/>
      <w:bookmarkStart w:id="97" w:name="_Toc13852934"/>
      <w:bookmarkStart w:id="98" w:name="_Toc534203192"/>
      <w:bookmarkStart w:id="99" w:name="_Toc22765"/>
      <w:bookmarkStart w:id="100" w:name="_Toc13847391"/>
      <w:r>
        <w:rPr>
          <w:rFonts w:hint="eastAsia" w:ascii="Times New Roman" w:hAnsi="Times New Roman"/>
          <w:b/>
          <w:bCs/>
          <w:sz w:val="24"/>
          <w:szCs w:val="32"/>
        </w:rPr>
        <w:t>6.1</w:t>
      </w:r>
      <w:r>
        <w:rPr>
          <w:rFonts w:ascii="Times New Roman" w:hAnsi="Times New Roman"/>
          <w:b/>
          <w:bCs/>
          <w:sz w:val="24"/>
          <w:szCs w:val="32"/>
        </w:rPr>
        <w:t>.1</w:t>
      </w:r>
      <w:r>
        <w:rPr>
          <w:rFonts w:hint="eastAsia" w:ascii="Times New Roman" w:hAnsi="Times New Roman"/>
          <w:b/>
          <w:bCs/>
          <w:sz w:val="24"/>
          <w:szCs w:val="32"/>
        </w:rPr>
        <w:t>总体原则</w:t>
      </w:r>
      <w:bookmarkEnd w:id="95"/>
      <w:bookmarkEnd w:id="96"/>
      <w:bookmarkEnd w:id="97"/>
      <w:bookmarkEnd w:id="98"/>
      <w:bookmarkEnd w:id="99"/>
      <w:bookmarkEnd w:id="100"/>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（1）自行监测点/监测井应布设在重点设施周边并尽量接近重点设施；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（2）重点设施数量较多的企业可根据重点区域内部重点设施的分布情况，统筹规划重点区域内部自行监测点/监测井的布设，布设位置应尽量接近重点区域内污染隐患较大的重点设施；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（3）监测点/监测井的布设应遵循不影响企业正常生产且不造成安全隐患与二次污染的原则。</w:t>
      </w:r>
    </w:p>
    <w:p>
      <w:pPr>
        <w:keepNext/>
        <w:keepLines/>
        <w:spacing w:line="500" w:lineRule="exact"/>
        <w:outlineLvl w:val="2"/>
        <w:rPr>
          <w:rFonts w:ascii="Times New Roman" w:hAnsi="Times New Roman"/>
          <w:b/>
          <w:bCs/>
          <w:sz w:val="24"/>
          <w:szCs w:val="32"/>
        </w:rPr>
      </w:pPr>
      <w:bookmarkStart w:id="101" w:name="_Toc10345"/>
      <w:bookmarkStart w:id="102" w:name="_Toc13852935"/>
      <w:bookmarkStart w:id="103" w:name="_Toc13847392"/>
      <w:bookmarkStart w:id="104" w:name="_Toc17667"/>
      <w:bookmarkStart w:id="105" w:name="_Toc531519940"/>
      <w:bookmarkStart w:id="106" w:name="_Toc534203193"/>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2对照点布设原则</w:t>
      </w:r>
      <w:bookmarkEnd w:id="101"/>
      <w:bookmarkEnd w:id="102"/>
      <w:bookmarkEnd w:id="103"/>
      <w:bookmarkEnd w:id="104"/>
      <w:bookmarkEnd w:id="105"/>
      <w:bookmarkEnd w:id="106"/>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（1）应在企业外部区域或企业内远离各重点设施处布设至少1个土壤及地下水对照点；</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（2）对照点应保证不受企业生产过程影响且可以代表企业所在区域的土壤及地下水本底值；</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（3）地下水对照点应设置在企业地下水的上游区域。</w:t>
      </w:r>
    </w:p>
    <w:p>
      <w:pPr>
        <w:keepNext/>
        <w:keepLines/>
        <w:spacing w:line="500" w:lineRule="exact"/>
        <w:outlineLvl w:val="2"/>
        <w:rPr>
          <w:rFonts w:ascii="Times New Roman" w:hAnsi="Times New Roman"/>
          <w:b/>
          <w:bCs/>
          <w:sz w:val="24"/>
          <w:szCs w:val="32"/>
        </w:rPr>
      </w:pPr>
      <w:bookmarkStart w:id="107" w:name="_Toc10664"/>
      <w:bookmarkStart w:id="108" w:name="_Toc13847393"/>
      <w:bookmarkStart w:id="109" w:name="_Toc531519941"/>
      <w:bookmarkStart w:id="110" w:name="_Toc13852936"/>
      <w:bookmarkStart w:id="111" w:name="_Toc534203194"/>
      <w:bookmarkStart w:id="112" w:name="_Toc24849"/>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3土壤监测点布设原则</w:t>
      </w:r>
      <w:bookmarkEnd w:id="107"/>
      <w:bookmarkEnd w:id="108"/>
      <w:bookmarkEnd w:id="109"/>
      <w:bookmarkEnd w:id="110"/>
      <w:bookmarkEnd w:id="111"/>
      <w:bookmarkEnd w:id="112"/>
    </w:p>
    <w:p>
      <w:pPr>
        <w:widowControl/>
        <w:spacing w:line="500" w:lineRule="exact"/>
        <w:ind w:firstLine="420"/>
        <w:rPr>
          <w:rFonts w:ascii="Times New Roman" w:hAnsi="Times New Roman"/>
          <w:b/>
          <w:snapToGrid w:val="0"/>
          <w:kern w:val="0"/>
          <w:sz w:val="24"/>
          <w:szCs w:val="24"/>
        </w:rPr>
      </w:pPr>
      <w:r>
        <w:rPr>
          <w:rFonts w:ascii="Times New Roman" w:hAnsi="Times New Roman"/>
          <w:b/>
          <w:snapToGrid w:val="0"/>
          <w:kern w:val="0"/>
          <w:sz w:val="24"/>
          <w:szCs w:val="24"/>
        </w:rPr>
        <w:t>a</w:t>
      </w:r>
      <w:r>
        <w:rPr>
          <w:rFonts w:hint="eastAsia" w:ascii="Times New Roman" w:hAnsi="Times New Roman"/>
          <w:b/>
          <w:snapToGrid w:val="0"/>
          <w:kern w:val="0"/>
          <w:sz w:val="24"/>
          <w:szCs w:val="24"/>
        </w:rPr>
        <w:t>．土壤一般监测</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（1）每个重点设施周边布设1-2个土壤监测点，每个重点区域布设2-3个土壤监测点，具体数量可根据设施大小或区域内设施数量等实际情况进行适当调整；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（2）土壤一般监测应以监测区域内表层土壤为重点采样层，开展采样工作；</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（3）在土壤气及地下水采样建井过程中钻探出的土壤样品，应作为地块初次采样时的土壤背景值进行分析测试并予以记录。</w:t>
      </w:r>
    </w:p>
    <w:p>
      <w:pPr>
        <w:widowControl/>
        <w:spacing w:line="500" w:lineRule="exact"/>
        <w:ind w:firstLine="420"/>
        <w:rPr>
          <w:rFonts w:ascii="Times New Roman" w:hAnsi="Times New Roman"/>
          <w:b/>
          <w:snapToGrid w:val="0"/>
          <w:kern w:val="0"/>
          <w:sz w:val="24"/>
          <w:szCs w:val="24"/>
        </w:rPr>
      </w:pPr>
      <w:r>
        <w:rPr>
          <w:rFonts w:ascii="Times New Roman" w:hAnsi="Times New Roman"/>
          <w:b/>
          <w:snapToGrid w:val="0"/>
          <w:kern w:val="0"/>
          <w:sz w:val="24"/>
          <w:szCs w:val="24"/>
        </w:rPr>
        <w:t>b</w:t>
      </w:r>
      <w:r>
        <w:rPr>
          <w:rFonts w:hint="eastAsia" w:ascii="Times New Roman" w:hAnsi="Times New Roman"/>
          <w:b/>
          <w:snapToGrid w:val="0"/>
          <w:kern w:val="0"/>
          <w:sz w:val="24"/>
          <w:szCs w:val="24"/>
        </w:rPr>
        <w:t>．土壤气监测</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（1）每个关注污染物包括挥发性有机物的重点设施周边或重点区域应布设至少1个土壤气监测井，具体数量可根据设施大小或区域内设施数量等实际情况进行适当调整；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（2）土壤气探头的埋设深度应结合地层特性及污染物埋深（仅限于已受到污染的区域）确定。</w:t>
      </w:r>
    </w:p>
    <w:p>
      <w:pPr>
        <w:keepNext/>
        <w:keepLines/>
        <w:spacing w:line="500" w:lineRule="exact"/>
        <w:outlineLvl w:val="2"/>
        <w:rPr>
          <w:rFonts w:ascii="Times New Roman" w:hAnsi="Times New Roman"/>
          <w:b/>
          <w:bCs/>
          <w:sz w:val="24"/>
          <w:szCs w:val="32"/>
        </w:rPr>
      </w:pPr>
      <w:bookmarkStart w:id="113" w:name="_Toc531519942"/>
      <w:bookmarkStart w:id="114" w:name="_Toc24708"/>
      <w:bookmarkStart w:id="115" w:name="_Toc13847394"/>
      <w:bookmarkStart w:id="116" w:name="_Toc13852937"/>
      <w:bookmarkStart w:id="117" w:name="_Toc5224"/>
      <w:bookmarkStart w:id="118" w:name="_Toc534203195"/>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4地下水监测井布设原则</w:t>
      </w:r>
      <w:bookmarkEnd w:id="113"/>
      <w:bookmarkEnd w:id="114"/>
      <w:bookmarkEnd w:id="115"/>
      <w:bookmarkEnd w:id="116"/>
      <w:bookmarkEnd w:id="117"/>
      <w:bookmarkEnd w:id="118"/>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（1）每个存在地下水污染隐患的重点设施周边或重点区域应布设至少1个地下水监测井，具体数量可根据设施大小、区域内设施数量及污染物扩散途径等实际情况进行适当调整；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（2）地下水监测井应布设在污染物迁移途径的下游方向。地下水的流向可能会随着季节、潮汐、河流和湖泊的水位波动等状况改变，此时应在污染物所有潜在迁移途径的下游方向布设监测井；</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（3）在同一企业内部，监测井的位置可根据各重点设施及重点区域的分布情况统筹规划，处于同一污染物迁移途径上的相邻设施或区域可合并监测井；</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（4）监测井在垂直方向的深度应根据污染物性质、含水层厚度以及地层情况确定。</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19" w:name="_Toc531519943"/>
      <w:bookmarkStart w:id="120" w:name="_Toc13847395"/>
      <w:bookmarkStart w:id="121" w:name="_Toc534203196"/>
      <w:bookmarkStart w:id="122" w:name="_Toc10893"/>
      <w:r>
        <w:rPr>
          <w:rFonts w:hint="eastAsia" w:ascii="Times New Roman" w:hAnsi="Times New Roman"/>
          <w:b/>
          <w:bCs/>
          <w:sz w:val="28"/>
          <w:szCs w:val="32"/>
        </w:rPr>
        <w:t>6.2土壤监测</w:t>
      </w:r>
      <w:bookmarkEnd w:id="119"/>
      <w:bookmarkEnd w:id="120"/>
      <w:bookmarkEnd w:id="121"/>
      <w:bookmarkEnd w:id="122"/>
    </w:p>
    <w:p>
      <w:pPr>
        <w:keepNext/>
        <w:keepLines/>
        <w:spacing w:line="500" w:lineRule="exact"/>
        <w:outlineLvl w:val="2"/>
        <w:rPr>
          <w:rFonts w:ascii="Times New Roman" w:hAnsi="Times New Roman"/>
          <w:b/>
          <w:bCs/>
          <w:sz w:val="24"/>
          <w:szCs w:val="32"/>
        </w:rPr>
      </w:pPr>
      <w:bookmarkStart w:id="123" w:name="_Toc531519944"/>
      <w:bookmarkStart w:id="124" w:name="_Toc534203197"/>
      <w:bookmarkStart w:id="125" w:name="_Toc27407"/>
      <w:bookmarkStart w:id="126" w:name="_Toc13847396"/>
      <w:bookmarkStart w:id="127" w:name="_Toc17296"/>
      <w:bookmarkStart w:id="128" w:name="_Toc13852938"/>
      <w:r>
        <w:rPr>
          <w:rFonts w:hint="eastAsia" w:ascii="Times New Roman" w:hAnsi="Times New Roman"/>
          <w:b/>
          <w:bCs/>
          <w:sz w:val="24"/>
          <w:szCs w:val="32"/>
        </w:rPr>
        <w:t>6.2</w:t>
      </w:r>
      <w:r>
        <w:rPr>
          <w:rFonts w:ascii="Times New Roman" w:hAnsi="Times New Roman"/>
          <w:b/>
          <w:bCs/>
          <w:sz w:val="24"/>
          <w:szCs w:val="32"/>
        </w:rPr>
        <w:t>.1</w:t>
      </w:r>
      <w:r>
        <w:rPr>
          <w:rFonts w:hint="eastAsia" w:ascii="Times New Roman" w:hAnsi="Times New Roman"/>
          <w:b/>
          <w:bCs/>
          <w:sz w:val="24"/>
          <w:szCs w:val="32"/>
        </w:rPr>
        <w:t>土壤监测</w:t>
      </w:r>
      <w:bookmarkEnd w:id="123"/>
      <w:bookmarkEnd w:id="124"/>
      <w:bookmarkEnd w:id="125"/>
      <w:bookmarkEnd w:id="126"/>
      <w:bookmarkEnd w:id="127"/>
      <w:bookmarkEnd w:id="128"/>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lang w:val="en-US" w:eastAsia="zh-CN"/>
        </w:rPr>
        <w:t>根据张家港市局土壤管理部门的指导意见，第一次开展土壤隐患排查，土壤与地下水的自行监测需兼顾污染状况初步调查的要求开展</w:t>
      </w:r>
      <w:r>
        <w:rPr>
          <w:rFonts w:hint="eastAsia" w:ascii="Times New Roman" w:hAnsi="Times New Roman"/>
          <w:snapToGrid w:val="0"/>
          <w:kern w:val="0"/>
          <w:sz w:val="24"/>
          <w:szCs w:val="24"/>
        </w:rPr>
        <w:t>结合</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lang w:val="en-US" w:eastAsia="zh-CN"/>
        </w:rPr>
        <w:t>厂区内应急池及雨水池区域经现场踏勘，设备无法进场，池体为地埋式结构，取表层土的意义不大，企业后续调整下周边植被，纳入在下一年的监测中，故在</w:t>
      </w:r>
      <w:r>
        <w:rPr>
          <w:rFonts w:hint="eastAsia" w:ascii="Times New Roman" w:hAnsi="Times New Roman"/>
          <w:snapToGrid w:val="0"/>
          <w:kern w:val="0"/>
          <w:sz w:val="24"/>
          <w:szCs w:val="24"/>
        </w:rPr>
        <w:t>整个厂区内共计布设</w:t>
      </w:r>
      <w:r>
        <w:rPr>
          <w:rFonts w:hint="eastAsia" w:ascii="Times New Roman" w:hAnsi="Times New Roman"/>
          <w:snapToGrid w:val="0"/>
          <w:kern w:val="0"/>
          <w:sz w:val="24"/>
          <w:szCs w:val="24"/>
          <w:lang w:val="en-US" w:eastAsia="zh-CN"/>
        </w:rPr>
        <w:t>10</w:t>
      </w:r>
      <w:r>
        <w:rPr>
          <w:rFonts w:hint="eastAsia" w:ascii="Times New Roman" w:hAnsi="Times New Roman"/>
          <w:snapToGrid w:val="0"/>
          <w:kern w:val="0"/>
          <w:sz w:val="24"/>
          <w:szCs w:val="24"/>
        </w:rPr>
        <w:t>个土壤检测点位（</w:t>
      </w:r>
      <w:r>
        <w:rPr>
          <w:rFonts w:hint="eastAsia" w:ascii="Times New Roman" w:hAnsi="Times New Roman"/>
          <w:snapToGrid w:val="0"/>
          <w:kern w:val="0"/>
          <w:sz w:val="24"/>
          <w:szCs w:val="24"/>
          <w:lang w:val="en-US" w:eastAsia="zh-CN"/>
        </w:rPr>
        <w:t>T</w:t>
      </w:r>
      <w:r>
        <w:rPr>
          <w:rFonts w:ascii="Times New Roman" w:hAnsi="Times New Roman"/>
          <w:snapToGrid w:val="0"/>
          <w:kern w:val="0"/>
          <w:sz w:val="24"/>
          <w:szCs w:val="24"/>
        </w:rPr>
        <w:t>1~</w:t>
      </w:r>
      <w:r>
        <w:rPr>
          <w:rFonts w:hint="eastAsia" w:ascii="Times New Roman" w:hAnsi="Times New Roman"/>
          <w:snapToGrid w:val="0"/>
          <w:kern w:val="0"/>
          <w:sz w:val="24"/>
          <w:szCs w:val="24"/>
          <w:lang w:val="en-US" w:eastAsia="zh-CN"/>
        </w:rPr>
        <w:t>T18</w:t>
      </w:r>
      <w:r>
        <w:rPr>
          <w:rFonts w:hint="eastAsia" w:ascii="Times New Roman" w:hAnsi="Times New Roman"/>
          <w:snapToGrid w:val="0"/>
          <w:kern w:val="0"/>
          <w:sz w:val="24"/>
          <w:szCs w:val="24"/>
        </w:rPr>
        <w:t>），</w:t>
      </w:r>
      <w:r>
        <w:rPr>
          <w:rFonts w:hint="eastAsia" w:ascii="Times New Roman" w:hAnsi="Times New Roman"/>
          <w:snapToGrid w:val="0"/>
          <w:kern w:val="0"/>
          <w:sz w:val="24"/>
          <w:szCs w:val="24"/>
          <w:lang w:val="en-US" w:eastAsia="zh-CN"/>
        </w:rPr>
        <w:t>其中（T1-T11）</w:t>
      </w:r>
      <w:r>
        <w:rPr>
          <w:rFonts w:hint="eastAsia" w:ascii="Times New Roman" w:hAnsi="Times New Roman"/>
          <w:snapToGrid w:val="0"/>
          <w:kern w:val="0"/>
          <w:sz w:val="24"/>
          <w:szCs w:val="24"/>
        </w:rPr>
        <w:t>采样深度为</w:t>
      </w:r>
      <w:r>
        <w:rPr>
          <w:rFonts w:hint="eastAsia" w:ascii="Times New Roman" w:hAnsi="Times New Roman"/>
          <w:snapToGrid w:val="0"/>
          <w:kern w:val="0"/>
          <w:sz w:val="24"/>
          <w:szCs w:val="24"/>
          <w:lang w:val="en-US" w:eastAsia="zh-CN"/>
        </w:rPr>
        <w:t>6.0</w:t>
      </w:r>
      <w:r>
        <w:rPr>
          <w:rFonts w:ascii="Times New Roman" w:hAnsi="Times New Roman"/>
          <w:snapToGrid w:val="0"/>
          <w:kern w:val="0"/>
          <w:sz w:val="24"/>
          <w:szCs w:val="24"/>
        </w:rPr>
        <w:t>m</w:t>
      </w:r>
      <w:r>
        <w:rPr>
          <w:rFonts w:hint="eastAsia" w:ascii="Times New Roman" w:hAnsi="Times New Roman"/>
          <w:snapToGrid w:val="0"/>
          <w:kern w:val="0"/>
          <w:sz w:val="24"/>
          <w:szCs w:val="24"/>
        </w:rPr>
        <w:t>，</w:t>
      </w:r>
      <w:r>
        <w:rPr>
          <w:rFonts w:hint="eastAsia" w:ascii="Times New Roman" w:hAnsi="Times New Roman"/>
          <w:snapToGrid w:val="0"/>
          <w:kern w:val="0"/>
          <w:sz w:val="24"/>
          <w:szCs w:val="24"/>
          <w:lang w:val="en-US" w:eastAsia="zh-CN"/>
        </w:rPr>
        <w:t>T12-T18采样深度为0.2m，</w:t>
      </w:r>
      <w:r>
        <w:rPr>
          <w:rFonts w:hint="eastAsia" w:ascii="Times New Roman" w:hAnsi="Times New Roman"/>
          <w:snapToGrid w:val="0"/>
          <w:kern w:val="0"/>
          <w:sz w:val="24"/>
          <w:szCs w:val="24"/>
        </w:rPr>
        <w:t>土壤监测点位图如图6.2-1所示。同时在厂区外布设土壤对照点位1个，作为本区域的土壤对照点，土壤采样深度与厂区内土壤采样深度保持一致。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各点位所属区域和临近重点设施如表6.2-1所示。</w:t>
      </w:r>
    </w:p>
    <w:p>
      <w:pPr>
        <w:jc w:val="center"/>
        <w:rPr>
          <w:rFonts w:ascii="Times New Roman" w:hAnsi="Times New Roman"/>
          <w:b/>
          <w:sz w:val="24"/>
          <w:szCs w:val="28"/>
        </w:rPr>
      </w:pPr>
      <w:r>
        <w:rPr>
          <w:rFonts w:hint="eastAsia" w:ascii="Times New Roman" w:hAnsi="Times New Roman"/>
          <w:b/>
          <w:sz w:val="24"/>
          <w:szCs w:val="28"/>
        </w:rPr>
        <w:t>表6.2-1</w:t>
      </w:r>
      <w:r>
        <w:rPr>
          <w:rFonts w:ascii="Times New Roman" w:hAnsi="Times New Roman"/>
          <w:b/>
          <w:sz w:val="24"/>
          <w:szCs w:val="28"/>
        </w:rPr>
        <w:t xml:space="preserve"> 土壤监测点位</w:t>
      </w:r>
      <w:r>
        <w:rPr>
          <w:rFonts w:hint="eastAsia" w:ascii="Times New Roman" w:hAnsi="Times New Roman"/>
          <w:b/>
          <w:sz w:val="24"/>
          <w:szCs w:val="28"/>
        </w:rPr>
        <w:t>描述</w:t>
      </w:r>
    </w:p>
    <w:tbl>
      <w:tblPr>
        <w:tblStyle w:val="19"/>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2200"/>
        <w:gridCol w:w="2420"/>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90" w:type="dxa"/>
            <w:vAlign w:val="center"/>
          </w:tcPr>
          <w:p>
            <w:pPr>
              <w:jc w:val="center"/>
              <w:rPr>
                <w:rFonts w:ascii="Times New Roman" w:hAnsi="Times New Roman"/>
                <w:b/>
                <w:szCs w:val="21"/>
              </w:rPr>
            </w:pPr>
            <w:r>
              <w:rPr>
                <w:rFonts w:ascii="Times New Roman" w:hAnsi="Times New Roman"/>
                <w:b/>
                <w:szCs w:val="21"/>
              </w:rPr>
              <w:t>点位</w:t>
            </w:r>
          </w:p>
        </w:tc>
        <w:tc>
          <w:tcPr>
            <w:tcW w:w="2200" w:type="dxa"/>
            <w:vAlign w:val="center"/>
          </w:tcPr>
          <w:p>
            <w:pPr>
              <w:jc w:val="center"/>
              <w:rPr>
                <w:rFonts w:ascii="Times New Roman" w:hAnsi="Times New Roman"/>
                <w:b/>
                <w:szCs w:val="21"/>
              </w:rPr>
            </w:pPr>
            <w:r>
              <w:rPr>
                <w:rFonts w:ascii="Times New Roman" w:hAnsi="Times New Roman"/>
                <w:b/>
                <w:szCs w:val="21"/>
              </w:rPr>
              <w:t>重点区域</w:t>
            </w:r>
          </w:p>
        </w:tc>
        <w:tc>
          <w:tcPr>
            <w:tcW w:w="2420" w:type="dxa"/>
            <w:vAlign w:val="center"/>
          </w:tcPr>
          <w:p>
            <w:pPr>
              <w:jc w:val="center"/>
              <w:rPr>
                <w:rFonts w:ascii="Times New Roman" w:hAnsi="Times New Roman"/>
                <w:b/>
                <w:szCs w:val="21"/>
              </w:rPr>
            </w:pPr>
            <w:r>
              <w:rPr>
                <w:rFonts w:ascii="Times New Roman" w:hAnsi="Times New Roman"/>
                <w:b/>
                <w:szCs w:val="21"/>
              </w:rPr>
              <w:t>附近重点设施</w:t>
            </w:r>
          </w:p>
        </w:tc>
        <w:tc>
          <w:tcPr>
            <w:tcW w:w="2180" w:type="dxa"/>
            <w:vAlign w:val="center"/>
          </w:tcPr>
          <w:p>
            <w:pPr>
              <w:jc w:val="center"/>
              <w:rPr>
                <w:rFonts w:hint="eastAsia" w:ascii="Times New Roman" w:hAnsi="Times New Roman" w:eastAsia="宋体"/>
                <w:b/>
                <w:szCs w:val="21"/>
                <w:lang w:val="en-US" w:eastAsia="zh-CN"/>
              </w:rPr>
            </w:pPr>
            <w:r>
              <w:rPr>
                <w:rFonts w:hint="eastAsia" w:ascii="Times New Roman" w:hAnsi="Times New Roman"/>
                <w:b/>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1</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初期雨水池</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初期雨水收集</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2</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原材料罐区</w:t>
            </w:r>
          </w:p>
        </w:tc>
        <w:tc>
          <w:tcPr>
            <w:tcW w:w="2420" w:type="dxa"/>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棕榈油</w:t>
            </w: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3</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生产合成车间</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成品生产</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4</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酸碱罐区</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盐酸、氢氧化钠贮存</w:t>
            </w: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5</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成品仓库、中间罐</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成品贮存</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szCs w:val="21"/>
                <w:lang w:val="en-US"/>
              </w:rPr>
            </w:pPr>
            <w:r>
              <w:rPr>
                <w:rFonts w:hint="eastAsia" w:ascii="Times New Roman" w:hAnsi="Times New Roman"/>
                <w:color w:val="000000"/>
                <w:szCs w:val="21"/>
                <w:lang w:val="en-US" w:eastAsia="zh-CN"/>
              </w:rPr>
              <w:t>T6</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加氢车间</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加氢合成</w:t>
            </w: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T7</w:t>
            </w:r>
          </w:p>
        </w:tc>
        <w:tc>
          <w:tcPr>
            <w:tcW w:w="2200" w:type="dxa"/>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应急池</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应急池收集</w:t>
            </w:r>
          </w:p>
        </w:tc>
        <w:tc>
          <w:tcPr>
            <w:tcW w:w="2180" w:type="dxa"/>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8</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污水处理站</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污水池</w:t>
            </w:r>
          </w:p>
        </w:tc>
        <w:tc>
          <w:tcPr>
            <w:tcW w:w="2180" w:type="dxa"/>
            <w:vMerge w:val="restart"/>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eastAsia="宋体"/>
                <w:szCs w:val="21"/>
                <w:lang w:val="en-US" w:eastAsia="zh-CN"/>
              </w:rPr>
            </w:pPr>
            <w:r>
              <w:rPr>
                <w:rFonts w:hint="eastAsia" w:ascii="Times New Roman" w:hAnsi="Times New Roman"/>
                <w:color w:val="000000"/>
                <w:szCs w:val="21"/>
                <w:lang w:val="en-US" w:eastAsia="zh-CN"/>
              </w:rPr>
              <w:t>T9</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成品罐区</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成品贮存</w:t>
            </w:r>
          </w:p>
        </w:tc>
        <w:tc>
          <w:tcPr>
            <w:tcW w:w="2180" w:type="dxa"/>
            <w:vMerge w:val="continue"/>
            <w:vAlign w:val="center"/>
          </w:tcPr>
          <w:p>
            <w:pPr>
              <w:jc w:val="center"/>
              <w:rPr>
                <w:rFonts w:hint="eastAsia"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T10</w:t>
            </w:r>
          </w:p>
        </w:tc>
        <w:tc>
          <w:tcPr>
            <w:tcW w:w="220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成品罐区</w:t>
            </w:r>
          </w:p>
        </w:tc>
        <w:tc>
          <w:tcPr>
            <w:tcW w:w="242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成品贮存</w:t>
            </w:r>
          </w:p>
        </w:tc>
        <w:tc>
          <w:tcPr>
            <w:tcW w:w="2180" w:type="dxa"/>
            <w:vAlign w:val="center"/>
          </w:tcPr>
          <w:p>
            <w:pPr>
              <w:jc w:val="center"/>
              <w:rPr>
                <w:rFonts w:hint="eastAsia"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eastAsia="宋体"/>
                <w:szCs w:val="21"/>
                <w:lang w:val="en-US" w:eastAsia="zh-CN"/>
              </w:rPr>
            </w:pPr>
            <w:r>
              <w:rPr>
                <w:rFonts w:hint="eastAsia" w:ascii="Times New Roman" w:hAnsi="Times New Roman"/>
                <w:color w:val="000000"/>
                <w:szCs w:val="21"/>
                <w:lang w:val="en-US" w:eastAsia="zh-CN"/>
              </w:rPr>
              <w:t>T11</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危废仓库</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危废贮存</w:t>
            </w:r>
          </w:p>
        </w:tc>
        <w:tc>
          <w:tcPr>
            <w:tcW w:w="218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T12</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造粒车间</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成品包装</w:t>
            </w:r>
          </w:p>
        </w:tc>
        <w:tc>
          <w:tcPr>
            <w:tcW w:w="2180"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T13</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加氢车间</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镍催化剂临时存放</w:t>
            </w:r>
          </w:p>
        </w:tc>
        <w:tc>
          <w:tcPr>
            <w:tcW w:w="218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T14</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合成车间</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车间生产</w:t>
            </w:r>
          </w:p>
        </w:tc>
        <w:tc>
          <w:tcPr>
            <w:tcW w:w="2180" w:type="dxa"/>
            <w:vAlign w:val="center"/>
          </w:tcPr>
          <w:p>
            <w:pPr>
              <w:jc w:val="center"/>
              <w:rPr>
                <w:rFonts w:hint="eastAsia" w:ascii="Times New Roman" w:hAnsi="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T15</w:t>
            </w:r>
          </w:p>
        </w:tc>
        <w:tc>
          <w:tcPr>
            <w:tcW w:w="220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1#成品仓库</w:t>
            </w:r>
          </w:p>
        </w:tc>
        <w:tc>
          <w:tcPr>
            <w:tcW w:w="242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产品贮存</w:t>
            </w:r>
          </w:p>
        </w:tc>
        <w:tc>
          <w:tcPr>
            <w:tcW w:w="2180" w:type="dxa"/>
            <w:vAlign w:val="center"/>
          </w:tcPr>
          <w:p>
            <w:pPr>
              <w:jc w:val="center"/>
              <w:rPr>
                <w:rFonts w:hint="eastAsia" w:ascii="Times New Roman" w:hAnsi="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T16</w:t>
            </w:r>
          </w:p>
        </w:tc>
        <w:tc>
          <w:tcPr>
            <w:tcW w:w="2200" w:type="dxa"/>
            <w:vMerge w:val="continue"/>
            <w:vAlign w:val="center"/>
          </w:tcPr>
          <w:p>
            <w:pPr>
              <w:jc w:val="center"/>
              <w:rPr>
                <w:rFonts w:hint="eastAsia" w:ascii="Times New Roman" w:hAnsi="Times New Roman"/>
                <w:szCs w:val="21"/>
                <w:lang w:val="en-US" w:eastAsia="zh-CN"/>
              </w:rPr>
            </w:pPr>
          </w:p>
        </w:tc>
        <w:tc>
          <w:tcPr>
            <w:tcW w:w="2420" w:type="dxa"/>
            <w:vMerge w:val="continue"/>
            <w:vAlign w:val="center"/>
          </w:tcPr>
          <w:p>
            <w:pPr>
              <w:jc w:val="center"/>
              <w:rPr>
                <w:rFonts w:hint="eastAsia" w:ascii="Times New Roman" w:hAnsi="Times New Roman"/>
                <w:szCs w:val="21"/>
                <w:lang w:val="en-US" w:eastAsia="zh-CN"/>
              </w:rPr>
            </w:pPr>
          </w:p>
        </w:tc>
        <w:tc>
          <w:tcPr>
            <w:tcW w:w="2180" w:type="dxa"/>
            <w:vAlign w:val="center"/>
          </w:tcPr>
          <w:p>
            <w:pPr>
              <w:jc w:val="center"/>
              <w:rPr>
                <w:rFonts w:hint="eastAsia" w:ascii="Times New Roman" w:hAnsi="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T17</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污水收集池</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污水收集</w:t>
            </w:r>
          </w:p>
        </w:tc>
        <w:tc>
          <w:tcPr>
            <w:tcW w:w="2180" w:type="dxa"/>
            <w:vAlign w:val="center"/>
          </w:tcPr>
          <w:p>
            <w:pPr>
              <w:jc w:val="center"/>
              <w:rPr>
                <w:rFonts w:hint="eastAsia" w:ascii="Times New Roman" w:hAnsi="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T18</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2#成品仓库</w:t>
            </w:r>
          </w:p>
        </w:tc>
        <w:tc>
          <w:tcPr>
            <w:tcW w:w="2420"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产品贮存</w:t>
            </w:r>
          </w:p>
        </w:tc>
        <w:tc>
          <w:tcPr>
            <w:tcW w:w="2180" w:type="dxa"/>
            <w:vAlign w:val="center"/>
          </w:tcPr>
          <w:p>
            <w:pPr>
              <w:jc w:val="center"/>
              <w:rPr>
                <w:rFonts w:hint="eastAsia" w:ascii="Times New Roman" w:hAnsi="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T0</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218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对照点</w:t>
            </w:r>
          </w:p>
        </w:tc>
      </w:tr>
    </w:tbl>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snapToGrid w:val="0"/>
          <w:kern w:val="0"/>
          <w:sz w:val="24"/>
          <w:szCs w:val="24"/>
        </w:rPr>
      </w:pPr>
    </w:p>
    <w:p>
      <w:pPr>
        <w:widowControl/>
        <w:jc w:val="center"/>
        <w:rPr>
          <w:rFonts w:hint="eastAsia" w:ascii="Times New Roman" w:hAnsi="Times New Roman"/>
          <w:b/>
          <w:snapToGrid w:val="0"/>
          <w:kern w:val="0"/>
          <w:sz w:val="24"/>
          <w:szCs w:val="24"/>
        </w:rPr>
      </w:pPr>
      <w:r>
        <w:drawing>
          <wp:inline distT="0" distB="0" distL="114300" distR="114300">
            <wp:extent cx="5861050" cy="47180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861050" cy="4718050"/>
                    </a:xfrm>
                    <a:prstGeom prst="rect">
                      <a:avLst/>
                    </a:prstGeom>
                    <a:noFill/>
                    <a:ln>
                      <a:noFill/>
                    </a:ln>
                  </pic:spPr>
                </pic:pic>
              </a:graphicData>
            </a:graphic>
          </wp:inline>
        </w:drawing>
      </w:r>
    </w:p>
    <w:p>
      <w:pPr>
        <w:widowControl/>
        <w:jc w:val="center"/>
        <w:rPr>
          <w:rFonts w:ascii="Times New Roman" w:hAnsi="Times New Roman"/>
          <w:snapToGrid w:val="0"/>
          <w:kern w:val="0"/>
          <w:sz w:val="24"/>
          <w:szCs w:val="24"/>
        </w:rPr>
        <w:sectPr>
          <w:pgSz w:w="16838" w:h="11906" w:orient="landscape"/>
          <w:pgMar w:top="720" w:right="720" w:bottom="720" w:left="720" w:header="1134" w:footer="992" w:gutter="0"/>
          <w:cols w:space="425" w:num="1"/>
          <w:docGrid w:type="lines" w:linePitch="312" w:charSpace="0"/>
        </w:sectPr>
      </w:pPr>
      <w:r>
        <w:rPr>
          <w:rFonts w:hint="eastAsia" w:ascii="Times New Roman" w:hAnsi="Times New Roman"/>
          <w:b/>
          <w:snapToGrid w:val="0"/>
          <w:kern w:val="0"/>
          <w:sz w:val="24"/>
          <w:szCs w:val="24"/>
        </w:rPr>
        <w:t>图6.2-1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rPr>
        <w:t>土壤监测点位图</w:t>
      </w:r>
    </w:p>
    <w:p>
      <w:pPr>
        <w:keepNext/>
        <w:keepLines/>
        <w:spacing w:line="500" w:lineRule="exact"/>
        <w:outlineLvl w:val="2"/>
        <w:rPr>
          <w:rFonts w:ascii="Times New Roman" w:hAnsi="Times New Roman"/>
          <w:b/>
          <w:bCs/>
          <w:sz w:val="24"/>
          <w:szCs w:val="32"/>
        </w:rPr>
      </w:pPr>
      <w:bookmarkStart w:id="129" w:name="_Toc13852939"/>
      <w:bookmarkStart w:id="130" w:name="_Toc534203198"/>
      <w:bookmarkStart w:id="131" w:name="_Toc13847397"/>
      <w:bookmarkStart w:id="132" w:name="_Toc25187"/>
      <w:bookmarkStart w:id="133" w:name="_Toc531519945"/>
      <w:bookmarkStart w:id="134" w:name="_Toc31484"/>
      <w:r>
        <w:rPr>
          <w:rFonts w:hint="eastAsia" w:ascii="Times New Roman" w:hAnsi="Times New Roman"/>
          <w:b/>
          <w:bCs/>
          <w:sz w:val="24"/>
          <w:szCs w:val="32"/>
        </w:rPr>
        <w:t>6.2</w:t>
      </w:r>
      <w:r>
        <w:rPr>
          <w:rFonts w:ascii="Times New Roman" w:hAnsi="Times New Roman"/>
          <w:b/>
          <w:bCs/>
          <w:sz w:val="24"/>
          <w:szCs w:val="32"/>
        </w:rPr>
        <w:t>.</w:t>
      </w:r>
      <w:r>
        <w:rPr>
          <w:rFonts w:hint="eastAsia" w:ascii="Times New Roman" w:hAnsi="Times New Roman"/>
          <w:b/>
          <w:bCs/>
          <w:sz w:val="24"/>
          <w:szCs w:val="32"/>
        </w:rPr>
        <w:t>2土壤气监测</w:t>
      </w:r>
      <w:bookmarkEnd w:id="129"/>
      <w:bookmarkEnd w:id="130"/>
      <w:bookmarkEnd w:id="131"/>
      <w:bookmarkEnd w:id="132"/>
      <w:bookmarkEnd w:id="133"/>
      <w:bookmarkEnd w:id="134"/>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在产企业土壤及地下水自行监测技术指南》（征求意见稿）（以下简称“指南”）中在土壤自行监测部分针对土壤固相和气相均提出了检测要求，针对土壤气相部分（土壤气监测），重点关注挥发性有机污染物的泄露和污染。</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指南中认为挥发性有机物是污染土壤中的典型污染物之一，通常情况下，污染土壤中的VOCs除直接吸附于土壤介质或溶解于地下水介质中外，通过相分配作用，部分VOCs还将赋存于土壤孔隙气体中（即土壤气体中），根据目前国外对于污染场地VOCs呼吸暴露风险评估方法研究发展趋势分析可知，未来VOCs呼吸暴露的定量健康风险评估及其风险管理将主要基于土壤气体中VOCs的浓度，土壤和地下水中VOCs的浓度将仅用于初步的风险筛选。但目前国家关于土壤气采样技术及污染物筛选值等方面的规定还不够完善，因此指南暂时建议自行监测企业针对特征污染物包括挥发性有机物的污染源，逐步推进土壤气监测工作，在可能存在挥发性有机物污染的重点设施周边或重点区域设置至少1个土壤气监测井。</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考虑到</w:t>
      </w:r>
      <w:r>
        <w:rPr>
          <w:rFonts w:hint="eastAsia" w:ascii="Times New Roman" w:hAnsi="Times New Roman"/>
          <w:snapToGrid w:val="0"/>
          <w:kern w:val="0"/>
          <w:sz w:val="24"/>
          <w:szCs w:val="24"/>
          <w:lang w:val="en-US" w:eastAsia="zh-CN"/>
        </w:rPr>
        <w:t>企业靠近长江</w:t>
      </w:r>
      <w:r>
        <w:rPr>
          <w:rFonts w:hint="eastAsia" w:ascii="Times New Roman" w:hAnsi="Times New Roman"/>
          <w:snapToGrid w:val="0"/>
          <w:kern w:val="0"/>
          <w:sz w:val="24"/>
          <w:szCs w:val="24"/>
        </w:rPr>
        <w:t>，整体地下水位较浅，地下水含量丰富，对比土壤气采样规范，可能不具备实际采样条件。针对</w:t>
      </w:r>
      <w:r>
        <w:rPr>
          <w:rFonts w:hint="eastAsia" w:ascii="Times New Roman" w:hAnsi="Times New Roman"/>
          <w:snapToGrid w:val="0"/>
          <w:kern w:val="0"/>
          <w:sz w:val="24"/>
          <w:szCs w:val="24"/>
          <w:lang w:eastAsia="zh-CN"/>
        </w:rPr>
        <w:t>江苏奥斯佳材料科技有限公司</w:t>
      </w:r>
      <w:r>
        <w:rPr>
          <w:rFonts w:hint="eastAsia" w:ascii="Times New Roman" w:hAnsi="Times New Roman"/>
          <w:snapToGrid w:val="0"/>
          <w:kern w:val="0"/>
          <w:sz w:val="24"/>
          <w:szCs w:val="24"/>
        </w:rPr>
        <w:t>第一年度土壤与地下水自行监测，优先关注土壤和地下水中的有机污染物浓度情况。根据第一年度土壤与地下水自行监测结果，结合厂区内实际水文地质条件，在后续自行监测中再予以考虑针对厂区土壤气的采样和监测。</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35" w:name="_Toc531519946"/>
      <w:bookmarkStart w:id="136" w:name="_Toc534203199"/>
      <w:bookmarkStart w:id="137" w:name="_Toc13847398"/>
      <w:bookmarkStart w:id="138" w:name="_Toc5063"/>
      <w:r>
        <w:rPr>
          <w:rFonts w:hint="eastAsia" w:ascii="Times New Roman" w:hAnsi="Times New Roman"/>
          <w:b/>
          <w:bCs/>
          <w:sz w:val="28"/>
          <w:szCs w:val="32"/>
        </w:rPr>
        <w:t>6.3地下水监测</w:t>
      </w:r>
      <w:bookmarkEnd w:id="135"/>
      <w:bookmarkEnd w:id="136"/>
      <w:bookmarkEnd w:id="137"/>
      <w:bookmarkEnd w:id="138"/>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结合地下水监测井点位布设原则，拟在重点区域与设施的地下水下游向布设地下水井。</w:t>
      </w:r>
      <w:r>
        <w:rPr>
          <w:rFonts w:hint="eastAsia" w:ascii="Times New Roman" w:hAnsi="Times New Roman"/>
          <w:snapToGrid w:val="0"/>
          <w:kern w:val="0"/>
          <w:sz w:val="24"/>
          <w:szCs w:val="24"/>
          <w:lang w:val="en-US" w:eastAsia="zh-CN"/>
        </w:rPr>
        <w:t>参考</w:t>
      </w:r>
      <w:r>
        <w:rPr>
          <w:rFonts w:hint="default" w:ascii="Times New Roman" w:hAnsi="Times New Roman" w:eastAsia="宋体" w:cs="Times New Roman"/>
          <w:b w:val="0"/>
          <w:bCs w:val="0"/>
          <w:sz w:val="24"/>
          <w:szCs w:val="24"/>
          <w:lang w:val="en-US" w:eastAsia="zh-CN"/>
        </w:rPr>
        <w:t>企业在建设之前于2019年11月份委托上海绿然环境信息有限公司，对场地内土壤及地下水进行了初步调查</w:t>
      </w:r>
      <w:r>
        <w:rPr>
          <w:rFonts w:hint="eastAsia" w:ascii="Times New Roman" w:hAnsi="Times New Roman" w:cs="Times New Roman"/>
          <w:b w:val="0"/>
          <w:bCs w:val="0"/>
          <w:sz w:val="24"/>
          <w:szCs w:val="24"/>
          <w:lang w:val="en-US" w:eastAsia="zh-CN"/>
        </w:rPr>
        <w:t>，调查结果为</w:t>
      </w:r>
      <w:r>
        <w:rPr>
          <w:rFonts w:ascii="宋体" w:hAnsi="宋体" w:eastAsia="宋体" w:cs="宋体"/>
          <w:sz w:val="24"/>
          <w:szCs w:val="24"/>
        </w:rPr>
        <w:t>地下水水位走向为自南向北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故</w:t>
      </w:r>
      <w:r>
        <w:rPr>
          <w:rFonts w:hint="eastAsia" w:ascii="Times New Roman" w:hAnsi="Times New Roman"/>
          <w:snapToGrid w:val="0"/>
          <w:kern w:val="0"/>
          <w:sz w:val="24"/>
          <w:szCs w:val="24"/>
        </w:rPr>
        <w:t>在</w:t>
      </w:r>
      <w:r>
        <w:rPr>
          <w:rFonts w:hint="eastAsia" w:ascii="Times New Roman" w:hAnsi="Times New Roman"/>
          <w:snapToGrid w:val="0"/>
          <w:kern w:val="0"/>
          <w:sz w:val="24"/>
          <w:szCs w:val="24"/>
          <w:lang w:val="en-US" w:eastAsia="zh-CN"/>
        </w:rPr>
        <w:t>厂区内重点区域下游方向布置水井点，厂区</w:t>
      </w:r>
      <w:r>
        <w:rPr>
          <w:rFonts w:hint="eastAsia" w:ascii="Times New Roman" w:hAnsi="Times New Roman"/>
          <w:snapToGrid w:val="0"/>
          <w:kern w:val="0"/>
          <w:sz w:val="24"/>
          <w:szCs w:val="24"/>
        </w:rPr>
        <w:t>内共计布设</w:t>
      </w:r>
      <w:r>
        <w:rPr>
          <w:rFonts w:hint="eastAsia" w:ascii="Times New Roman" w:hAnsi="Times New Roman"/>
          <w:snapToGrid w:val="0"/>
          <w:kern w:val="0"/>
          <w:sz w:val="24"/>
          <w:szCs w:val="24"/>
          <w:lang w:val="en-US" w:eastAsia="zh-CN"/>
        </w:rPr>
        <w:t>5</w:t>
      </w:r>
      <w:r>
        <w:rPr>
          <w:rFonts w:hint="eastAsia" w:ascii="Times New Roman" w:hAnsi="Times New Roman"/>
          <w:snapToGrid w:val="0"/>
          <w:kern w:val="0"/>
          <w:sz w:val="24"/>
          <w:szCs w:val="24"/>
        </w:rPr>
        <w:t>个地下水监测井（</w:t>
      </w:r>
      <w:r>
        <w:rPr>
          <w:rFonts w:hint="eastAsia" w:ascii="Times New Roman" w:hAnsi="Times New Roman"/>
          <w:snapToGrid w:val="0"/>
          <w:kern w:val="0"/>
          <w:sz w:val="24"/>
          <w:szCs w:val="24"/>
          <w:lang w:val="en-US" w:eastAsia="zh-CN"/>
        </w:rPr>
        <w:t>D1</w:t>
      </w:r>
      <w:r>
        <w:rPr>
          <w:rFonts w:ascii="Times New Roman" w:hAnsi="Times New Roman"/>
          <w:snapToGrid w:val="0"/>
          <w:kern w:val="0"/>
          <w:sz w:val="24"/>
          <w:szCs w:val="24"/>
        </w:rPr>
        <w:t>~</w:t>
      </w:r>
      <w:r>
        <w:rPr>
          <w:rFonts w:hint="eastAsia" w:ascii="Times New Roman" w:hAnsi="Times New Roman"/>
          <w:snapToGrid w:val="0"/>
          <w:kern w:val="0"/>
          <w:sz w:val="24"/>
          <w:szCs w:val="24"/>
          <w:lang w:val="en-US" w:eastAsia="zh-CN"/>
        </w:rPr>
        <w:t>D4</w:t>
      </w:r>
      <w:r>
        <w:rPr>
          <w:rFonts w:hint="eastAsia" w:ascii="Times New Roman" w:hAnsi="Times New Roman"/>
          <w:snapToGrid w:val="0"/>
          <w:kern w:val="0"/>
          <w:sz w:val="24"/>
          <w:szCs w:val="24"/>
        </w:rPr>
        <w:t>），地下水监测井位置如图6.3-</w:t>
      </w:r>
      <w:r>
        <w:rPr>
          <w:rFonts w:hint="eastAsia" w:ascii="Times New Roman" w:hAnsi="Times New Roman"/>
          <w:snapToGrid w:val="0"/>
          <w:kern w:val="0"/>
          <w:sz w:val="24"/>
          <w:szCs w:val="24"/>
          <w:lang w:val="en-US" w:eastAsia="zh-CN"/>
        </w:rPr>
        <w:t>1</w:t>
      </w:r>
      <w:r>
        <w:rPr>
          <w:rFonts w:hint="eastAsia" w:ascii="Times New Roman" w:hAnsi="Times New Roman"/>
          <w:snapToGrid w:val="0"/>
          <w:kern w:val="0"/>
          <w:sz w:val="24"/>
          <w:szCs w:val="24"/>
        </w:rPr>
        <w:t>所示。同时在厂区外布设地下水对照点位1个，作为本区域的地下水对照点，地下水采样深度与厂区内地下水深度保持一致。</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lang w:val="en-US" w:eastAsia="zh-CN"/>
        </w:rPr>
        <w:t>本次自行监测为首年监测，因此建立长期监测井，</w:t>
      </w:r>
      <w:r>
        <w:rPr>
          <w:rFonts w:hint="eastAsia" w:ascii="Times New Roman" w:hAnsi="Times New Roman"/>
          <w:snapToGrid w:val="0"/>
          <w:kern w:val="0"/>
          <w:sz w:val="24"/>
          <w:szCs w:val="24"/>
        </w:rPr>
        <w:t>原则上地下水监测以调查第一含水层（潜水）为主</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lang w:val="en-US" w:eastAsia="zh-CN"/>
        </w:rPr>
        <w:t>考虑到地下水的长期监测，故本次</w:t>
      </w:r>
      <w:r>
        <w:rPr>
          <w:rFonts w:hint="eastAsia" w:ascii="Times New Roman" w:hAnsi="Times New Roman"/>
          <w:snapToGrid w:val="0"/>
          <w:kern w:val="0"/>
          <w:sz w:val="24"/>
          <w:szCs w:val="24"/>
        </w:rPr>
        <w:t>地下水监测井深</w:t>
      </w:r>
      <w:r>
        <w:rPr>
          <w:rFonts w:hint="eastAsia" w:ascii="Times New Roman" w:hAnsi="Times New Roman"/>
          <w:snapToGrid w:val="0"/>
          <w:kern w:val="0"/>
          <w:sz w:val="24"/>
          <w:szCs w:val="24"/>
          <w:lang w:val="en-US" w:eastAsia="zh-CN"/>
        </w:rPr>
        <w:t>为</w:t>
      </w:r>
      <w:r>
        <w:rPr>
          <w:rFonts w:hint="eastAsia" w:ascii="Times New Roman" w:hAnsi="Times New Roman"/>
          <w:snapToGrid w:val="0"/>
          <w:kern w:val="0"/>
          <w:sz w:val="24"/>
          <w:szCs w:val="24"/>
        </w:rPr>
        <w:t>6m，各点位所属区域和临近重点设施如表6.3-1所示。</w:t>
      </w:r>
    </w:p>
    <w:p>
      <w:pPr>
        <w:jc w:val="center"/>
        <w:rPr>
          <w:rFonts w:ascii="Times New Roman" w:hAnsi="Times New Roman"/>
          <w:b/>
          <w:sz w:val="24"/>
          <w:szCs w:val="28"/>
        </w:rPr>
      </w:pPr>
      <w:r>
        <w:rPr>
          <w:rFonts w:hint="eastAsia" w:ascii="Times New Roman" w:hAnsi="Times New Roman"/>
          <w:b/>
          <w:sz w:val="24"/>
          <w:szCs w:val="28"/>
        </w:rPr>
        <w:t>表6.3-1</w:t>
      </w:r>
      <w:r>
        <w:rPr>
          <w:rFonts w:ascii="Times New Roman" w:hAnsi="Times New Roman"/>
          <w:b/>
          <w:sz w:val="24"/>
          <w:szCs w:val="28"/>
        </w:rPr>
        <w:t xml:space="preserve"> 地下水自行监测点位</w:t>
      </w:r>
    </w:p>
    <w:tbl>
      <w:tblPr>
        <w:tblStyle w:val="19"/>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2436"/>
        <w:gridCol w:w="3511"/>
        <w:gridCol w:w="1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4" w:type="dxa"/>
            <w:vAlign w:val="center"/>
          </w:tcPr>
          <w:p>
            <w:pPr>
              <w:jc w:val="center"/>
              <w:rPr>
                <w:rFonts w:ascii="Times New Roman" w:hAnsi="Times New Roman"/>
                <w:b/>
                <w:szCs w:val="21"/>
              </w:rPr>
            </w:pPr>
            <w:r>
              <w:rPr>
                <w:rFonts w:ascii="Times New Roman" w:hAnsi="Times New Roman"/>
                <w:b/>
                <w:szCs w:val="21"/>
              </w:rPr>
              <w:t>点位</w:t>
            </w:r>
          </w:p>
        </w:tc>
        <w:tc>
          <w:tcPr>
            <w:tcW w:w="2436" w:type="dxa"/>
            <w:vAlign w:val="center"/>
          </w:tcPr>
          <w:p>
            <w:pPr>
              <w:jc w:val="center"/>
              <w:rPr>
                <w:rFonts w:ascii="Times New Roman" w:hAnsi="Times New Roman"/>
                <w:b/>
                <w:szCs w:val="21"/>
              </w:rPr>
            </w:pPr>
            <w:r>
              <w:rPr>
                <w:rFonts w:ascii="Times New Roman" w:hAnsi="Times New Roman"/>
                <w:b/>
                <w:szCs w:val="21"/>
              </w:rPr>
              <w:t>重点区域</w:t>
            </w:r>
          </w:p>
        </w:tc>
        <w:tc>
          <w:tcPr>
            <w:tcW w:w="3511" w:type="dxa"/>
            <w:vAlign w:val="center"/>
          </w:tcPr>
          <w:p>
            <w:pPr>
              <w:jc w:val="center"/>
              <w:rPr>
                <w:rFonts w:ascii="Times New Roman" w:hAnsi="Times New Roman"/>
                <w:b/>
                <w:szCs w:val="21"/>
              </w:rPr>
            </w:pPr>
            <w:r>
              <w:rPr>
                <w:rFonts w:ascii="Times New Roman" w:hAnsi="Times New Roman"/>
                <w:b/>
                <w:szCs w:val="21"/>
              </w:rPr>
              <w:t>附近重点设施</w:t>
            </w:r>
          </w:p>
        </w:tc>
        <w:tc>
          <w:tcPr>
            <w:tcW w:w="1549" w:type="dxa"/>
            <w:vAlign w:val="center"/>
          </w:tcPr>
          <w:p>
            <w:pPr>
              <w:jc w:val="center"/>
              <w:rPr>
                <w:rFonts w:hint="default" w:ascii="Times New Roman" w:hAnsi="Times New Roman" w:eastAsia="宋体"/>
                <w:b/>
                <w:szCs w:val="21"/>
                <w:lang w:val="en-US" w:eastAsia="zh-CN"/>
              </w:rPr>
            </w:pPr>
            <w:r>
              <w:rPr>
                <w:rFonts w:hint="eastAsia" w:ascii="Times New Roman" w:hAnsi="Times New Roman"/>
                <w:b/>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D1</w:t>
            </w:r>
          </w:p>
        </w:tc>
        <w:tc>
          <w:tcPr>
            <w:tcW w:w="243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初期雨水池</w:t>
            </w:r>
          </w:p>
        </w:tc>
        <w:tc>
          <w:tcPr>
            <w:tcW w:w="3511" w:type="dxa"/>
            <w:vAlign w:val="center"/>
          </w:tcPr>
          <w:p>
            <w:pPr>
              <w:jc w:val="center"/>
              <w:rPr>
                <w:rFonts w:ascii="Times New Roman" w:hAnsi="Times New Roman"/>
                <w:szCs w:val="21"/>
              </w:rPr>
            </w:pPr>
            <w:r>
              <w:rPr>
                <w:rFonts w:hint="eastAsia" w:ascii="Times New Roman" w:hAnsi="Times New Roman"/>
                <w:szCs w:val="21"/>
                <w:lang w:val="en-US" w:eastAsia="zh-CN"/>
              </w:rPr>
              <w:t>初期雨水池</w:t>
            </w:r>
          </w:p>
        </w:tc>
        <w:tc>
          <w:tcPr>
            <w:tcW w:w="1549"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D2</w:t>
            </w:r>
          </w:p>
        </w:tc>
        <w:tc>
          <w:tcPr>
            <w:tcW w:w="243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生产合成车间</w:t>
            </w:r>
          </w:p>
        </w:tc>
        <w:tc>
          <w:tcPr>
            <w:tcW w:w="3511" w:type="dxa"/>
            <w:vAlign w:val="center"/>
          </w:tcPr>
          <w:p>
            <w:pPr>
              <w:jc w:val="center"/>
              <w:rPr>
                <w:rFonts w:ascii="Times New Roman" w:hAnsi="Times New Roman"/>
                <w:szCs w:val="21"/>
              </w:rPr>
            </w:pPr>
            <w:r>
              <w:rPr>
                <w:rFonts w:hint="eastAsia" w:ascii="Times New Roman" w:hAnsi="Times New Roman"/>
                <w:szCs w:val="21"/>
                <w:lang w:val="en-US" w:eastAsia="zh-CN"/>
              </w:rPr>
              <w:t>生产合成车间</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D3</w:t>
            </w:r>
          </w:p>
        </w:tc>
        <w:tc>
          <w:tcPr>
            <w:tcW w:w="243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成品生产</w:t>
            </w:r>
          </w:p>
        </w:tc>
        <w:tc>
          <w:tcPr>
            <w:tcW w:w="3511" w:type="dxa"/>
            <w:vAlign w:val="center"/>
          </w:tcPr>
          <w:p>
            <w:pPr>
              <w:jc w:val="center"/>
              <w:rPr>
                <w:rFonts w:ascii="Times New Roman" w:hAnsi="Times New Roman"/>
                <w:szCs w:val="21"/>
              </w:rPr>
            </w:pPr>
            <w:r>
              <w:rPr>
                <w:rFonts w:hint="eastAsia" w:ascii="Times New Roman" w:hAnsi="Times New Roman"/>
                <w:szCs w:val="21"/>
                <w:lang w:val="en-US" w:eastAsia="zh-CN"/>
              </w:rPr>
              <w:t>成品生产</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D4</w:t>
            </w:r>
          </w:p>
        </w:tc>
        <w:tc>
          <w:tcPr>
            <w:tcW w:w="2436"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成品仓库、中间罐</w:t>
            </w:r>
          </w:p>
        </w:tc>
        <w:tc>
          <w:tcPr>
            <w:tcW w:w="3511" w:type="dxa"/>
            <w:vAlign w:val="center"/>
          </w:tcPr>
          <w:p>
            <w:pPr>
              <w:jc w:val="center"/>
              <w:rPr>
                <w:rFonts w:ascii="Times New Roman" w:hAnsi="Times New Roman"/>
                <w:szCs w:val="21"/>
              </w:rPr>
            </w:pPr>
            <w:r>
              <w:rPr>
                <w:rFonts w:hint="eastAsia" w:ascii="Times New Roman" w:hAnsi="Times New Roman"/>
                <w:szCs w:val="21"/>
                <w:lang w:val="en-US" w:eastAsia="zh-CN"/>
              </w:rPr>
              <w:t>成品贮存</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D5</w:t>
            </w:r>
          </w:p>
        </w:tc>
        <w:tc>
          <w:tcPr>
            <w:tcW w:w="2436"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污水处理站</w:t>
            </w:r>
          </w:p>
        </w:tc>
        <w:tc>
          <w:tcPr>
            <w:tcW w:w="3511"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污水池</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D0</w:t>
            </w:r>
          </w:p>
        </w:tc>
        <w:tc>
          <w:tcPr>
            <w:tcW w:w="2436"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3511"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1549"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对照点</w:t>
            </w:r>
          </w:p>
        </w:tc>
      </w:tr>
    </w:tbl>
    <w:p>
      <w:pPr>
        <w:widowControl/>
        <w:rPr>
          <w:rFonts w:ascii="Times New Roman" w:hAnsi="Times New Roman"/>
          <w:snapToGrid w:val="0"/>
          <w:kern w:val="0"/>
          <w:sz w:val="24"/>
          <w:szCs w:val="24"/>
        </w:rPr>
      </w:pPr>
    </w:p>
    <w:p>
      <w:pPr>
        <w:rPr>
          <w:rFonts w:hint="eastAsia"/>
          <w:lang w:val="en-US" w:eastAsia="zh-CN"/>
        </w:rPr>
        <w:sectPr>
          <w:pgSz w:w="11906" w:h="16838"/>
          <w:pgMar w:top="1440" w:right="1800" w:bottom="1440" w:left="1800" w:header="851" w:footer="992" w:gutter="0"/>
          <w:cols w:space="425" w:num="1"/>
          <w:docGrid w:type="lines" w:linePitch="312" w:charSpace="0"/>
        </w:sectPr>
      </w:pPr>
    </w:p>
    <w:p>
      <w:pPr>
        <w:widowControl/>
        <w:jc w:val="center"/>
      </w:pPr>
    </w:p>
    <w:p>
      <w:pPr>
        <w:widowControl/>
        <w:jc w:val="center"/>
      </w:pPr>
      <w:r>
        <w:drawing>
          <wp:inline distT="0" distB="0" distL="114300" distR="114300">
            <wp:extent cx="5861050" cy="4718050"/>
            <wp:effectExtent l="0" t="0" r="635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861050" cy="4718050"/>
                    </a:xfrm>
                    <a:prstGeom prst="rect">
                      <a:avLst/>
                    </a:prstGeom>
                    <a:noFill/>
                    <a:ln>
                      <a:noFill/>
                    </a:ln>
                  </pic:spPr>
                </pic:pic>
              </a:graphicData>
            </a:graphic>
          </wp:inline>
        </w:drawing>
      </w:r>
      <w:bookmarkStart w:id="192" w:name="_GoBack"/>
      <w:bookmarkEnd w:id="192"/>
    </w:p>
    <w:p>
      <w:pPr>
        <w:widowControl/>
        <w:jc w:val="center"/>
        <w:rPr>
          <w:rFonts w:ascii="Times New Roman" w:hAnsi="Times New Roman"/>
          <w:snapToGrid w:val="0"/>
          <w:kern w:val="0"/>
          <w:sz w:val="24"/>
          <w:szCs w:val="24"/>
        </w:rPr>
      </w:pPr>
    </w:p>
    <w:p>
      <w:pPr>
        <w:widowControl/>
        <w:jc w:val="center"/>
        <w:rPr>
          <w:rFonts w:ascii="Times New Roman" w:hAnsi="Times New Roman"/>
          <w:snapToGrid w:val="0"/>
          <w:kern w:val="0"/>
          <w:sz w:val="24"/>
          <w:szCs w:val="24"/>
        </w:rPr>
        <w:sectPr>
          <w:pgSz w:w="16838" w:h="11906" w:orient="landscape"/>
          <w:pgMar w:top="720" w:right="720" w:bottom="720" w:left="720" w:header="851" w:footer="992" w:gutter="0"/>
          <w:cols w:space="425" w:num="1"/>
          <w:docGrid w:type="lines" w:linePitch="312" w:charSpace="0"/>
        </w:sectPr>
      </w:pPr>
      <w:r>
        <w:rPr>
          <w:rFonts w:hint="eastAsia" w:ascii="Times New Roman" w:hAnsi="Times New Roman"/>
          <w:b/>
          <w:snapToGrid w:val="0"/>
          <w:kern w:val="0"/>
          <w:sz w:val="24"/>
          <w:szCs w:val="24"/>
        </w:rPr>
        <w:t>图6.3-1 地下水监测点位图</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39" w:name="_Toc531519947"/>
      <w:bookmarkStart w:id="140" w:name="_Toc13847399"/>
      <w:bookmarkStart w:id="141" w:name="_Toc13240"/>
      <w:bookmarkStart w:id="142" w:name="_Toc534203200"/>
      <w:r>
        <w:rPr>
          <w:rFonts w:hint="eastAsia" w:ascii="Times New Roman" w:hAnsi="Times New Roman"/>
          <w:b/>
          <w:bCs/>
          <w:sz w:val="28"/>
          <w:szCs w:val="32"/>
        </w:rPr>
        <w:t>6.4点位</w:t>
      </w:r>
      <w:bookmarkEnd w:id="139"/>
      <w:r>
        <w:rPr>
          <w:rFonts w:hint="eastAsia" w:ascii="Times New Roman" w:hAnsi="Times New Roman"/>
          <w:b/>
          <w:bCs/>
          <w:sz w:val="28"/>
          <w:szCs w:val="32"/>
        </w:rPr>
        <w:t>重叠</w:t>
      </w:r>
      <w:bookmarkEnd w:id="140"/>
      <w:bookmarkEnd w:id="141"/>
      <w:bookmarkEnd w:id="142"/>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根据自行监测技术指南要求，所有地下水监测井在建井时取出的柱状样应作为地块初次采样时的土壤背景值进行分析测试并予以记录。考虑到部分土壤一般监测点位与地下水井存在点位重叠的现象，因此以下表6.4-1中出现重叠的土壤一般监测点位无需重新采样，只需对应采取地下水监测井建井时采集的柱状样即可，采样深度同地下水监测井深度。</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土壤深层采样时，每个采样点位至少在3个不同深度采集土壤样品并送检，实际送检样品可结合现场快速检测设备的数值和土壤样品表观性状做具体判断。不属于表6.4-1中的土壤一般监测点位与地下水井重叠的点位仍按照本方案中土壤监测的要求进行采样分析。</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同时根据项目组实地踏勘和记录结果，下表中提供了各点位的GPS坐标。</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43" w:name="_Toc24190"/>
      <w:r>
        <w:rPr>
          <w:rFonts w:hint="eastAsia" w:ascii="Times New Roman" w:hAnsi="Times New Roman"/>
          <w:b/>
          <w:bCs/>
          <w:sz w:val="28"/>
          <w:szCs w:val="32"/>
        </w:rPr>
        <w:t>6.</w:t>
      </w:r>
      <w:r>
        <w:rPr>
          <w:rFonts w:ascii="Times New Roman" w:hAnsi="Times New Roman"/>
          <w:b/>
          <w:bCs/>
          <w:sz w:val="28"/>
          <w:szCs w:val="32"/>
        </w:rPr>
        <w:t>5</w:t>
      </w:r>
      <w:r>
        <w:rPr>
          <w:rFonts w:hint="eastAsia" w:ascii="Times New Roman" w:hAnsi="Times New Roman"/>
          <w:b/>
          <w:bCs/>
          <w:sz w:val="28"/>
          <w:szCs w:val="32"/>
        </w:rPr>
        <w:t>对照点</w:t>
      </w:r>
      <w:bookmarkEnd w:id="143"/>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指南中对照点布设要求如下：（1）应在企业外部区域或企业内远离各重点设施处布设至少1个土壤及地下水对照点。（2）对照点应保证不受企业生产过程影响且可以代表企业所在区域的土壤及地下水本底值。地下水对照点应设置在企业地下水的上游区域。</w:t>
      </w:r>
    </w:p>
    <w:p>
      <w:pPr>
        <w:widowControl/>
        <w:spacing w:line="500" w:lineRule="exact"/>
        <w:ind w:firstLine="420"/>
        <w:rPr>
          <w:rFonts w:hint="eastAsia" w:ascii="Times New Roman" w:hAnsi="Times New Roman"/>
          <w:snapToGrid w:val="0"/>
          <w:kern w:val="0"/>
          <w:sz w:val="24"/>
          <w:szCs w:val="24"/>
          <w:lang w:eastAsia="zh-CN"/>
        </w:rPr>
      </w:pPr>
      <w:r>
        <w:rPr>
          <w:rFonts w:hint="eastAsia" w:ascii="Times New Roman" w:hAnsi="Times New Roman"/>
          <w:snapToGrid w:val="0"/>
          <w:kern w:val="0"/>
          <w:sz w:val="24"/>
          <w:szCs w:val="24"/>
        </w:rPr>
        <w:tab/>
      </w:r>
      <w:r>
        <w:rPr>
          <w:rFonts w:hint="eastAsia" w:ascii="Times New Roman" w:hAnsi="Times New Roman"/>
          <w:snapToGrid w:val="0"/>
          <w:kern w:val="0"/>
          <w:sz w:val="24"/>
          <w:szCs w:val="24"/>
          <w:lang w:val="en-US" w:eastAsia="zh-CN"/>
        </w:rPr>
        <w:t>由于企业在扬子产业园内，四周均为企业，只能在企业厂区外地下水上游位置布设</w:t>
      </w:r>
      <w:r>
        <w:rPr>
          <w:rFonts w:hint="eastAsia" w:ascii="Times New Roman" w:hAnsi="Times New Roman"/>
          <w:snapToGrid w:val="0"/>
          <w:kern w:val="0"/>
          <w:sz w:val="24"/>
          <w:szCs w:val="24"/>
        </w:rPr>
        <w:t>对照点</w:t>
      </w:r>
      <w:r>
        <w:rPr>
          <w:rFonts w:hint="eastAsia" w:ascii="Times New Roman" w:hAnsi="Times New Roman"/>
          <w:snapToGrid w:val="0"/>
          <w:kern w:val="0"/>
          <w:sz w:val="24"/>
          <w:szCs w:val="24"/>
          <w:lang w:eastAsia="zh-CN"/>
        </w:rPr>
        <w:t>。</w:t>
      </w:r>
    </w:p>
    <w:p>
      <w:pPr>
        <w:widowControl/>
        <w:spacing w:line="500" w:lineRule="exact"/>
        <w:rPr>
          <w:rFonts w:ascii="Times New Roman" w:hAnsi="Times New Roman"/>
          <w:snapToGrid w:val="0"/>
          <w:kern w:val="0"/>
          <w:sz w:val="24"/>
          <w:szCs w:val="24"/>
        </w:rPr>
      </w:pPr>
    </w:p>
    <w:p>
      <w:pPr>
        <w:widowControl/>
        <w:spacing w:line="500" w:lineRule="exact"/>
        <w:ind w:firstLine="420"/>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44" w:name="_Toc534203201"/>
      <w:bookmarkStart w:id="145" w:name="_Toc2447"/>
      <w:bookmarkStart w:id="146" w:name="_Toc13847400"/>
      <w:bookmarkStart w:id="147" w:name="_Toc531519948"/>
      <w:r>
        <w:rPr>
          <w:rFonts w:hint="eastAsia" w:ascii="Times New Roman" w:hAnsi="Times New Roman"/>
          <w:b/>
          <w:bCs/>
          <w:kern w:val="44"/>
          <w:sz w:val="36"/>
          <w:szCs w:val="44"/>
        </w:rPr>
        <w:t>7</w:t>
      </w:r>
      <w:r>
        <w:rPr>
          <w:rFonts w:ascii="Times New Roman" w:hAnsi="Times New Roman"/>
          <w:b/>
          <w:bCs/>
          <w:kern w:val="44"/>
          <w:sz w:val="36"/>
          <w:szCs w:val="44"/>
        </w:rPr>
        <w:t xml:space="preserve"> </w:t>
      </w:r>
      <w:r>
        <w:rPr>
          <w:rFonts w:hint="eastAsia" w:ascii="Times New Roman" w:hAnsi="Times New Roman"/>
          <w:b/>
          <w:bCs/>
          <w:kern w:val="44"/>
          <w:sz w:val="36"/>
          <w:szCs w:val="44"/>
        </w:rPr>
        <w:t>监测因子</w:t>
      </w:r>
      <w:bookmarkEnd w:id="144"/>
      <w:bookmarkEnd w:id="145"/>
      <w:bookmarkEnd w:id="146"/>
      <w:bookmarkEnd w:id="147"/>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48" w:name="_Toc534203202"/>
      <w:bookmarkStart w:id="149" w:name="_Toc13847401"/>
      <w:bookmarkStart w:id="150" w:name="_Toc531519949"/>
      <w:bookmarkStart w:id="151" w:name="_Toc25757"/>
      <w:r>
        <w:rPr>
          <w:rFonts w:hint="eastAsia" w:ascii="Times New Roman" w:hAnsi="Times New Roman"/>
          <w:b/>
          <w:bCs/>
          <w:sz w:val="28"/>
          <w:szCs w:val="32"/>
        </w:rPr>
        <w:t>7.1监测因子筛选原则</w:t>
      </w:r>
      <w:bookmarkEnd w:id="148"/>
      <w:bookmarkEnd w:id="149"/>
      <w:bookmarkEnd w:id="150"/>
      <w:bookmarkEnd w:id="151"/>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（1）各行业常见污染物类型及对应的分析测试项目参见表7.1-1和表7.1-2（需测试每个重点设施或重点区域涉及的所有关注污染物，不同设施或区域的分析测试项目可以不同）。</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（2）表7.1-2未提及其所属行业的企业，应根据各重点设施或重点区域具体情况自行选择分析测试项目。</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对于以下分析测试项目，企业应在自行监测方案中说明选取或未选取的原因：企业认为重点设施或重点区域中不存在因而不需监测的行业常见污染物；表7.1-2未提及企业所属行业，由企业自行选择分析测试的关注污染物。</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（4）不能说明原因或理由不充分的，应对全部分析测试项目进行测试。</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pStyle w:val="8"/>
        <w:spacing w:before="7"/>
        <w:jc w:val="center"/>
        <w:rPr>
          <w:rFonts w:ascii="Times New Roman" w:hAnsi="Times New Roman" w:cs="Times New Roman"/>
          <w:b/>
          <w:snapToGrid w:val="0"/>
          <w:sz w:val="24"/>
          <w:szCs w:val="24"/>
          <w:lang w:eastAsia="zh-CN"/>
        </w:rPr>
      </w:pPr>
      <w:r>
        <w:rPr>
          <w:rFonts w:ascii="Times New Roman" w:hAnsi="Times New Roman" w:cs="Times New Roman"/>
          <w:b/>
          <w:snapToGrid w:val="0"/>
          <w:sz w:val="24"/>
          <w:szCs w:val="24"/>
          <w:lang w:eastAsia="zh-CN"/>
        </w:rPr>
        <w:t>表7.1-1 污染物类别及对应分析测试项目</w:t>
      </w:r>
    </w:p>
    <w:tbl>
      <w:tblPr>
        <w:tblStyle w:val="1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42"/>
        <w:gridCol w:w="105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2942" w:type="dxa"/>
            <w:vAlign w:val="center"/>
          </w:tcPr>
          <w:p>
            <w:pPr>
              <w:pStyle w:val="39"/>
              <w:spacing w:before="118"/>
              <w:jc w:val="center"/>
              <w:rPr>
                <w:rFonts w:ascii="Times New Roman" w:hAnsi="Times New Roman" w:cs="Times New Roman"/>
                <w:b/>
                <w:sz w:val="18"/>
              </w:rPr>
            </w:pPr>
            <w:r>
              <w:rPr>
                <w:rFonts w:ascii="Times New Roman" w:hAnsi="Times New Roman" w:cs="Times New Roman"/>
                <w:b/>
                <w:sz w:val="18"/>
              </w:rPr>
              <w:t>污染物类别</w:t>
            </w:r>
          </w:p>
        </w:tc>
        <w:tc>
          <w:tcPr>
            <w:tcW w:w="10520" w:type="dxa"/>
            <w:vAlign w:val="center"/>
          </w:tcPr>
          <w:p>
            <w:pPr>
              <w:pStyle w:val="39"/>
              <w:spacing w:before="118"/>
              <w:ind w:right="4270"/>
              <w:rPr>
                <w:rFonts w:ascii="Times New Roman" w:hAnsi="Times New Roman" w:cs="Times New Roman"/>
                <w:b/>
                <w:sz w:val="18"/>
              </w:rPr>
            </w:pPr>
            <w:r>
              <w:rPr>
                <w:rFonts w:ascii="Times New Roman" w:hAnsi="Times New Roman" w:cs="Times New Roman"/>
                <w:b/>
                <w:sz w:val="18"/>
              </w:rPr>
              <w:t>对应分析测试项目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2942" w:type="dxa"/>
            <w:vAlign w:val="center"/>
          </w:tcPr>
          <w:p>
            <w:pPr>
              <w:pStyle w:val="39"/>
              <w:spacing w:before="2"/>
              <w:rPr>
                <w:rFonts w:ascii="Times New Roman" w:hAnsi="Times New Roman" w:cs="Times New Roman"/>
                <w:sz w:val="18"/>
              </w:rPr>
            </w:pPr>
            <w:r>
              <w:rPr>
                <w:rFonts w:ascii="Times New Roman" w:hAnsi="Times New Roman" w:cs="Times New Roman"/>
                <w:sz w:val="18"/>
              </w:rPr>
              <w:t>A1 类-重金属 8 种</w:t>
            </w:r>
          </w:p>
        </w:tc>
        <w:tc>
          <w:tcPr>
            <w:tcW w:w="10520" w:type="dxa"/>
            <w:vAlign w:val="center"/>
          </w:tcPr>
          <w:p>
            <w:pPr>
              <w:pStyle w:val="39"/>
              <w:spacing w:before="2"/>
              <w:rPr>
                <w:rFonts w:ascii="Times New Roman" w:hAnsi="Times New Roman" w:cs="Times New Roman"/>
                <w:sz w:val="18"/>
                <w:lang w:eastAsia="zh-CN"/>
              </w:rPr>
            </w:pPr>
            <w:r>
              <w:rPr>
                <w:rFonts w:ascii="Times New Roman" w:hAnsi="Times New Roman" w:cs="Times New Roman"/>
                <w:sz w:val="18"/>
                <w:lang w:eastAsia="zh-CN"/>
              </w:rPr>
              <w:t>镉、铅、铬、铜、锌、镍、汞、砷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rPr>
            </w:pPr>
            <w:r>
              <w:rPr>
                <w:rFonts w:ascii="Times New Roman" w:hAnsi="Times New Roman" w:cs="Times New Roman"/>
                <w:sz w:val="18"/>
              </w:rPr>
              <w:t>A2 类-重金属与元素 8 种</w:t>
            </w:r>
          </w:p>
        </w:tc>
        <w:tc>
          <w:tcPr>
            <w:tcW w:w="10520" w:type="dxa"/>
            <w:vAlign w:val="center"/>
          </w:tcPr>
          <w:p>
            <w:pPr>
              <w:pStyle w:val="39"/>
              <w:spacing w:before="1"/>
              <w:rPr>
                <w:rFonts w:ascii="Times New Roman" w:hAnsi="Times New Roman" w:cs="Times New Roman"/>
                <w:sz w:val="18"/>
                <w:lang w:eastAsia="zh-CN"/>
              </w:rPr>
            </w:pPr>
            <w:r>
              <w:rPr>
                <w:rFonts w:ascii="Times New Roman" w:hAnsi="Times New Roman" w:cs="Times New Roman"/>
                <w:sz w:val="18"/>
                <w:lang w:eastAsia="zh-CN"/>
              </w:rPr>
              <w:t>锰、钴、硒、钒、锑、铊、铍、钼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rPr>
            </w:pPr>
            <w:r>
              <w:rPr>
                <w:rFonts w:ascii="Times New Roman" w:hAnsi="Times New Roman" w:cs="Times New Roman"/>
                <w:sz w:val="18"/>
              </w:rPr>
              <w:t>A3 类-无机物 2 种</w:t>
            </w:r>
          </w:p>
        </w:tc>
        <w:tc>
          <w:tcPr>
            <w:tcW w:w="10520" w:type="dxa"/>
            <w:vAlign w:val="center"/>
          </w:tcPr>
          <w:p>
            <w:pPr>
              <w:pStyle w:val="39"/>
              <w:spacing w:before="1"/>
              <w:rPr>
                <w:rFonts w:ascii="Times New Roman" w:hAnsi="Times New Roman" w:cs="Times New Roman"/>
                <w:sz w:val="18"/>
              </w:rPr>
            </w:pPr>
            <w:r>
              <w:rPr>
                <w:rFonts w:ascii="Times New Roman" w:hAnsi="Times New Roman" w:cs="Times New Roman"/>
                <w:sz w:val="18"/>
              </w:rPr>
              <w:t>氰化物、氟化物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2942" w:type="dxa"/>
            <w:vAlign w:val="center"/>
          </w:tcPr>
          <w:p>
            <w:pPr>
              <w:pStyle w:val="39"/>
              <w:spacing w:before="174"/>
              <w:rPr>
                <w:rFonts w:ascii="Times New Roman" w:hAnsi="Times New Roman" w:cs="Times New Roman"/>
                <w:sz w:val="18"/>
              </w:rPr>
            </w:pPr>
            <w:r>
              <w:rPr>
                <w:rFonts w:ascii="Times New Roman" w:hAnsi="Times New Roman" w:cs="Times New Roman"/>
                <w:sz w:val="18"/>
              </w:rPr>
              <w:t>B1 类-挥发性有机物 16 种</w:t>
            </w:r>
          </w:p>
        </w:tc>
        <w:tc>
          <w:tcPr>
            <w:tcW w:w="10520" w:type="dxa"/>
            <w:vAlign w:val="center"/>
          </w:tcPr>
          <w:p>
            <w:pPr>
              <w:pStyle w:val="39"/>
              <w:spacing w:before="1"/>
              <w:rPr>
                <w:rFonts w:ascii="Times New Roman" w:hAnsi="Times New Roman" w:cs="Times New Roman"/>
                <w:sz w:val="18"/>
              </w:rPr>
            </w:pPr>
            <w:r>
              <w:rPr>
                <w:rFonts w:ascii="Times New Roman" w:hAnsi="Times New Roman" w:cs="Times New Roman"/>
                <w:sz w:val="18"/>
              </w:rPr>
              <w:t>二氯乙烯、二氯甲烷、二氯乙烷、氯仿、三氯乙烷、四氯化碳、二氯丙烷、三氯乙烯、三氯乙烷、四氯乙烯、四氯乙烷、二溴氯甲烷、溴仿、三氯丙烷、六氯丁二烯、六氯乙烷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2"/>
              <w:rPr>
                <w:rFonts w:ascii="Times New Roman" w:hAnsi="Times New Roman" w:cs="Times New Roman"/>
                <w:sz w:val="18"/>
              </w:rPr>
            </w:pPr>
            <w:r>
              <w:rPr>
                <w:rFonts w:ascii="Times New Roman" w:hAnsi="Times New Roman" w:cs="Times New Roman"/>
                <w:sz w:val="18"/>
              </w:rPr>
              <w:t>B2 类-挥发性有机物 9 种</w:t>
            </w:r>
          </w:p>
        </w:tc>
        <w:tc>
          <w:tcPr>
            <w:tcW w:w="10520" w:type="dxa"/>
            <w:vAlign w:val="center"/>
          </w:tcPr>
          <w:p>
            <w:pPr>
              <w:pStyle w:val="39"/>
              <w:spacing w:before="2"/>
              <w:rPr>
                <w:rFonts w:ascii="Times New Roman" w:hAnsi="Times New Roman" w:cs="Times New Roman"/>
                <w:sz w:val="18"/>
              </w:rPr>
            </w:pPr>
            <w:r>
              <w:rPr>
                <w:rFonts w:ascii="Times New Roman" w:hAnsi="Times New Roman" w:cs="Times New Roman"/>
                <w:sz w:val="18"/>
              </w:rPr>
              <w:t>苯、甲苯、氯苯、乙苯、二甲苯、苯乙烯、三甲苯、二氯苯、三氯苯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2"/>
              <w:rPr>
                <w:rFonts w:ascii="Times New Roman" w:hAnsi="Times New Roman" w:cs="Times New Roman"/>
                <w:sz w:val="18"/>
                <w:lang w:eastAsia="zh-CN"/>
              </w:rPr>
            </w:pPr>
            <w:r>
              <w:rPr>
                <w:rFonts w:ascii="Times New Roman" w:hAnsi="Times New Roman" w:cs="Times New Roman"/>
                <w:sz w:val="18"/>
                <w:lang w:eastAsia="zh-CN"/>
              </w:rPr>
              <w:t>B3 类-半挥发性有机物 1 种</w:t>
            </w:r>
          </w:p>
        </w:tc>
        <w:tc>
          <w:tcPr>
            <w:tcW w:w="10520" w:type="dxa"/>
            <w:vAlign w:val="center"/>
          </w:tcPr>
          <w:p>
            <w:pPr>
              <w:pStyle w:val="39"/>
              <w:spacing w:before="2"/>
              <w:rPr>
                <w:rFonts w:ascii="Times New Roman" w:hAnsi="Times New Roman" w:cs="Times New Roman"/>
                <w:sz w:val="18"/>
              </w:rPr>
            </w:pPr>
            <w:r>
              <w:rPr>
                <w:rFonts w:ascii="Times New Roman" w:hAnsi="Times New Roman" w:cs="Times New Roman"/>
                <w:sz w:val="18"/>
              </w:rPr>
              <w:t>硝基苯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2942" w:type="dxa"/>
            <w:vAlign w:val="center"/>
          </w:tcPr>
          <w:p>
            <w:pPr>
              <w:pStyle w:val="39"/>
              <w:spacing w:before="2"/>
              <w:rPr>
                <w:rFonts w:ascii="Times New Roman" w:hAnsi="Times New Roman" w:cs="Times New Roman"/>
                <w:sz w:val="18"/>
                <w:lang w:eastAsia="zh-CN"/>
              </w:rPr>
            </w:pPr>
            <w:r>
              <w:rPr>
                <w:rFonts w:ascii="Times New Roman" w:hAnsi="Times New Roman" w:cs="Times New Roman"/>
                <w:sz w:val="18"/>
                <w:lang w:eastAsia="zh-CN"/>
              </w:rPr>
              <w:t>B4 类-半挥发性有机物 4 种</w:t>
            </w:r>
          </w:p>
        </w:tc>
        <w:tc>
          <w:tcPr>
            <w:tcW w:w="10520" w:type="dxa"/>
            <w:vAlign w:val="center"/>
          </w:tcPr>
          <w:p>
            <w:pPr>
              <w:pStyle w:val="39"/>
              <w:spacing w:before="2"/>
              <w:rPr>
                <w:rFonts w:ascii="Times New Roman" w:hAnsi="Times New Roman" w:cs="Times New Roman"/>
                <w:sz w:val="18"/>
              </w:rPr>
            </w:pPr>
            <w:r>
              <w:rPr>
                <w:rFonts w:ascii="Times New Roman" w:hAnsi="Times New Roman" w:cs="Times New Roman"/>
                <w:sz w:val="18"/>
              </w:rPr>
              <w:t>苯酚、硝基酚、二甲基酚、二氯酚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2942" w:type="dxa"/>
            <w:vAlign w:val="center"/>
          </w:tcPr>
          <w:p>
            <w:pPr>
              <w:pStyle w:val="39"/>
              <w:spacing w:before="176"/>
              <w:rPr>
                <w:rFonts w:ascii="Times New Roman" w:hAnsi="Times New Roman" w:cs="Times New Roman"/>
                <w:sz w:val="18"/>
              </w:rPr>
            </w:pPr>
            <w:r>
              <w:rPr>
                <w:rFonts w:ascii="Times New Roman" w:hAnsi="Times New Roman" w:cs="Times New Roman"/>
                <w:sz w:val="18"/>
              </w:rPr>
              <w:t>C1 类-多环芳烃类 15 种</w:t>
            </w:r>
          </w:p>
        </w:tc>
        <w:tc>
          <w:tcPr>
            <w:tcW w:w="10520" w:type="dxa"/>
            <w:vAlign w:val="center"/>
          </w:tcPr>
          <w:p>
            <w:pPr>
              <w:pStyle w:val="39"/>
              <w:spacing w:before="1"/>
              <w:rPr>
                <w:rFonts w:ascii="Times New Roman" w:hAnsi="Times New Roman" w:cs="Times New Roman"/>
                <w:sz w:val="18"/>
              </w:rPr>
            </w:pPr>
            <w:r>
              <w:rPr>
                <w:rFonts w:ascii="Times New Roman" w:hAnsi="Times New Roman" w:cs="Times New Roman"/>
                <w:sz w:val="18"/>
              </w:rPr>
              <w:t>苊烯、苊、芴、菲、蒽、荧蒽、芘、苯并[a]蒽、屈、苯并[b]荧蒽、苯并[k]荧蒽、苯并[a]芘、茚并[1,2,3-c,d]芘、二苯并[a,h]蒽、苯并[g,h,i]苝</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lang w:eastAsia="zh-CN"/>
              </w:rPr>
            </w:pPr>
            <w:r>
              <w:rPr>
                <w:rFonts w:ascii="Times New Roman" w:hAnsi="Times New Roman" w:cs="Times New Roman"/>
                <w:sz w:val="18"/>
                <w:lang w:eastAsia="zh-CN"/>
              </w:rPr>
              <w:t>C2 类-农药和持久性有机物</w:t>
            </w:r>
          </w:p>
        </w:tc>
        <w:tc>
          <w:tcPr>
            <w:tcW w:w="10520" w:type="dxa"/>
            <w:vAlign w:val="center"/>
          </w:tcPr>
          <w:p>
            <w:pPr>
              <w:pStyle w:val="39"/>
              <w:spacing w:before="1"/>
              <w:rPr>
                <w:rFonts w:ascii="Times New Roman" w:hAnsi="Times New Roman" w:cs="Times New Roman"/>
                <w:sz w:val="18"/>
                <w:lang w:eastAsia="zh-CN"/>
              </w:rPr>
            </w:pPr>
            <w:r>
              <w:rPr>
                <w:rFonts w:ascii="Times New Roman" w:hAnsi="Times New Roman" w:cs="Times New Roman"/>
                <w:sz w:val="18"/>
                <w:lang w:eastAsia="zh-CN"/>
              </w:rPr>
              <w:t>滴滴涕、六六六、氯丹、灭蚁灵、六氯苯、七氯、三氯杀螨醇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rPr>
            </w:pPr>
            <w:r>
              <w:rPr>
                <w:rFonts w:ascii="Times New Roman" w:hAnsi="Times New Roman" w:cs="Times New Roman"/>
                <w:sz w:val="18"/>
              </w:rPr>
              <w:t>C3 类-石油烃</w:t>
            </w:r>
          </w:p>
        </w:tc>
        <w:tc>
          <w:tcPr>
            <w:tcW w:w="10520" w:type="dxa"/>
            <w:vAlign w:val="center"/>
          </w:tcPr>
          <w:p>
            <w:pPr>
              <w:pStyle w:val="39"/>
              <w:spacing w:before="5"/>
              <w:rPr>
                <w:rFonts w:ascii="Times New Roman" w:hAnsi="Times New Roman" w:cs="Times New Roman"/>
                <w:sz w:val="18"/>
              </w:rPr>
            </w:pPr>
            <w:r>
              <w:rPr>
                <w:rFonts w:ascii="Times New Roman" w:hAnsi="Times New Roman" w:cs="Times New Roman"/>
                <w:position w:val="1"/>
                <w:sz w:val="18"/>
              </w:rPr>
              <w:t>C</w:t>
            </w:r>
            <w:r>
              <w:rPr>
                <w:rFonts w:ascii="Times New Roman" w:hAnsi="Times New Roman" w:cs="Times New Roman"/>
                <w:position w:val="1"/>
                <w:sz w:val="18"/>
                <w:vertAlign w:val="subscript"/>
              </w:rPr>
              <w:t>10</w:t>
            </w:r>
            <w:r>
              <w:rPr>
                <w:rFonts w:ascii="Times New Roman" w:hAnsi="Times New Roman" w:cs="Times New Roman"/>
                <w:position w:val="1"/>
                <w:sz w:val="18"/>
              </w:rPr>
              <w:t>-C</w:t>
            </w:r>
            <w:r>
              <w:rPr>
                <w:rFonts w:ascii="Times New Roman" w:hAnsi="Times New Roman" w:cs="Times New Roman"/>
                <w:position w:val="1"/>
                <w:sz w:val="18"/>
                <w:vertAlign w:val="subscript"/>
              </w:rPr>
              <w:t>40</w:t>
            </w:r>
            <w:r>
              <w:rPr>
                <w:rFonts w:ascii="Times New Roman" w:hAnsi="Times New Roman" w:cs="Times New Roman"/>
                <w:position w:val="1"/>
                <w:sz w:val="18"/>
              </w:rPr>
              <w:t xml:space="preserve"> 总量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1" w:hRule="atLeast"/>
          <w:jc w:val="center"/>
        </w:trPr>
        <w:tc>
          <w:tcPr>
            <w:tcW w:w="2942" w:type="dxa"/>
            <w:vAlign w:val="center"/>
          </w:tcPr>
          <w:p>
            <w:pPr>
              <w:pStyle w:val="39"/>
              <w:rPr>
                <w:rFonts w:ascii="Times New Roman" w:hAnsi="Times New Roman" w:cs="Times New Roman"/>
                <w:sz w:val="18"/>
              </w:rPr>
            </w:pPr>
            <w:r>
              <w:rPr>
                <w:rFonts w:ascii="Times New Roman" w:hAnsi="Times New Roman" w:cs="Times New Roman"/>
                <w:sz w:val="18"/>
              </w:rPr>
              <w:t>C4 类-多氯联苯 12 种</w:t>
            </w:r>
          </w:p>
        </w:tc>
        <w:tc>
          <w:tcPr>
            <w:tcW w:w="10520" w:type="dxa"/>
            <w:vAlign w:val="center"/>
          </w:tcPr>
          <w:p>
            <w:pPr>
              <w:pStyle w:val="39"/>
              <w:spacing w:before="1"/>
              <w:ind w:right="-15"/>
              <w:rPr>
                <w:rFonts w:ascii="Times New Roman" w:hAnsi="Times New Roman" w:cs="Times New Roman"/>
                <w:sz w:val="18"/>
                <w:lang w:eastAsia="zh-CN"/>
              </w:rPr>
            </w:pP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2"/>
                <w:sz w:val="18"/>
                <w:lang w:eastAsia="zh-CN"/>
              </w:rPr>
              <w:t>5</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pacing w:val="-1"/>
                <w:sz w:val="18"/>
                <w:lang w:eastAsia="zh-CN"/>
              </w:rPr>
              <w:t>'-</w:t>
            </w:r>
            <w:r>
              <w:rPr>
                <w:rFonts w:ascii="Times New Roman" w:hAnsi="Times New Roman" w:cs="Times New Roman"/>
                <w:spacing w:val="-18"/>
                <w:sz w:val="18"/>
                <w:lang w:eastAsia="zh-CN"/>
              </w:rPr>
              <w:t>七氯联苯</w:t>
            </w:r>
            <w:r>
              <w:rPr>
                <w:rFonts w:ascii="Times New Roman" w:hAnsi="Times New Roman" w:cs="Times New Roman"/>
                <w:spacing w:val="-8"/>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8</w:t>
            </w:r>
            <w:r>
              <w:rPr>
                <w:rFonts w:ascii="Times New Roman" w:hAnsi="Times New Roman" w:cs="Times New Roman"/>
                <w:spacing w:val="1"/>
                <w:sz w:val="18"/>
                <w:lang w:eastAsia="zh-CN"/>
              </w:rPr>
              <w:t>9</w:t>
            </w:r>
            <w:r>
              <w:rPr>
                <w:rFonts w:ascii="Times New Roman" w:hAnsi="Times New Roman" w:cs="Times New Roman"/>
                <w:spacing w:val="-80"/>
                <w:sz w:val="18"/>
                <w:lang w:eastAsia="zh-CN"/>
              </w:rPr>
              <w:t>）、</w:t>
            </w: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2"/>
                <w:sz w:val="18"/>
                <w:lang w:eastAsia="zh-CN"/>
              </w:rPr>
              <w:t>5'</w:t>
            </w:r>
            <w:r>
              <w:rPr>
                <w:rFonts w:ascii="Times New Roman" w:hAnsi="Times New Roman" w:cs="Times New Roman"/>
                <w:spacing w:val="2"/>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5"/>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67</w:t>
            </w:r>
            <w:r>
              <w:rPr>
                <w:rFonts w:ascii="Times New Roman" w:hAnsi="Times New Roman" w:cs="Times New Roman"/>
                <w:spacing w:val="-80"/>
                <w:sz w:val="18"/>
                <w:lang w:eastAsia="zh-CN"/>
              </w:rPr>
              <w:t>）、</w:t>
            </w: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2"/>
                <w:sz w:val="18"/>
                <w:lang w:eastAsia="zh-CN"/>
              </w:rPr>
              <w:t>5'</w:t>
            </w:r>
            <w:r>
              <w:rPr>
                <w:rFonts w:ascii="Times New Roman" w:hAnsi="Times New Roman" w:cs="Times New Roman"/>
                <w:spacing w:val="2"/>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5"/>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5</w:t>
            </w:r>
            <w:r>
              <w:rPr>
                <w:rFonts w:ascii="Times New Roman" w:hAnsi="Times New Roman" w:cs="Times New Roman"/>
                <w:spacing w:val="-2"/>
                <w:sz w:val="18"/>
                <w:lang w:eastAsia="zh-CN"/>
              </w:rPr>
              <w:t>7</w:t>
            </w:r>
            <w:r>
              <w:rPr>
                <w:rFonts w:ascii="Times New Roman" w:hAnsi="Times New Roman" w:cs="Times New Roman"/>
                <w:spacing w:val="-80"/>
                <w:sz w:val="18"/>
                <w:lang w:eastAsia="zh-CN"/>
              </w:rPr>
              <w:t>）</w:t>
            </w:r>
            <w:r>
              <w:rPr>
                <w:rFonts w:ascii="Times New Roman" w:hAnsi="Times New Roman" w:cs="Times New Roman"/>
                <w:spacing w:val="-7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8"/>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5</w:t>
            </w:r>
            <w:r>
              <w:rPr>
                <w:rFonts w:ascii="Times New Roman" w:hAnsi="Times New Roman" w:cs="Times New Roman"/>
                <w:spacing w:val="1"/>
                <w:sz w:val="18"/>
                <w:lang w:eastAsia="zh-CN"/>
              </w:rPr>
              <w:t>6</w:t>
            </w:r>
            <w:r>
              <w:rPr>
                <w:rFonts w:ascii="Times New Roman" w:hAnsi="Times New Roman" w:cs="Times New Roman"/>
                <w:spacing w:val="-89"/>
                <w:sz w:val="18"/>
                <w:lang w:eastAsia="zh-CN"/>
              </w:rPr>
              <w:t>）</w:t>
            </w:r>
            <w:r>
              <w:rPr>
                <w:rFonts w:ascii="Times New Roman" w:hAnsi="Times New Roman" w:cs="Times New Roman"/>
                <w:sz w:val="18"/>
                <w:lang w:eastAsia="zh-CN"/>
              </w:rPr>
              <w:t>、</w:t>
            </w:r>
          </w:p>
          <w:p>
            <w:pPr>
              <w:pStyle w:val="39"/>
              <w:spacing w:before="120"/>
              <w:ind w:right="-15"/>
              <w:rPr>
                <w:rFonts w:ascii="Times New Roman" w:hAnsi="Times New Roman" w:cs="Times New Roman"/>
                <w:sz w:val="18"/>
                <w:lang w:eastAsia="zh-CN"/>
              </w:rPr>
            </w:pP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2"/>
                <w:sz w:val="18"/>
                <w:lang w:eastAsia="zh-CN"/>
              </w:rPr>
              <w:t>5'</w:t>
            </w:r>
            <w:r>
              <w:rPr>
                <w:rFonts w:ascii="Times New Roman" w:hAnsi="Times New Roman" w:cs="Times New Roman"/>
                <w:sz w:val="18"/>
                <w:lang w:eastAsia="zh-CN"/>
              </w:rPr>
              <w:t>-</w:t>
            </w:r>
            <w:r>
              <w:rPr>
                <w:rFonts w:ascii="Times New Roman" w:hAnsi="Times New Roman" w:cs="Times New Roman"/>
                <w:spacing w:val="-4"/>
                <w:sz w:val="18"/>
                <w:lang w:eastAsia="zh-CN"/>
              </w:rPr>
              <w:t>六氯联苯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6</w:t>
            </w:r>
            <w:r>
              <w:rPr>
                <w:rFonts w:ascii="Times New Roman" w:hAnsi="Times New Roman" w:cs="Times New Roman"/>
                <w:spacing w:val="-2"/>
                <w:sz w:val="18"/>
                <w:lang w:eastAsia="zh-CN"/>
              </w:rPr>
              <w:t>9</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1"/>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2"/>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1"/>
                <w:sz w:val="18"/>
                <w:lang w:eastAsia="zh-CN"/>
              </w:rPr>
              <w:t>5</w:t>
            </w:r>
            <w:r>
              <w:rPr>
                <w:rFonts w:ascii="Times New Roman" w:hAnsi="Times New Roman" w:cs="Times New Roman"/>
                <w:spacing w:val="-3"/>
                <w:sz w:val="18"/>
                <w:lang w:eastAsia="zh-CN"/>
              </w:rPr>
              <w:t>-</w:t>
            </w:r>
            <w:r>
              <w:rPr>
                <w:rFonts w:ascii="Times New Roman" w:hAnsi="Times New Roman" w:cs="Times New Roman"/>
                <w:spacing w:val="-4"/>
                <w:sz w:val="18"/>
                <w:lang w:eastAsia="zh-CN"/>
              </w:rPr>
              <w:t>五氯联苯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2</w:t>
            </w:r>
            <w:r>
              <w:rPr>
                <w:rFonts w:ascii="Times New Roman" w:hAnsi="Times New Roman" w:cs="Times New Roman"/>
                <w:spacing w:val="-2"/>
                <w:sz w:val="18"/>
                <w:lang w:eastAsia="zh-CN"/>
              </w:rPr>
              <w:t>3</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pacing w:val="-1"/>
                <w:sz w:val="18"/>
                <w:lang w:eastAsia="zh-CN"/>
              </w:rPr>
              <w:t>',</w:t>
            </w:r>
            <w:r>
              <w:rPr>
                <w:rFonts w:ascii="Times New Roman" w:hAnsi="Times New Roman" w:cs="Times New Roman"/>
                <w:spacing w:val="1"/>
                <w:sz w:val="18"/>
                <w:lang w:eastAsia="zh-CN"/>
              </w:rPr>
              <w:t>4</w:t>
            </w:r>
            <w:r>
              <w:rPr>
                <w:rFonts w:ascii="Times New Roman" w:hAnsi="Times New Roman" w:cs="Times New Roman"/>
                <w:spacing w:val="-2"/>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1"/>
                <w:sz w:val="18"/>
                <w:lang w:eastAsia="zh-CN"/>
              </w:rPr>
              <w:t>5</w:t>
            </w:r>
            <w:r>
              <w:rPr>
                <w:rFonts w:ascii="Times New Roman" w:hAnsi="Times New Roman" w:cs="Times New Roman"/>
                <w:spacing w:val="-3"/>
                <w:sz w:val="18"/>
                <w:lang w:eastAsia="zh-CN"/>
              </w:rPr>
              <w:t>-</w:t>
            </w:r>
            <w:r>
              <w:rPr>
                <w:rFonts w:ascii="Times New Roman" w:hAnsi="Times New Roman" w:cs="Times New Roman"/>
                <w:spacing w:val="-4"/>
                <w:sz w:val="18"/>
                <w:lang w:eastAsia="zh-CN"/>
              </w:rPr>
              <w:t>五氯联苯</w:t>
            </w:r>
            <w:r>
              <w:rPr>
                <w:rFonts w:ascii="Times New Roman" w:hAnsi="Times New Roman" w:cs="Times New Roman"/>
                <w:spacing w:val="-3"/>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4"/>
                <w:sz w:val="18"/>
                <w:lang w:eastAsia="zh-CN"/>
              </w:rPr>
              <w:t>1</w:t>
            </w:r>
            <w:r>
              <w:rPr>
                <w:rFonts w:ascii="Times New Roman" w:hAnsi="Times New Roman" w:cs="Times New Roman"/>
                <w:spacing w:val="-2"/>
                <w:sz w:val="18"/>
                <w:lang w:eastAsia="zh-CN"/>
              </w:rPr>
              <w:t>18</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pacing w:val="2"/>
                <w:sz w:val="18"/>
                <w:lang w:eastAsia="zh-CN"/>
              </w:rPr>
              <w:t>-</w:t>
            </w:r>
            <w:r>
              <w:rPr>
                <w:rFonts w:ascii="Times New Roman" w:hAnsi="Times New Roman" w:cs="Times New Roman"/>
                <w:spacing w:val="-5"/>
                <w:sz w:val="18"/>
                <w:lang w:eastAsia="zh-CN"/>
              </w:rPr>
              <w:t>五氯联苯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05</w:t>
            </w:r>
            <w:r>
              <w:rPr>
                <w:rFonts w:ascii="Times New Roman" w:hAnsi="Times New Roman" w:cs="Times New Roman"/>
                <w:spacing w:val="-89"/>
                <w:sz w:val="18"/>
                <w:lang w:eastAsia="zh-CN"/>
              </w:rPr>
              <w:t>）</w:t>
            </w:r>
            <w:r>
              <w:rPr>
                <w:rFonts w:ascii="Times New Roman" w:hAnsi="Times New Roman" w:cs="Times New Roman"/>
                <w:sz w:val="18"/>
                <w:lang w:eastAsia="zh-CN"/>
              </w:rPr>
              <w:t>、</w:t>
            </w:r>
          </w:p>
          <w:p>
            <w:pPr>
              <w:pStyle w:val="39"/>
              <w:spacing w:before="119"/>
              <w:rPr>
                <w:rFonts w:ascii="Times New Roman" w:hAnsi="Times New Roman" w:cs="Times New Roman"/>
                <w:sz w:val="18"/>
                <w:lang w:eastAsia="zh-CN"/>
              </w:rPr>
            </w:pPr>
            <w:r>
              <w:rPr>
                <w:rFonts w:ascii="Times New Roman" w:hAnsi="Times New Roman" w:cs="Times New Roman"/>
                <w:sz w:val="18"/>
                <w:lang w:eastAsia="zh-CN"/>
              </w:rPr>
              <w:t>2,3,4,4',5-五氯联苯（PCB114）、3,3',4,4',5-五氯联苯（PCB126）、3,3',4,4'-四氯联苯（PCB77）、3,4,4',5-四氯联苯（PCB81）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rPr>
            </w:pPr>
            <w:r>
              <w:rPr>
                <w:rFonts w:ascii="Times New Roman" w:hAnsi="Times New Roman" w:cs="Times New Roman"/>
                <w:sz w:val="18"/>
              </w:rPr>
              <w:t>C5 类-二噁英类</w:t>
            </w:r>
          </w:p>
        </w:tc>
        <w:tc>
          <w:tcPr>
            <w:tcW w:w="10520" w:type="dxa"/>
            <w:vAlign w:val="center"/>
          </w:tcPr>
          <w:p>
            <w:pPr>
              <w:pStyle w:val="39"/>
              <w:spacing w:before="1"/>
              <w:rPr>
                <w:rFonts w:ascii="Times New Roman" w:hAnsi="Times New Roman" w:cs="Times New Roman"/>
                <w:sz w:val="18"/>
                <w:lang w:eastAsia="zh-CN"/>
              </w:rPr>
            </w:pPr>
            <w:r>
              <w:rPr>
                <w:rFonts w:ascii="Times New Roman" w:hAnsi="Times New Roman" w:cs="Times New Roman"/>
                <w:sz w:val="18"/>
                <w:lang w:eastAsia="zh-CN"/>
              </w:rPr>
              <w:t>二噁英类（具有毒性当量组分）*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9"/>
              <w:spacing w:before="1"/>
              <w:rPr>
                <w:rFonts w:ascii="Times New Roman" w:hAnsi="Times New Roman" w:cs="Times New Roman"/>
                <w:sz w:val="18"/>
              </w:rPr>
            </w:pPr>
            <w:r>
              <w:rPr>
                <w:rFonts w:ascii="Times New Roman" w:hAnsi="Times New Roman" w:cs="Times New Roman"/>
                <w:sz w:val="18"/>
              </w:rPr>
              <w:t>D1 类-土壤 pH</w:t>
            </w:r>
          </w:p>
        </w:tc>
        <w:tc>
          <w:tcPr>
            <w:tcW w:w="10520" w:type="dxa"/>
            <w:vAlign w:val="center"/>
          </w:tcPr>
          <w:p>
            <w:pPr>
              <w:pStyle w:val="39"/>
              <w:spacing w:before="1"/>
              <w:rPr>
                <w:rFonts w:ascii="Times New Roman" w:hAnsi="Times New Roman" w:cs="Times New Roman"/>
                <w:sz w:val="18"/>
              </w:rPr>
            </w:pPr>
            <w:r>
              <w:rPr>
                <w:rFonts w:ascii="Times New Roman" w:hAnsi="Times New Roman" w:cs="Times New Roman"/>
                <w:sz w:val="18"/>
              </w:rPr>
              <w:t>土壤 pH</w:t>
            </w:r>
          </w:p>
        </w:tc>
      </w:tr>
    </w:tbl>
    <w:p>
      <w:pPr>
        <w:spacing w:before="42"/>
        <w:ind w:firstLine="420"/>
        <w:rPr>
          <w:sz w:val="18"/>
        </w:rPr>
      </w:pPr>
      <w:r>
        <w:rPr>
          <w:sz w:val="18"/>
        </w:rPr>
        <w:t>注：</w:t>
      </w:r>
      <w:r>
        <w:rPr>
          <w:rFonts w:ascii="Times New Roman" w:eastAsia="Times New Roman"/>
          <w:sz w:val="18"/>
        </w:rPr>
        <w:t>*</w:t>
      </w:r>
      <w:r>
        <w:rPr>
          <w:sz w:val="18"/>
        </w:rPr>
        <w:t>不含共平面多氯联苯。</w:t>
      </w:r>
    </w:p>
    <w:p>
      <w:pPr>
        <w:pStyle w:val="8"/>
        <w:spacing w:before="7"/>
        <w:jc w:val="center"/>
        <w:rPr>
          <w:rFonts w:ascii="Times New Roman" w:hAnsi="Times New Roman" w:cs="Times New Roman"/>
          <w:snapToGrid w:val="0"/>
          <w:sz w:val="24"/>
          <w:szCs w:val="24"/>
          <w:lang w:eastAsia="zh-CN"/>
        </w:rPr>
      </w:pPr>
    </w:p>
    <w:p>
      <w:pPr>
        <w:pStyle w:val="8"/>
        <w:spacing w:before="7"/>
        <w:jc w:val="center"/>
        <w:rPr>
          <w:rFonts w:ascii="Times New Roman" w:hAnsi="Times New Roman" w:cs="Times New Roman"/>
          <w:snapToGrid w:val="0"/>
          <w:sz w:val="24"/>
          <w:szCs w:val="24"/>
          <w:lang w:eastAsia="zh-CN"/>
        </w:rPr>
        <w:sectPr>
          <w:pgSz w:w="16838" w:h="11906" w:orient="landscape"/>
          <w:pgMar w:top="1800" w:right="1440" w:bottom="1800" w:left="1440" w:header="851" w:footer="992" w:gutter="0"/>
          <w:cols w:space="425" w:num="1"/>
          <w:docGrid w:type="lines" w:linePitch="312" w:charSpace="0"/>
        </w:sectPr>
      </w:pPr>
    </w:p>
    <w:p>
      <w:pPr>
        <w:pStyle w:val="8"/>
        <w:spacing w:before="7"/>
        <w:jc w:val="center"/>
        <w:rPr>
          <w:rFonts w:ascii="Times New Roman" w:hAnsi="Times New Roman" w:cs="Times New Roman"/>
          <w:b/>
          <w:snapToGrid w:val="0"/>
          <w:sz w:val="24"/>
          <w:szCs w:val="24"/>
          <w:lang w:eastAsia="zh-CN"/>
        </w:rPr>
      </w:pPr>
      <w:r>
        <w:rPr>
          <w:rFonts w:hint="eastAsia" w:ascii="Times New Roman" w:hAnsi="Times New Roman" w:cs="Times New Roman"/>
          <w:b/>
          <w:snapToGrid w:val="0"/>
          <w:sz w:val="24"/>
          <w:szCs w:val="24"/>
          <w:lang w:eastAsia="zh-CN"/>
        </w:rPr>
        <w:t>表7.1-2</w:t>
      </w:r>
      <w:r>
        <w:rPr>
          <w:rFonts w:ascii="Times New Roman" w:hAnsi="Times New Roman" w:cs="Times New Roman"/>
          <w:b/>
          <w:snapToGrid w:val="0"/>
          <w:sz w:val="24"/>
          <w:szCs w:val="24"/>
          <w:lang w:eastAsia="zh-CN"/>
        </w:rPr>
        <w:t xml:space="preserve"> </w:t>
      </w:r>
      <w:r>
        <w:rPr>
          <w:rFonts w:hint="eastAsia" w:ascii="Times New Roman" w:hAnsi="Times New Roman" w:cs="Times New Roman"/>
          <w:b/>
          <w:snapToGrid w:val="0"/>
          <w:sz w:val="24"/>
          <w:szCs w:val="24"/>
          <w:lang w:eastAsia="zh-CN"/>
        </w:rPr>
        <w:t>各行业常见污染物类别</w:t>
      </w:r>
    </w:p>
    <w:tbl>
      <w:tblPr>
        <w:tblStyle w:val="19"/>
        <w:tblW w:w="1400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2684"/>
        <w:gridCol w:w="3412"/>
        <w:gridCol w:w="791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01" w:hRule="atLeast"/>
          <w:tblHeader/>
          <w:jc w:val="center"/>
        </w:trPr>
        <w:tc>
          <w:tcPr>
            <w:tcW w:w="2684" w:type="dxa"/>
            <w:vAlign w:val="center"/>
          </w:tcPr>
          <w:p>
            <w:pPr>
              <w:pStyle w:val="39"/>
              <w:ind w:right="25"/>
              <w:jc w:val="center"/>
              <w:rPr>
                <w:rFonts w:ascii="Times New Roman" w:hAnsi="Times New Roman" w:cs="Times New Roman"/>
                <w:b/>
                <w:sz w:val="18"/>
                <w:szCs w:val="18"/>
              </w:rPr>
            </w:pPr>
            <w:r>
              <w:rPr>
                <w:rFonts w:ascii="Times New Roman" w:hAnsi="Times New Roman" w:cs="Times New Roman"/>
                <w:b/>
                <w:sz w:val="18"/>
                <w:szCs w:val="18"/>
              </w:rPr>
              <w:t>大类</w:t>
            </w:r>
          </w:p>
        </w:tc>
        <w:tc>
          <w:tcPr>
            <w:tcW w:w="3412" w:type="dxa"/>
            <w:vAlign w:val="center"/>
          </w:tcPr>
          <w:p>
            <w:pPr>
              <w:pStyle w:val="39"/>
              <w:ind w:right="89"/>
              <w:jc w:val="center"/>
              <w:rPr>
                <w:rFonts w:ascii="Times New Roman" w:hAnsi="Times New Roman" w:cs="Times New Roman"/>
                <w:b/>
                <w:sz w:val="18"/>
                <w:szCs w:val="18"/>
              </w:rPr>
            </w:pPr>
            <w:r>
              <w:rPr>
                <w:rFonts w:ascii="Times New Roman" w:hAnsi="Times New Roman" w:cs="Times New Roman"/>
                <w:b/>
                <w:sz w:val="18"/>
                <w:szCs w:val="18"/>
              </w:rPr>
              <w:t>中类</w:t>
            </w:r>
          </w:p>
        </w:tc>
        <w:tc>
          <w:tcPr>
            <w:tcW w:w="7910" w:type="dxa"/>
            <w:vAlign w:val="center"/>
          </w:tcPr>
          <w:p>
            <w:pPr>
              <w:pStyle w:val="39"/>
              <w:ind w:right="353"/>
              <w:jc w:val="center"/>
              <w:rPr>
                <w:rFonts w:ascii="Times New Roman" w:hAnsi="Times New Roman" w:cs="Times New Roman"/>
                <w:b/>
                <w:sz w:val="18"/>
                <w:szCs w:val="18"/>
              </w:rPr>
            </w:pPr>
            <w:r>
              <w:rPr>
                <w:rFonts w:ascii="Times New Roman" w:hAnsi="Times New Roman" w:cs="Times New Roman"/>
                <w:b/>
                <w:sz w:val="18"/>
                <w:szCs w:val="18"/>
              </w:rPr>
              <w:t>常见污染物类别</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55" w:hRule="atLeast"/>
          <w:jc w:val="center"/>
        </w:trPr>
        <w:tc>
          <w:tcPr>
            <w:tcW w:w="2684" w:type="dxa"/>
            <w:vAlign w:val="center"/>
          </w:tcPr>
          <w:p>
            <w:pPr>
              <w:pStyle w:val="39"/>
              <w:spacing w:before="111"/>
              <w:ind w:right="25"/>
              <w:jc w:val="center"/>
              <w:rPr>
                <w:rFonts w:ascii="Times New Roman" w:hAnsi="Times New Roman" w:cs="Times New Roman"/>
                <w:sz w:val="18"/>
                <w:szCs w:val="18"/>
              </w:rPr>
            </w:pPr>
            <w:r>
              <w:rPr>
                <w:rFonts w:ascii="Times New Roman" w:hAnsi="Times New Roman" w:cs="Times New Roman"/>
                <w:sz w:val="18"/>
                <w:szCs w:val="18"/>
              </w:rPr>
              <w:t>07 石油和天然气开采业</w:t>
            </w:r>
          </w:p>
        </w:tc>
        <w:tc>
          <w:tcPr>
            <w:tcW w:w="3412" w:type="dxa"/>
            <w:vAlign w:val="center"/>
          </w:tcPr>
          <w:p>
            <w:pPr>
              <w:pStyle w:val="39"/>
              <w:spacing w:before="94"/>
              <w:ind w:right="86"/>
              <w:jc w:val="center"/>
              <w:rPr>
                <w:rFonts w:ascii="Times New Roman" w:hAnsi="Times New Roman" w:cs="Times New Roman"/>
                <w:sz w:val="18"/>
                <w:szCs w:val="18"/>
              </w:rPr>
            </w:pPr>
            <w:r>
              <w:rPr>
                <w:rFonts w:ascii="Times New Roman" w:hAnsi="Times New Roman" w:cs="Times New Roman"/>
                <w:sz w:val="18"/>
                <w:szCs w:val="18"/>
              </w:rPr>
              <w:t>071 石油开采</w:t>
            </w:r>
          </w:p>
        </w:tc>
        <w:tc>
          <w:tcPr>
            <w:tcW w:w="7910" w:type="dxa"/>
            <w:vAlign w:val="center"/>
          </w:tcPr>
          <w:p>
            <w:pPr>
              <w:pStyle w:val="39"/>
              <w:spacing w:before="111"/>
              <w:ind w:right="353"/>
              <w:jc w:val="center"/>
              <w:rPr>
                <w:rFonts w:ascii="Times New Roman" w:hAnsi="Times New Roman" w:cs="Times New Roman"/>
                <w:sz w:val="18"/>
                <w:szCs w:val="18"/>
              </w:rPr>
            </w:pPr>
            <w:r>
              <w:rPr>
                <w:rFonts w:ascii="Times New Roman" w:hAnsi="Times New Roman" w:cs="Times New Roman"/>
                <w:sz w:val="18"/>
                <w:szCs w:val="18"/>
              </w:rPr>
              <w:t>A1 类、B2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restart"/>
            <w:vAlign w:val="center"/>
          </w:tcPr>
          <w:p>
            <w:pPr>
              <w:pStyle w:val="39"/>
              <w:rPr>
                <w:rFonts w:ascii="Times New Roman" w:hAnsi="Times New Roman" w:cs="Times New Roman"/>
                <w:sz w:val="18"/>
                <w:szCs w:val="18"/>
              </w:rPr>
            </w:pPr>
            <w:r>
              <w:rPr>
                <w:rFonts w:ascii="Times New Roman" w:hAnsi="Times New Roman" w:cs="Times New Roman"/>
                <w:sz w:val="18"/>
                <w:szCs w:val="18"/>
              </w:rPr>
              <w:t>08 黑色金属矿采选业</w:t>
            </w:r>
          </w:p>
        </w:tc>
        <w:tc>
          <w:tcPr>
            <w:tcW w:w="3412" w:type="dxa"/>
            <w:vAlign w:val="center"/>
          </w:tcPr>
          <w:p>
            <w:pPr>
              <w:pStyle w:val="39"/>
              <w:spacing w:before="1"/>
              <w:ind w:right="86"/>
              <w:jc w:val="center"/>
              <w:rPr>
                <w:rFonts w:ascii="Times New Roman" w:hAnsi="Times New Roman" w:cs="Times New Roman"/>
                <w:sz w:val="18"/>
                <w:szCs w:val="18"/>
              </w:rPr>
            </w:pPr>
            <w:r>
              <w:rPr>
                <w:rFonts w:ascii="Times New Roman" w:hAnsi="Times New Roman" w:cs="Times New Roman"/>
                <w:sz w:val="18"/>
                <w:szCs w:val="18"/>
              </w:rPr>
              <w:t>081 铁矿采选</w:t>
            </w:r>
          </w:p>
        </w:tc>
        <w:tc>
          <w:tcPr>
            <w:tcW w:w="7910" w:type="dxa"/>
            <w:vMerge w:val="restart"/>
            <w:vAlign w:val="center"/>
          </w:tcPr>
          <w:p>
            <w:pPr>
              <w:pStyle w:val="39"/>
              <w:ind w:right="351"/>
              <w:jc w:val="center"/>
              <w:rPr>
                <w:rFonts w:ascii="Times New Roman" w:hAnsi="Times New Roman" w:cs="Times New Roman"/>
                <w:sz w:val="18"/>
                <w:szCs w:val="18"/>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082 锰矿、铬矿采选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089 其他黑色金属矿采选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restart"/>
            <w:vAlign w:val="center"/>
          </w:tcPr>
          <w:p>
            <w:pPr>
              <w:pStyle w:val="39"/>
              <w:spacing w:before="1"/>
              <w:rPr>
                <w:rFonts w:ascii="Times New Roman" w:hAnsi="Times New Roman" w:cs="Times New Roman"/>
                <w:sz w:val="18"/>
                <w:szCs w:val="18"/>
              </w:rPr>
            </w:pPr>
            <w:r>
              <w:rPr>
                <w:rFonts w:ascii="Times New Roman" w:hAnsi="Times New Roman" w:cs="Times New Roman"/>
                <w:sz w:val="18"/>
                <w:szCs w:val="18"/>
              </w:rPr>
              <w:t>09 有色金属矿采选业</w:t>
            </w: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091 常用有色金属矿采选</w:t>
            </w:r>
          </w:p>
        </w:tc>
        <w:tc>
          <w:tcPr>
            <w:tcW w:w="7910" w:type="dxa"/>
            <w:vMerge w:val="restart"/>
            <w:vAlign w:val="center"/>
          </w:tcPr>
          <w:p>
            <w:pPr>
              <w:pStyle w:val="39"/>
              <w:spacing w:before="1"/>
              <w:ind w:right="353"/>
              <w:jc w:val="center"/>
              <w:rPr>
                <w:rFonts w:ascii="Times New Roman" w:hAnsi="Times New Roman" w:cs="Times New Roman"/>
                <w:sz w:val="18"/>
                <w:szCs w:val="18"/>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6"/>
              <w:jc w:val="center"/>
              <w:rPr>
                <w:rFonts w:ascii="Times New Roman" w:hAnsi="Times New Roman" w:cs="Times New Roman"/>
                <w:sz w:val="18"/>
                <w:szCs w:val="18"/>
              </w:rPr>
            </w:pPr>
            <w:r>
              <w:rPr>
                <w:rFonts w:ascii="Times New Roman" w:hAnsi="Times New Roman" w:cs="Times New Roman"/>
                <w:sz w:val="18"/>
                <w:szCs w:val="18"/>
              </w:rPr>
              <w:t>092 贵金属矿采选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093 稀有稀土金属矿采选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restart"/>
            <w:vAlign w:val="center"/>
          </w:tcPr>
          <w:p>
            <w:pPr>
              <w:pStyle w:val="39"/>
              <w:ind w:right="25"/>
              <w:jc w:val="center"/>
              <w:rPr>
                <w:rFonts w:ascii="Times New Roman" w:hAnsi="Times New Roman" w:cs="Times New Roman"/>
                <w:sz w:val="18"/>
                <w:szCs w:val="18"/>
              </w:rPr>
            </w:pPr>
            <w:r>
              <w:rPr>
                <w:rFonts w:ascii="Times New Roman" w:hAnsi="Times New Roman" w:cs="Times New Roman"/>
                <w:sz w:val="18"/>
                <w:szCs w:val="18"/>
              </w:rPr>
              <w:t>17 纺织业</w:t>
            </w: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171 棉纺织及印染精加工</w:t>
            </w:r>
          </w:p>
        </w:tc>
        <w:tc>
          <w:tcPr>
            <w:tcW w:w="7910" w:type="dxa"/>
            <w:vMerge w:val="restart"/>
            <w:vAlign w:val="center"/>
          </w:tcPr>
          <w:p>
            <w:pPr>
              <w:pStyle w:val="39"/>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类、B1 类、B2 类、B3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172 毛纺织及染整精加工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9"/>
              <w:jc w:val="center"/>
              <w:rPr>
                <w:rFonts w:ascii="Times New Roman" w:hAnsi="Times New Roman" w:cs="Times New Roman"/>
                <w:sz w:val="18"/>
                <w:szCs w:val="18"/>
              </w:rPr>
            </w:pPr>
            <w:r>
              <w:rPr>
                <w:rFonts w:ascii="Times New Roman" w:hAnsi="Times New Roman" w:cs="Times New Roman"/>
                <w:sz w:val="18"/>
                <w:szCs w:val="18"/>
              </w:rPr>
              <w:t>173 麻纺织及染整精加工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1"/>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174 丝绢纺织及印染精加工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175 化纤织造及印染精加工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64"/>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176 针织或钩针编织物及其制品制造</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9"/>
              <w:spacing w:before="67"/>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19 皮革、毛皮、羽毛及其制品和制鞋业</w:t>
            </w:r>
          </w:p>
        </w:tc>
        <w:tc>
          <w:tcPr>
            <w:tcW w:w="3412" w:type="dxa"/>
            <w:vAlign w:val="center"/>
          </w:tcPr>
          <w:p>
            <w:pPr>
              <w:pStyle w:val="39"/>
              <w:spacing w:before="65"/>
              <w:ind w:right="86"/>
              <w:jc w:val="center"/>
              <w:rPr>
                <w:rFonts w:ascii="Times New Roman" w:hAnsi="Times New Roman" w:cs="Times New Roman"/>
                <w:sz w:val="18"/>
                <w:szCs w:val="18"/>
              </w:rPr>
            </w:pPr>
            <w:r>
              <w:rPr>
                <w:rFonts w:ascii="Times New Roman" w:hAnsi="Times New Roman" w:cs="Times New Roman"/>
                <w:sz w:val="18"/>
                <w:szCs w:val="18"/>
              </w:rPr>
              <w:t>191 皮革鞣制加工</w:t>
            </w:r>
          </w:p>
        </w:tc>
        <w:tc>
          <w:tcPr>
            <w:tcW w:w="7910" w:type="dxa"/>
            <w:vMerge w:val="restart"/>
            <w:vAlign w:val="center"/>
          </w:tcPr>
          <w:p>
            <w:pPr>
              <w:pStyle w:val="39"/>
              <w:ind w:right="351"/>
              <w:jc w:val="center"/>
              <w:rPr>
                <w:rFonts w:ascii="Times New Roman" w:hAnsi="Times New Roman" w:cs="Times New Roman"/>
                <w:sz w:val="18"/>
                <w:szCs w:val="18"/>
              </w:rPr>
            </w:pPr>
            <w:r>
              <w:rPr>
                <w:rFonts w:ascii="Times New Roman" w:hAnsi="Times New Roman" w:cs="Times New Roman"/>
                <w:sz w:val="18"/>
                <w:szCs w:val="18"/>
              </w:rPr>
              <w:t>A1 类、A2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63"/>
              <w:ind w:right="89"/>
              <w:jc w:val="center"/>
              <w:rPr>
                <w:rFonts w:ascii="Times New Roman" w:hAnsi="Times New Roman" w:cs="Times New Roman"/>
                <w:sz w:val="18"/>
                <w:szCs w:val="18"/>
              </w:rPr>
            </w:pPr>
            <w:r>
              <w:rPr>
                <w:rFonts w:ascii="Times New Roman" w:hAnsi="Times New Roman" w:cs="Times New Roman"/>
                <w:sz w:val="18"/>
                <w:szCs w:val="18"/>
              </w:rPr>
              <w:t>193 毛皮鞣制及制品加工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9" w:hRule="atLeast"/>
          <w:jc w:val="center"/>
        </w:trPr>
        <w:tc>
          <w:tcPr>
            <w:tcW w:w="2684" w:type="dxa"/>
            <w:vAlign w:val="center"/>
          </w:tcPr>
          <w:p>
            <w:pPr>
              <w:pStyle w:val="39"/>
              <w:spacing w:before="64"/>
              <w:ind w:right="25"/>
              <w:jc w:val="center"/>
              <w:rPr>
                <w:rFonts w:ascii="Times New Roman" w:hAnsi="Times New Roman" w:cs="Times New Roman"/>
                <w:sz w:val="18"/>
                <w:szCs w:val="18"/>
              </w:rPr>
            </w:pPr>
            <w:r>
              <w:rPr>
                <w:rFonts w:ascii="Times New Roman" w:hAnsi="Times New Roman" w:cs="Times New Roman"/>
                <w:sz w:val="18"/>
                <w:szCs w:val="18"/>
              </w:rPr>
              <w:t>22 造纸和纸制品业</w:t>
            </w:r>
          </w:p>
        </w:tc>
        <w:tc>
          <w:tcPr>
            <w:tcW w:w="3412" w:type="dxa"/>
            <w:vAlign w:val="center"/>
          </w:tcPr>
          <w:p>
            <w:pPr>
              <w:pStyle w:val="39"/>
              <w:spacing w:before="64"/>
              <w:ind w:right="86"/>
              <w:jc w:val="center"/>
              <w:rPr>
                <w:rFonts w:ascii="Times New Roman" w:hAnsi="Times New Roman" w:cs="Times New Roman"/>
                <w:sz w:val="18"/>
                <w:szCs w:val="18"/>
              </w:rPr>
            </w:pPr>
            <w:r>
              <w:rPr>
                <w:rFonts w:ascii="Times New Roman" w:hAnsi="Times New Roman" w:cs="Times New Roman"/>
                <w:sz w:val="18"/>
                <w:szCs w:val="18"/>
              </w:rPr>
              <w:t>221 纸浆制造</w:t>
            </w:r>
          </w:p>
        </w:tc>
        <w:tc>
          <w:tcPr>
            <w:tcW w:w="7910" w:type="dxa"/>
            <w:vAlign w:val="center"/>
          </w:tcPr>
          <w:p>
            <w:pPr>
              <w:pStyle w:val="39"/>
              <w:spacing w:before="64"/>
              <w:ind w:right="353"/>
              <w:jc w:val="center"/>
              <w:rPr>
                <w:rFonts w:ascii="Times New Roman" w:hAnsi="Times New Roman" w:cs="Times New Roman"/>
                <w:sz w:val="18"/>
                <w:szCs w:val="18"/>
              </w:rPr>
            </w:pPr>
            <w:r>
              <w:rPr>
                <w:rFonts w:ascii="Times New Roman" w:hAnsi="Times New Roman" w:cs="Times New Roman"/>
                <w:sz w:val="18"/>
                <w:szCs w:val="18"/>
              </w:rPr>
              <w:t>A1 类、B1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9"/>
              <w:spacing w:before="70"/>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25 石油加工、炼焦和核燃料加工业</w:t>
            </w:r>
          </w:p>
        </w:tc>
        <w:tc>
          <w:tcPr>
            <w:tcW w:w="3412" w:type="dxa"/>
            <w:vAlign w:val="center"/>
          </w:tcPr>
          <w:p>
            <w:pPr>
              <w:pStyle w:val="39"/>
              <w:spacing w:before="65"/>
              <w:ind w:right="86"/>
              <w:jc w:val="center"/>
              <w:rPr>
                <w:rFonts w:ascii="Times New Roman" w:hAnsi="Times New Roman" w:cs="Times New Roman"/>
                <w:sz w:val="18"/>
                <w:szCs w:val="18"/>
              </w:rPr>
            </w:pPr>
            <w:r>
              <w:rPr>
                <w:rFonts w:ascii="Times New Roman" w:hAnsi="Times New Roman" w:cs="Times New Roman"/>
                <w:sz w:val="18"/>
                <w:szCs w:val="18"/>
              </w:rPr>
              <w:t>251 精炼石油产品制造</w:t>
            </w:r>
          </w:p>
        </w:tc>
        <w:tc>
          <w:tcPr>
            <w:tcW w:w="7910" w:type="dxa"/>
            <w:vMerge w:val="restart"/>
            <w:vAlign w:val="center"/>
          </w:tcPr>
          <w:p>
            <w:pPr>
              <w:pStyle w:val="39"/>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类、B2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9"/>
              <w:spacing w:before="63"/>
              <w:ind w:right="86"/>
              <w:jc w:val="center"/>
              <w:rPr>
                <w:rFonts w:ascii="Times New Roman" w:hAnsi="Times New Roman" w:cs="Times New Roman"/>
                <w:sz w:val="18"/>
                <w:szCs w:val="18"/>
              </w:rPr>
            </w:pPr>
            <w:r>
              <w:rPr>
                <w:rFonts w:ascii="Times New Roman" w:hAnsi="Times New Roman" w:cs="Times New Roman"/>
                <w:sz w:val="18"/>
                <w:szCs w:val="18"/>
              </w:rPr>
              <w:t>252 炼焦</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9"/>
              <w:rPr>
                <w:rFonts w:ascii="Times New Roman" w:hAnsi="Times New Roman" w:cs="Times New Roman"/>
                <w:sz w:val="18"/>
                <w:szCs w:val="18"/>
                <w:lang w:eastAsia="zh-CN"/>
              </w:rPr>
            </w:pPr>
            <w:r>
              <w:rPr>
                <w:rFonts w:ascii="Times New Roman" w:hAnsi="Times New Roman" w:cs="Times New Roman"/>
                <w:sz w:val="18"/>
                <w:szCs w:val="18"/>
                <w:lang w:eastAsia="zh-CN"/>
              </w:rPr>
              <w:t>26 化学原料和化学制品制造业</w:t>
            </w:r>
          </w:p>
        </w:tc>
        <w:tc>
          <w:tcPr>
            <w:tcW w:w="3412" w:type="dxa"/>
            <w:vMerge w:val="restart"/>
            <w:vAlign w:val="center"/>
          </w:tcPr>
          <w:p>
            <w:pPr>
              <w:pStyle w:val="39"/>
              <w:rPr>
                <w:rFonts w:ascii="Times New Roman" w:hAnsi="Times New Roman" w:cs="Times New Roman"/>
                <w:sz w:val="18"/>
                <w:szCs w:val="18"/>
                <w:lang w:eastAsia="zh-CN"/>
              </w:rPr>
            </w:pPr>
            <w:r>
              <w:rPr>
                <w:rFonts w:ascii="Times New Roman" w:hAnsi="Times New Roman" w:cs="Times New Roman"/>
                <w:sz w:val="18"/>
                <w:szCs w:val="18"/>
                <w:lang w:eastAsia="zh-CN"/>
              </w:rPr>
              <w:t>261 基础化学原料制造（无机、有机）</w:t>
            </w:r>
          </w:p>
        </w:tc>
        <w:tc>
          <w:tcPr>
            <w:tcW w:w="7910" w:type="dxa"/>
            <w:vAlign w:val="center"/>
          </w:tcPr>
          <w:p>
            <w:pPr>
              <w:pStyle w:val="39"/>
              <w:spacing w:before="64"/>
              <w:ind w:right="353"/>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类、C3 类（无机化学原料制造）</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Merge w:val="continue"/>
            <w:vAlign w:val="center"/>
          </w:tcPr>
          <w:p>
            <w:pPr>
              <w:rPr>
                <w:rFonts w:ascii="Times New Roman" w:hAnsi="Times New Roman"/>
                <w:sz w:val="18"/>
                <w:szCs w:val="18"/>
              </w:rPr>
            </w:pPr>
          </w:p>
        </w:tc>
        <w:tc>
          <w:tcPr>
            <w:tcW w:w="7910" w:type="dxa"/>
            <w:vAlign w:val="center"/>
          </w:tcPr>
          <w:p>
            <w:pPr>
              <w:pStyle w:val="39"/>
              <w:spacing w:before="64"/>
              <w:ind w:right="353"/>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 （有机化学原料制造）</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rPr>
            </w:pPr>
            <w:r>
              <w:rPr>
                <w:rFonts w:ascii="Times New Roman" w:hAnsi="Times New Roman" w:cs="Times New Roman"/>
                <w:sz w:val="18"/>
                <w:szCs w:val="18"/>
              </w:rPr>
              <w:t>263 农药制造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类、C2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264 涂料、油墨、颜料及类似产品制造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类、C4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rPr>
            </w:pPr>
            <w:r>
              <w:rPr>
                <w:rFonts w:ascii="Times New Roman" w:hAnsi="Times New Roman" w:cs="Times New Roman"/>
                <w:sz w:val="18"/>
                <w:szCs w:val="18"/>
              </w:rPr>
              <w:t>265 合成材料制造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rPr>
            </w:pPr>
            <w:r>
              <w:rPr>
                <w:rFonts w:ascii="Times New Roman" w:hAnsi="Times New Roman" w:cs="Times New Roman"/>
                <w:sz w:val="18"/>
                <w:szCs w:val="18"/>
              </w:rPr>
              <w:t>266 专用化学品制造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类、C4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267 炸药、火工及焰火产品制造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27 医药制造业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271 化学药品原料药制造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28 化学纤维制造业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281 纤维素纤维原料及纤维制造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类-重金属 8 种、B1 类-挥发性有机物 16 种、C5 类-二噁英类、D1 类-土壤 pH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282 合成纤维制造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类、C1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31 黑色金属冶炼和压延加工业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311 炼铁</w:t>
            </w:r>
          </w:p>
        </w:tc>
        <w:tc>
          <w:tcPr>
            <w:tcW w:w="7910" w:type="dxa"/>
            <w:vMerge w:val="restart"/>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类、C1 类、C3 类、C5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312 炼钢</w:t>
            </w:r>
          </w:p>
        </w:tc>
        <w:tc>
          <w:tcPr>
            <w:tcW w:w="7910" w:type="dxa"/>
            <w:vMerge w:val="continue"/>
            <w:vAlign w:val="center"/>
          </w:tcPr>
          <w:p>
            <w:pPr>
              <w:pStyle w:val="39"/>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315 铁合金冶炼</w:t>
            </w:r>
          </w:p>
        </w:tc>
        <w:tc>
          <w:tcPr>
            <w:tcW w:w="7910" w:type="dxa"/>
            <w:vMerge w:val="continue"/>
            <w:vAlign w:val="center"/>
          </w:tcPr>
          <w:p>
            <w:pPr>
              <w:pStyle w:val="39"/>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32 有色金属冶炼和压延加工业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321 常用有色金属冶炼</w:t>
            </w:r>
          </w:p>
        </w:tc>
        <w:tc>
          <w:tcPr>
            <w:tcW w:w="7910" w:type="dxa"/>
            <w:vMerge w:val="restart"/>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类、C1 类、C3 类、C5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322 贵金属冶炼</w:t>
            </w:r>
          </w:p>
        </w:tc>
        <w:tc>
          <w:tcPr>
            <w:tcW w:w="7910" w:type="dxa"/>
            <w:vMerge w:val="continue"/>
            <w:vAlign w:val="center"/>
          </w:tcPr>
          <w:p>
            <w:pPr>
              <w:pStyle w:val="39"/>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9"/>
              <w:spacing w:before="66"/>
              <w:ind w:right="25"/>
              <w:jc w:val="center"/>
              <w:rPr>
                <w:rFonts w:ascii="Times New Roman" w:hAnsi="Times New Roman" w:cs="Times New Roman"/>
                <w:sz w:val="18"/>
                <w:szCs w:val="18"/>
                <w:lang w:eastAsia="zh-CN"/>
              </w:rPr>
            </w:pP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323 稀有稀土金属冶炼</w:t>
            </w:r>
          </w:p>
        </w:tc>
        <w:tc>
          <w:tcPr>
            <w:tcW w:w="7910" w:type="dxa"/>
            <w:vMerge w:val="continue"/>
            <w:vAlign w:val="center"/>
          </w:tcPr>
          <w:p>
            <w:pPr>
              <w:pStyle w:val="39"/>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33 金属制品业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336 金属表面处理及热处理加工</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38 电气机械和器材制造业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384 电池制造</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59 仓储业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599 其他仓储业</w:t>
            </w:r>
          </w:p>
        </w:tc>
        <w:tc>
          <w:tcPr>
            <w:tcW w:w="7910" w:type="dxa"/>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类、B2 类、B3 类、B4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77 生态保护和环境治理业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772 环境治理业（危废、医废处置）</w:t>
            </w:r>
          </w:p>
        </w:tc>
        <w:tc>
          <w:tcPr>
            <w:tcW w:w="7910" w:type="dxa"/>
            <w:vMerge w:val="restart"/>
            <w:vAlign w:val="center"/>
          </w:tcPr>
          <w:p>
            <w:pPr>
              <w:pStyle w:val="39"/>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9"/>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78 公共设施管理业</w:t>
            </w:r>
          </w:p>
        </w:tc>
        <w:tc>
          <w:tcPr>
            <w:tcW w:w="3412" w:type="dxa"/>
            <w:vAlign w:val="center"/>
          </w:tcPr>
          <w:p>
            <w:pPr>
              <w:pStyle w:val="39"/>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782 环境卫生管理（生活垃圾处置）</w:t>
            </w:r>
          </w:p>
        </w:tc>
        <w:tc>
          <w:tcPr>
            <w:tcW w:w="7910" w:type="dxa"/>
            <w:vMerge w:val="continue"/>
            <w:vAlign w:val="center"/>
          </w:tcPr>
          <w:p>
            <w:pPr>
              <w:pStyle w:val="39"/>
              <w:spacing w:before="66"/>
              <w:ind w:right="351"/>
              <w:jc w:val="center"/>
              <w:rPr>
                <w:rFonts w:ascii="Times New Roman" w:hAnsi="Times New Roman" w:cs="Times New Roman"/>
                <w:sz w:val="18"/>
                <w:szCs w:val="18"/>
                <w:lang w:eastAsia="zh-CN"/>
              </w:rPr>
            </w:pPr>
          </w:p>
        </w:tc>
      </w:tr>
    </w:tbl>
    <w:p>
      <w:pPr>
        <w:widowControl/>
        <w:spacing w:line="500" w:lineRule="exact"/>
        <w:rPr>
          <w:rFonts w:ascii="Times New Roman" w:hAnsi="Times New Roman"/>
          <w:snapToGrid w:val="0"/>
          <w:kern w:val="0"/>
          <w:sz w:val="24"/>
          <w:szCs w:val="24"/>
        </w:rPr>
        <w:sectPr>
          <w:pgSz w:w="16838" w:h="11906" w:orient="landscape"/>
          <w:pgMar w:top="1800" w:right="1440" w:bottom="1800" w:left="144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52" w:name="_Toc534203203"/>
      <w:bookmarkStart w:id="153" w:name="_Toc531519950"/>
      <w:bookmarkStart w:id="154" w:name="_Toc25441"/>
      <w:bookmarkStart w:id="155" w:name="_Toc13847402"/>
      <w:r>
        <w:rPr>
          <w:rFonts w:hint="eastAsia" w:ascii="Times New Roman" w:hAnsi="Times New Roman"/>
          <w:b/>
          <w:bCs/>
          <w:sz w:val="28"/>
          <w:szCs w:val="32"/>
        </w:rPr>
        <w:t>7.2筛选结果</w:t>
      </w:r>
      <w:bookmarkEnd w:id="152"/>
      <w:bookmarkEnd w:id="153"/>
      <w:bookmarkEnd w:id="154"/>
      <w:bookmarkEnd w:id="155"/>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考虑到生态环境部针对建设用地土壤污染制定的风险管控标准中有45项基本测试项目（《土壤环境质量建设用地土壤污染风险管控标准》（试行）（GB36600-2018）中表1的基本项目，以下简称“45项基本项”），并且针对这“45项基本项”做出要求如下“表1 中所列项目为初步调查阶段建设用地土壤污染风险筛选的必测项目。”因此</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自行监测过程中，土壤监测优先选取“45项基本项”中的因子，之后根据厂区内</w:t>
      </w:r>
      <w:r>
        <w:rPr>
          <w:rFonts w:hint="eastAsia" w:ascii="Times New Roman" w:hAnsi="Times New Roman"/>
          <w:snapToGrid w:val="0"/>
          <w:kern w:val="0"/>
          <w:sz w:val="24"/>
          <w:szCs w:val="24"/>
          <w:lang w:val="en-US" w:eastAsia="zh-CN"/>
        </w:rPr>
        <w:t>重点区域</w:t>
      </w:r>
      <w:r>
        <w:rPr>
          <w:rFonts w:hint="eastAsia" w:ascii="Times New Roman" w:hAnsi="Times New Roman"/>
          <w:snapToGrid w:val="0"/>
          <w:kern w:val="0"/>
          <w:sz w:val="24"/>
          <w:szCs w:val="24"/>
        </w:rPr>
        <w:t>的特征污染物增加相应监测因子。</w:t>
      </w:r>
    </w:p>
    <w:p>
      <w:pPr>
        <w:widowControl/>
        <w:spacing w:line="500" w:lineRule="exact"/>
        <w:rPr>
          <w:rFonts w:hint="eastAsia" w:ascii="Times New Roman" w:hAnsi="Times New Roman" w:eastAsia="宋体" w:cs="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根据前期资料收集和现场踏勘的结果，</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属于“</w:t>
      </w:r>
      <w:r>
        <w:rPr>
          <w:rFonts w:hint="default" w:ascii="Times New Roman" w:hAnsi="Times New Roman"/>
          <w:snapToGrid w:val="0"/>
          <w:kern w:val="0"/>
          <w:sz w:val="24"/>
          <w:szCs w:val="24"/>
          <w:lang w:eastAsia="zh-CN"/>
        </w:rPr>
        <w:t>C266 专用化学产品制造</w:t>
      </w:r>
      <w:r>
        <w:rPr>
          <w:rFonts w:hint="eastAsia" w:ascii="Times New Roman" w:hAnsi="Times New Roman"/>
          <w:snapToGrid w:val="0"/>
          <w:kern w:val="0"/>
          <w:sz w:val="24"/>
          <w:szCs w:val="24"/>
        </w:rPr>
        <w:t>”</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rPr>
        <w:t>因此，</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土壤</w:t>
      </w:r>
      <w:r>
        <w:rPr>
          <w:rFonts w:hint="eastAsia" w:ascii="Times New Roman" w:hAnsi="Times New Roman"/>
          <w:snapToGrid w:val="0"/>
          <w:kern w:val="0"/>
          <w:sz w:val="24"/>
          <w:szCs w:val="24"/>
          <w:lang w:val="en-US" w:eastAsia="zh-CN"/>
        </w:rPr>
        <w:t>及</w:t>
      </w:r>
      <w:r>
        <w:rPr>
          <w:rFonts w:hint="eastAsia" w:ascii="Times New Roman" w:hAnsi="Times New Roman"/>
          <w:snapToGrid w:val="0"/>
          <w:kern w:val="0"/>
          <w:sz w:val="24"/>
          <w:szCs w:val="24"/>
        </w:rPr>
        <w:t>地下水行业特征监测因子可参考上表7.1-2中行业特征污染物测定。</w:t>
      </w:r>
      <w:r>
        <w:rPr>
          <w:rFonts w:hint="eastAsia" w:ascii="Times New Roman" w:hAnsi="Times New Roman"/>
          <w:snapToGrid w:val="0"/>
          <w:kern w:val="0"/>
          <w:sz w:val="24"/>
          <w:szCs w:val="24"/>
          <w:lang w:val="en-US" w:eastAsia="zh-CN"/>
        </w:rPr>
        <w:t>最终确定土壤监测因子为pH值、VOCs、SVOCs、石油烃C</w:t>
      </w:r>
      <w:r>
        <w:rPr>
          <w:rFonts w:hint="eastAsia" w:ascii="Times New Roman" w:hAnsi="Times New Roman"/>
          <w:snapToGrid w:val="0"/>
          <w:kern w:val="0"/>
          <w:sz w:val="24"/>
          <w:szCs w:val="24"/>
          <w:vertAlign w:val="subscript"/>
          <w:lang w:val="en-US" w:eastAsia="zh-CN"/>
        </w:rPr>
        <w:t>10</w:t>
      </w:r>
      <w:r>
        <w:rPr>
          <w:rFonts w:hint="eastAsia" w:ascii="Times New Roman" w:hAnsi="Times New Roman"/>
          <w:snapToGrid w:val="0"/>
          <w:kern w:val="0"/>
          <w:sz w:val="24"/>
          <w:szCs w:val="24"/>
          <w:lang w:val="en-US" w:eastAsia="zh-CN"/>
        </w:rPr>
        <w:t>～C</w:t>
      </w:r>
      <w:r>
        <w:rPr>
          <w:rFonts w:hint="eastAsia" w:ascii="Times New Roman" w:hAnsi="Times New Roman"/>
          <w:snapToGrid w:val="0"/>
          <w:kern w:val="0"/>
          <w:sz w:val="24"/>
          <w:szCs w:val="24"/>
          <w:vertAlign w:val="subscript"/>
          <w:lang w:val="en-US" w:eastAsia="zh-CN"/>
        </w:rPr>
        <w:t>40</w:t>
      </w:r>
      <w:r>
        <w:rPr>
          <w:rFonts w:hint="eastAsia" w:ascii="Times New Roman" w:hAnsi="Times New Roman"/>
          <w:snapToGrid w:val="0"/>
          <w:kern w:val="0"/>
          <w:sz w:val="24"/>
          <w:szCs w:val="24"/>
          <w:vertAlign w:val="baseline"/>
          <w:lang w:val="en-US" w:eastAsia="zh-CN"/>
        </w:rPr>
        <w:t>，</w:t>
      </w:r>
      <w:r>
        <w:rPr>
          <w:rFonts w:hint="eastAsia" w:ascii="Times New Roman" w:hAnsi="Times New Roman" w:eastAsia="宋体" w:cs="Times New Roman"/>
          <w:snapToGrid w:val="0"/>
          <w:kern w:val="0"/>
          <w:sz w:val="24"/>
          <w:szCs w:val="24"/>
        </w:rPr>
        <w:t>厂区外土壤与地下水对照点的监测因子与厂区内保持一致。</w:t>
      </w:r>
    </w:p>
    <w:p>
      <w:pPr>
        <w:widowControl/>
        <w:spacing w:line="500" w:lineRule="exact"/>
        <w:ind w:firstLine="420"/>
        <w:rPr>
          <w:rFonts w:hint="eastAsia" w:ascii="Times New Roman" w:hAnsi="Times New Roman" w:eastAsia="宋体" w:cs="Times New Roman"/>
          <w:snapToGrid w:val="0"/>
          <w:kern w:val="0"/>
          <w:sz w:val="24"/>
          <w:szCs w:val="24"/>
          <w:lang w:val="en-US" w:eastAsia="zh-CN"/>
        </w:rPr>
      </w:pPr>
      <w:r>
        <w:rPr>
          <w:rFonts w:hint="eastAsia" w:ascii="Times New Roman" w:hAnsi="Times New Roman" w:eastAsia="宋体" w:cs="Times New Roman"/>
          <w:snapToGrid w:val="0"/>
          <w:kern w:val="0"/>
          <w:sz w:val="24"/>
          <w:szCs w:val="24"/>
        </w:rPr>
        <w:t>对于地下水监测，pH值、耗氧量（CODMn）、氨氮、硝酸盐、硫酸盐、氯化物、硫化物在内的七项水质因子，一般作为“基本水质因子”被广泛关注，因此在地下水监测中，“基本水质因子”应作为必测项目。</w:t>
      </w:r>
      <w:r>
        <w:rPr>
          <w:rFonts w:hint="eastAsia" w:ascii="Times New Roman" w:hAnsi="Times New Roman" w:eastAsia="宋体" w:cs="Times New Roman"/>
          <w:snapToGrid w:val="0"/>
          <w:kern w:val="0"/>
          <w:sz w:val="24"/>
          <w:szCs w:val="24"/>
          <w:lang w:val="en-US" w:eastAsia="zh-CN"/>
        </w:rPr>
        <w:t>并选取</w:t>
      </w:r>
      <w:r>
        <w:rPr>
          <w:rFonts w:hint="eastAsia" w:ascii="Times New Roman" w:hAnsi="Times New Roman" w:eastAsia="宋体" w:cs="Times New Roman"/>
          <w:snapToGrid w:val="0"/>
          <w:kern w:val="0"/>
          <w:sz w:val="24"/>
          <w:szCs w:val="24"/>
          <w:lang w:eastAsia="zh-CN"/>
        </w:rPr>
        <w:t>表7.1-2中</w:t>
      </w:r>
      <w:r>
        <w:rPr>
          <w:rFonts w:hint="eastAsia" w:ascii="Times New Roman" w:hAnsi="Times New Roman" w:eastAsia="宋体" w:cs="Times New Roman"/>
          <w:snapToGrid w:val="0"/>
          <w:kern w:val="0"/>
          <w:sz w:val="24"/>
          <w:szCs w:val="24"/>
        </w:rPr>
        <w:t>A1 类-重金属 8 种</w:t>
      </w:r>
      <w:r>
        <w:rPr>
          <w:rFonts w:hint="eastAsia" w:ascii="Times New Roman" w:hAnsi="Times New Roman" w:eastAsia="宋体" w:cs="Times New Roman"/>
          <w:snapToGrid w:val="0"/>
          <w:kern w:val="0"/>
          <w:sz w:val="24"/>
          <w:szCs w:val="24"/>
          <w:lang w:eastAsia="zh-CN"/>
        </w:rPr>
        <w:t>、</w:t>
      </w:r>
      <w:r>
        <w:rPr>
          <w:rFonts w:hint="eastAsia" w:ascii="Times New Roman" w:hAnsi="Times New Roman" w:eastAsia="宋体" w:cs="Times New Roman"/>
          <w:snapToGrid w:val="0"/>
          <w:kern w:val="0"/>
          <w:sz w:val="24"/>
          <w:szCs w:val="24"/>
        </w:rPr>
        <w:t>C3 类-石油烃</w:t>
      </w:r>
      <w:r>
        <w:rPr>
          <w:rFonts w:hint="eastAsia" w:ascii="Times New Roman" w:hAnsi="Times New Roman" w:cs="Times New Roman"/>
          <w:snapToGrid w:val="0"/>
          <w:kern w:val="0"/>
          <w:sz w:val="24"/>
          <w:szCs w:val="24"/>
          <w:lang w:val="en-US" w:eastAsia="zh-CN"/>
        </w:rPr>
        <w:t>以及VOCs、SVOCs</w:t>
      </w:r>
      <w:r>
        <w:rPr>
          <w:rFonts w:hint="eastAsia" w:ascii="Times New Roman" w:hAnsi="Times New Roman" w:eastAsia="宋体" w:cs="Times New Roman"/>
          <w:snapToGrid w:val="0"/>
          <w:kern w:val="0"/>
          <w:sz w:val="24"/>
          <w:szCs w:val="24"/>
          <w:lang w:eastAsia="zh-CN"/>
        </w:rPr>
        <w:t>作为特征因子</w:t>
      </w:r>
      <w:r>
        <w:rPr>
          <w:rFonts w:hint="eastAsia" w:ascii="Times New Roman" w:hAnsi="Times New Roman" w:eastAsia="宋体" w:cs="Times New Roman"/>
          <w:snapToGrid w:val="0"/>
          <w:kern w:val="0"/>
          <w:sz w:val="24"/>
          <w:szCs w:val="24"/>
          <w:lang w:val="en-US" w:eastAsia="zh-CN"/>
        </w:rPr>
        <w:t>。</w:t>
      </w:r>
    </w:p>
    <w:p>
      <w:pPr>
        <w:widowControl/>
        <w:spacing w:line="500" w:lineRule="exact"/>
        <w:ind w:firstLine="420"/>
        <w:rPr>
          <w:rFonts w:hint="eastAsia" w:ascii="Times New Roman" w:hAnsi="Times New Roman" w:eastAsia="宋体" w:cs="Times New Roman"/>
          <w:snapToGrid w:val="0"/>
          <w:kern w:val="0"/>
          <w:sz w:val="24"/>
          <w:szCs w:val="24"/>
        </w:rPr>
      </w:pPr>
    </w:p>
    <w:p>
      <w:pPr>
        <w:widowControl/>
        <w:spacing w:line="500" w:lineRule="exact"/>
        <w:ind w:firstLine="420"/>
        <w:rPr>
          <w:rFonts w:hint="eastAsia" w:ascii="Times New Roman" w:hAnsi="Times New Roman" w:eastAsia="宋体" w:cs="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表7.2-1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rPr>
        <w:t>厂区内各点位检测项目</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350"/>
        <w:gridCol w:w="3333"/>
        <w:gridCol w:w="2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2763" w:type="dxa"/>
            <w:gridSpan w:val="2"/>
            <w:vAlign w:val="center"/>
          </w:tcPr>
          <w:p>
            <w:pPr>
              <w:widowControl/>
              <w:jc w:val="center"/>
              <w:rPr>
                <w:rFonts w:ascii="Times New Roman" w:hAnsi="Times New Roman"/>
                <w:b/>
                <w:snapToGrid w:val="0"/>
                <w:szCs w:val="21"/>
              </w:rPr>
            </w:pPr>
            <w:r>
              <w:rPr>
                <w:rFonts w:hint="eastAsia" w:ascii="Times New Roman" w:hAnsi="Times New Roman"/>
                <w:b/>
                <w:snapToGrid w:val="0"/>
                <w:szCs w:val="21"/>
              </w:rPr>
              <w:t>点位</w:t>
            </w:r>
          </w:p>
        </w:tc>
        <w:tc>
          <w:tcPr>
            <w:tcW w:w="3333" w:type="dxa"/>
            <w:vAlign w:val="center"/>
          </w:tcPr>
          <w:p>
            <w:pPr>
              <w:widowControl/>
              <w:jc w:val="center"/>
              <w:rPr>
                <w:rFonts w:ascii="Times New Roman" w:hAnsi="Times New Roman"/>
                <w:b/>
                <w:snapToGrid w:val="0"/>
                <w:szCs w:val="21"/>
              </w:rPr>
            </w:pPr>
            <w:r>
              <w:rPr>
                <w:rFonts w:hint="eastAsia" w:ascii="Times New Roman" w:hAnsi="Times New Roman"/>
                <w:b/>
                <w:snapToGrid w:val="0"/>
                <w:szCs w:val="21"/>
              </w:rPr>
              <w:t>分析项目*</w:t>
            </w:r>
          </w:p>
        </w:tc>
        <w:tc>
          <w:tcPr>
            <w:tcW w:w="2210" w:type="dxa"/>
            <w:vAlign w:val="center"/>
          </w:tcPr>
          <w:p>
            <w:pPr>
              <w:widowControl/>
              <w:jc w:val="center"/>
              <w:rPr>
                <w:rFonts w:ascii="Times New Roman" w:hAnsi="Times New Roman"/>
                <w:b/>
                <w:snapToGrid w:val="0"/>
                <w:szCs w:val="21"/>
              </w:rPr>
            </w:pPr>
            <w:r>
              <w:rPr>
                <w:rFonts w:hint="eastAsia" w:ascii="Times New Roman" w:hAnsi="Times New Roman"/>
                <w:b/>
                <w:snapToGrid w:val="0"/>
                <w:szCs w:val="21"/>
              </w:rPr>
              <w:t>所属行业类别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413" w:type="dxa"/>
            <w:vAlign w:val="center"/>
          </w:tcPr>
          <w:p>
            <w:pPr>
              <w:widowControl/>
              <w:jc w:val="center"/>
              <w:rPr>
                <w:rFonts w:ascii="Times New Roman" w:hAnsi="Times New Roman"/>
                <w:snapToGrid w:val="0"/>
                <w:szCs w:val="21"/>
              </w:rPr>
            </w:pPr>
            <w:r>
              <w:rPr>
                <w:rFonts w:hint="eastAsia" w:ascii="Times New Roman" w:hAnsi="Times New Roman"/>
                <w:snapToGrid w:val="0"/>
                <w:szCs w:val="21"/>
              </w:rPr>
              <w:t>土壤监测</w:t>
            </w:r>
          </w:p>
        </w:tc>
        <w:tc>
          <w:tcPr>
            <w:tcW w:w="1350"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T0～T18</w:t>
            </w:r>
          </w:p>
        </w:tc>
        <w:tc>
          <w:tcPr>
            <w:tcW w:w="3333"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建设用地</w:t>
            </w:r>
            <w:r>
              <w:rPr>
                <w:rFonts w:hint="eastAsia" w:ascii="Times New Roman" w:hAnsi="Times New Roman"/>
                <w:snapToGrid w:val="0"/>
                <w:szCs w:val="21"/>
              </w:rPr>
              <w:t>45项基本项</w:t>
            </w:r>
            <w:r>
              <w:rPr>
                <w:rFonts w:hint="eastAsia" w:ascii="Times New Roman" w:hAnsi="Times New Roman"/>
                <w:snapToGrid w:val="0"/>
                <w:szCs w:val="21"/>
                <w:lang w:val="en-US" w:eastAsia="zh-CN"/>
              </w:rPr>
              <w:t>+pH值+石油烃C</w:t>
            </w:r>
            <w:r>
              <w:rPr>
                <w:rFonts w:hint="eastAsia" w:ascii="Times New Roman" w:hAnsi="Times New Roman"/>
                <w:snapToGrid w:val="0"/>
                <w:szCs w:val="21"/>
                <w:vertAlign w:val="subscript"/>
                <w:lang w:val="en-US" w:eastAsia="zh-CN"/>
              </w:rPr>
              <w:t>10</w:t>
            </w:r>
            <w:r>
              <w:rPr>
                <w:rFonts w:hint="eastAsia" w:ascii="Times New Roman" w:hAnsi="Times New Roman"/>
                <w:snapToGrid w:val="0"/>
                <w:szCs w:val="21"/>
                <w:lang w:val="en-US" w:eastAsia="zh-CN"/>
              </w:rPr>
              <w:t>～C</w:t>
            </w:r>
            <w:r>
              <w:rPr>
                <w:rFonts w:hint="eastAsia" w:ascii="Times New Roman" w:hAnsi="Times New Roman"/>
                <w:snapToGrid w:val="0"/>
                <w:szCs w:val="21"/>
                <w:vertAlign w:val="subscript"/>
                <w:lang w:val="en-US" w:eastAsia="zh-CN"/>
              </w:rPr>
              <w:t>40</w:t>
            </w:r>
          </w:p>
        </w:tc>
        <w:tc>
          <w:tcPr>
            <w:tcW w:w="2210" w:type="dxa"/>
            <w:vMerge w:val="restart"/>
            <w:vAlign w:val="center"/>
          </w:tcPr>
          <w:p>
            <w:pPr>
              <w:widowControl/>
              <w:jc w:val="center"/>
              <w:rPr>
                <w:rFonts w:ascii="Times New Roman" w:hAnsi="Times New Roman"/>
                <w:snapToGrid w:val="0"/>
                <w:sz w:val="21"/>
                <w:szCs w:val="21"/>
              </w:rPr>
            </w:pPr>
            <w:r>
              <w:rPr>
                <w:rFonts w:hint="default" w:ascii="Times New Roman" w:hAnsi="Times New Roman"/>
                <w:snapToGrid w:val="0"/>
                <w:kern w:val="0"/>
                <w:sz w:val="21"/>
                <w:szCs w:val="21"/>
                <w:lang w:eastAsia="zh-CN"/>
              </w:rPr>
              <w:t>C266 专用化学产品制造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1413" w:type="dxa"/>
            <w:vAlign w:val="center"/>
          </w:tcPr>
          <w:p>
            <w:pPr>
              <w:widowControl/>
              <w:jc w:val="center"/>
              <w:rPr>
                <w:rFonts w:ascii="Times New Roman" w:hAnsi="Times New Roman"/>
                <w:snapToGrid w:val="0"/>
                <w:szCs w:val="21"/>
              </w:rPr>
            </w:pPr>
            <w:r>
              <w:rPr>
                <w:rFonts w:hint="eastAsia" w:ascii="Times New Roman" w:hAnsi="Times New Roman"/>
                <w:snapToGrid w:val="0"/>
                <w:szCs w:val="21"/>
              </w:rPr>
              <w:t>地下水监测</w:t>
            </w:r>
          </w:p>
        </w:tc>
        <w:tc>
          <w:tcPr>
            <w:tcW w:w="1350"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D0</w:t>
            </w:r>
            <w:r>
              <w:rPr>
                <w:rFonts w:hint="eastAsia" w:ascii="Times New Roman" w:hAnsi="Times New Roman"/>
                <w:snapToGrid w:val="0"/>
                <w:szCs w:val="21"/>
              </w:rPr>
              <w:t>~</w:t>
            </w:r>
            <w:r>
              <w:rPr>
                <w:rFonts w:hint="eastAsia" w:ascii="Times New Roman" w:hAnsi="Times New Roman"/>
                <w:snapToGrid w:val="0"/>
                <w:szCs w:val="21"/>
                <w:lang w:val="en-US" w:eastAsia="zh-CN"/>
              </w:rPr>
              <w:t>D5</w:t>
            </w:r>
          </w:p>
        </w:tc>
        <w:tc>
          <w:tcPr>
            <w:tcW w:w="3333" w:type="dxa"/>
            <w:vAlign w:val="center"/>
          </w:tcPr>
          <w:p>
            <w:pPr>
              <w:widowControl/>
              <w:rPr>
                <w:rFonts w:hint="default" w:ascii="Times New Roman" w:hAnsi="Times New Roman" w:eastAsia="宋体" w:cs="Times New Roman"/>
                <w:snapToGrid w:val="0"/>
                <w:szCs w:val="21"/>
                <w:lang w:val="en-US"/>
              </w:rPr>
            </w:pPr>
            <w:r>
              <w:rPr>
                <w:rFonts w:hint="eastAsia" w:ascii="Times New Roman" w:hAnsi="Times New Roman" w:eastAsia="宋体" w:cs="Times New Roman"/>
                <w:snapToGrid w:val="0"/>
                <w:szCs w:val="21"/>
                <w:lang w:val="en-US" w:eastAsia="zh-CN"/>
              </w:rPr>
              <w:t>《地下水质量标准》（GB/T14848-2017）表1常规指标3</w:t>
            </w:r>
            <w:r>
              <w:rPr>
                <w:rFonts w:hint="eastAsia" w:ascii="Times New Roman" w:hAnsi="Times New Roman" w:cs="Times New Roman"/>
                <w:snapToGrid w:val="0"/>
                <w:szCs w:val="21"/>
                <w:lang w:val="en-US" w:eastAsia="zh-CN"/>
              </w:rPr>
              <w:t>7</w:t>
            </w:r>
            <w:r>
              <w:rPr>
                <w:rFonts w:hint="eastAsia" w:ascii="Times New Roman" w:hAnsi="Times New Roman" w:eastAsia="宋体" w:cs="Times New Roman"/>
                <w:snapToGrid w:val="0"/>
                <w:szCs w:val="21"/>
                <w:lang w:val="en-US" w:eastAsia="zh-CN"/>
              </w:rPr>
              <w:t>项</w:t>
            </w:r>
            <w:r>
              <w:rPr>
                <w:rFonts w:hint="eastAsia" w:ascii="Times New Roman" w:hAnsi="Times New Roman" w:cs="Times New Roman"/>
                <w:snapToGrid w:val="0"/>
                <w:szCs w:val="21"/>
                <w:lang w:val="en-US" w:eastAsia="zh-CN"/>
              </w:rPr>
              <w:t>+镍+</w:t>
            </w:r>
            <w:r>
              <w:rPr>
                <w:rFonts w:hint="eastAsia" w:ascii="Times New Roman" w:hAnsi="Times New Roman"/>
                <w:snapToGrid w:val="0"/>
                <w:szCs w:val="21"/>
                <w:lang w:val="en-US" w:eastAsia="zh-CN"/>
              </w:rPr>
              <w:t>pH值+建设用地</w:t>
            </w:r>
            <w:r>
              <w:rPr>
                <w:rFonts w:hint="eastAsia" w:ascii="Times New Roman" w:hAnsi="Times New Roman"/>
                <w:snapToGrid w:val="0"/>
                <w:szCs w:val="21"/>
              </w:rPr>
              <w:t>45项</w:t>
            </w:r>
            <w:r>
              <w:rPr>
                <w:rFonts w:hint="eastAsia" w:ascii="Times New Roman" w:hAnsi="Times New Roman"/>
                <w:snapToGrid w:val="0"/>
                <w:szCs w:val="21"/>
                <w:lang w:val="en-US" w:eastAsia="zh-CN"/>
              </w:rPr>
              <w:t>中VOCs、SVOCs+石油烃C</w:t>
            </w:r>
            <w:r>
              <w:rPr>
                <w:rFonts w:hint="eastAsia" w:ascii="Times New Roman" w:hAnsi="Times New Roman"/>
                <w:snapToGrid w:val="0"/>
                <w:szCs w:val="21"/>
                <w:vertAlign w:val="subscript"/>
                <w:lang w:val="en-US" w:eastAsia="zh-CN"/>
              </w:rPr>
              <w:t>10</w:t>
            </w:r>
            <w:r>
              <w:rPr>
                <w:rFonts w:hint="eastAsia" w:ascii="Times New Roman" w:hAnsi="Times New Roman"/>
                <w:snapToGrid w:val="0"/>
                <w:szCs w:val="21"/>
                <w:lang w:val="en-US" w:eastAsia="zh-CN"/>
              </w:rPr>
              <w:t>～C</w:t>
            </w:r>
            <w:r>
              <w:rPr>
                <w:rFonts w:hint="eastAsia" w:ascii="Times New Roman" w:hAnsi="Times New Roman"/>
                <w:snapToGrid w:val="0"/>
                <w:szCs w:val="21"/>
                <w:vertAlign w:val="subscript"/>
                <w:lang w:val="en-US" w:eastAsia="zh-CN"/>
              </w:rPr>
              <w:t>40</w:t>
            </w:r>
          </w:p>
        </w:tc>
        <w:tc>
          <w:tcPr>
            <w:tcW w:w="2210" w:type="dxa"/>
            <w:vMerge w:val="continue"/>
            <w:vAlign w:val="center"/>
          </w:tcPr>
          <w:p>
            <w:pPr>
              <w:widowControl/>
              <w:jc w:val="center"/>
              <w:rPr>
                <w:rFonts w:ascii="Times New Roman" w:hAnsi="Times New Roman"/>
                <w:snapToGrid w:val="0"/>
                <w:szCs w:val="21"/>
              </w:rPr>
            </w:pPr>
          </w:p>
        </w:tc>
      </w:tr>
    </w:tbl>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56" w:name="_Toc13847403"/>
      <w:bookmarkStart w:id="157" w:name="_Toc2369"/>
      <w:r>
        <w:rPr>
          <w:rFonts w:hint="eastAsia" w:ascii="Times New Roman" w:hAnsi="Times New Roman"/>
          <w:b/>
          <w:bCs/>
          <w:kern w:val="44"/>
          <w:sz w:val="36"/>
          <w:szCs w:val="44"/>
        </w:rPr>
        <w:t>8</w:t>
      </w:r>
      <w:r>
        <w:rPr>
          <w:rFonts w:ascii="Times New Roman" w:hAnsi="Times New Roman"/>
          <w:b/>
          <w:bCs/>
          <w:kern w:val="44"/>
          <w:sz w:val="36"/>
          <w:szCs w:val="44"/>
        </w:rPr>
        <w:t xml:space="preserve"> </w:t>
      </w:r>
      <w:r>
        <w:rPr>
          <w:rFonts w:hint="eastAsia" w:ascii="Times New Roman" w:hAnsi="Times New Roman"/>
          <w:b/>
          <w:bCs/>
          <w:kern w:val="44"/>
          <w:sz w:val="36"/>
          <w:szCs w:val="44"/>
        </w:rPr>
        <w:t>现场采样</w:t>
      </w:r>
      <w:bookmarkEnd w:id="156"/>
      <w:bookmarkEnd w:id="157"/>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本项目调查采样的现场采样和实验室分析按照《工业企业场地环境调查评估与修复工作指南（试行）》的具体要求实施。</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58" w:name="_Toc489367281"/>
      <w:bookmarkStart w:id="159" w:name="_Toc469920123"/>
      <w:bookmarkStart w:id="160" w:name="_Toc498814003"/>
      <w:bookmarkStart w:id="161" w:name="_Toc510455846"/>
      <w:bookmarkStart w:id="162" w:name="_Toc31562"/>
      <w:bookmarkStart w:id="163" w:name="_Toc486615305"/>
      <w:bookmarkStart w:id="164" w:name="_Toc536433497"/>
      <w:bookmarkStart w:id="165" w:name="_Toc471250072"/>
      <w:r>
        <w:rPr>
          <w:rFonts w:ascii="Times New Roman" w:hAnsi="Times New Roman"/>
          <w:b/>
          <w:bCs/>
          <w:sz w:val="28"/>
          <w:szCs w:val="32"/>
        </w:rPr>
        <w:t>8.1土壤样品的采集、保存和运输</w:t>
      </w:r>
      <w:bookmarkEnd w:id="158"/>
      <w:bookmarkEnd w:id="159"/>
      <w:bookmarkEnd w:id="160"/>
      <w:bookmarkEnd w:id="161"/>
      <w:bookmarkEnd w:id="162"/>
      <w:bookmarkEnd w:id="163"/>
      <w:bookmarkEnd w:id="164"/>
      <w:bookmarkEnd w:id="165"/>
    </w:p>
    <w:p>
      <w:pPr>
        <w:spacing w:line="500" w:lineRule="exact"/>
        <w:ind w:firstLine="420"/>
        <w:rPr>
          <w:rFonts w:ascii="Times New Roman" w:hAnsi="Times New Roman"/>
          <w:color w:val="000000"/>
          <w:kern w:val="0"/>
          <w:sz w:val="24"/>
        </w:rPr>
      </w:pPr>
      <w:r>
        <w:rPr>
          <w:rFonts w:ascii="Times New Roman" w:hAnsi="Times New Roman"/>
          <w:color w:val="000000"/>
          <w:kern w:val="0"/>
          <w:sz w:val="24"/>
        </w:rPr>
        <w:t>根据采样点的设计位置，结合</w:t>
      </w:r>
      <w:r>
        <w:rPr>
          <w:rFonts w:hint="eastAsia" w:ascii="Times New Roman" w:hAnsi="Times New Roman"/>
          <w:color w:val="000000"/>
          <w:kern w:val="0"/>
          <w:sz w:val="24"/>
        </w:rPr>
        <w:t>初步</w:t>
      </w:r>
      <w:r>
        <w:rPr>
          <w:rFonts w:ascii="Times New Roman" w:hAnsi="Times New Roman"/>
          <w:color w:val="000000"/>
          <w:kern w:val="0"/>
          <w:sz w:val="24"/>
        </w:rPr>
        <w:t>识别可能存在的污染区域以及现场的实际可进入状况，在现场选择在合适的位置钻孔。钻机就位后由现场工程师检查设备，用带有破碎锤</w:t>
      </w:r>
      <w:r>
        <w:rPr>
          <w:rFonts w:hint="eastAsia" w:ascii="Times New Roman" w:hAnsi="Times New Roman"/>
          <w:color w:val="000000"/>
          <w:kern w:val="0"/>
          <w:sz w:val="24"/>
        </w:rPr>
        <w:t>采样设备</w:t>
      </w:r>
      <w:r>
        <w:rPr>
          <w:rFonts w:ascii="Times New Roman" w:hAnsi="Times New Roman"/>
          <w:color w:val="000000"/>
          <w:kern w:val="0"/>
          <w:sz w:val="24"/>
        </w:rPr>
        <w:t>在混凝土硬化的地面进行破碎。为了解目标场地的地质情况，调查阶段的土壤采样点设计深度为</w:t>
      </w:r>
      <w:r>
        <w:rPr>
          <w:rFonts w:hint="eastAsia" w:ascii="Times New Roman" w:hAnsi="Times New Roman"/>
          <w:color w:val="000000"/>
          <w:kern w:val="0"/>
          <w:sz w:val="24"/>
        </w:rPr>
        <w:t>6</w:t>
      </w:r>
      <w:r>
        <w:rPr>
          <w:rFonts w:ascii="Times New Roman" w:hAnsi="Times New Roman"/>
          <w:color w:val="000000"/>
          <w:kern w:val="0"/>
          <w:sz w:val="24"/>
        </w:rPr>
        <w:t>m</w:t>
      </w:r>
      <w:r>
        <w:rPr>
          <w:rFonts w:hint="eastAsia" w:ascii="Times New Roman" w:hAnsi="Times New Roman"/>
          <w:color w:val="000000"/>
          <w:kern w:val="0"/>
          <w:sz w:val="24"/>
        </w:rPr>
        <w:t>。</w:t>
      </w:r>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调查钻探取样工作采用美国Geoprobe自动采样设备（图8.1-</w:t>
      </w:r>
      <w:r>
        <w:rPr>
          <w:rFonts w:hint="eastAsia" w:ascii="Times New Roman" w:hAnsi="Times New Roman"/>
          <w:color w:val="000000"/>
          <w:kern w:val="0"/>
          <w:sz w:val="24"/>
        </w:rPr>
        <w:t>1</w:t>
      </w:r>
      <w:r>
        <w:rPr>
          <w:rFonts w:ascii="Times New Roman" w:hAnsi="Times New Roman"/>
          <w:color w:val="000000"/>
          <w:kern w:val="0"/>
          <w:sz w:val="24"/>
        </w:rPr>
        <w:t>）进行土壤样品的采集工作。其含有的DT 22土壤取样系统，能够连续快速的取到表层到指定深度的土壤样品，土壤样品直接保存在PETG LINER中，能够完整的保护好样品的品质及土壤原状，钻探过程中连续采集土壤样品直至目标取样深度。</w:t>
      </w:r>
    </w:p>
    <w:p>
      <w:pPr>
        <w:widowControl/>
        <w:spacing w:line="500" w:lineRule="exact"/>
        <w:ind w:firstLine="480" w:firstLineChars="200"/>
        <w:contextualSpacing/>
        <w:rPr>
          <w:rFonts w:ascii="Times New Roman" w:hAnsi="Times New Roman"/>
          <w:b/>
          <w:color w:val="FF0000"/>
          <w:sz w:val="24"/>
        </w:rPr>
      </w:pPr>
      <w:r>
        <w:rPr>
          <w:rFonts w:ascii="Times New Roman" w:hAnsi="Times New Roman"/>
          <w:color w:val="000000"/>
          <w:kern w:val="0"/>
          <w:sz w:val="24"/>
        </w:rPr>
        <w:t>采样时用干净的不锈钢剪刀从取土器中采集相对新鲜的土壤，部分装入密封塑料袋中用于 PID 与XRF</w:t>
      </w:r>
      <w:r>
        <w:rPr>
          <w:rFonts w:hint="eastAsia" w:ascii="Times New Roman" w:hAnsi="Times New Roman"/>
          <w:color w:val="000000"/>
          <w:kern w:val="0"/>
          <w:sz w:val="24"/>
        </w:rPr>
        <w:t>分别检测检测土样中挥发性有机物和重金属的存在情况。同时通过目测判断该间隔段的土壤是否存在污染痕迹，现场污染观察结果和快速检测仪器分析的数据作为选择送检样品的参考条件。</w:t>
      </w:r>
      <w:r>
        <w:rPr>
          <w:rFonts w:ascii="Times New Roman" w:hAnsi="Times New Roman"/>
          <w:color w:val="000000"/>
          <w:kern w:val="0"/>
          <w:sz w:val="24"/>
        </w:rPr>
        <w:t xml:space="preserve">PID </w:t>
      </w:r>
      <w:r>
        <w:rPr>
          <w:rFonts w:hint="eastAsia" w:ascii="Times New Roman" w:hAnsi="Times New Roman"/>
          <w:color w:val="000000"/>
          <w:kern w:val="0"/>
          <w:sz w:val="24"/>
        </w:rPr>
        <w:t>可用于污染土壤中</w:t>
      </w:r>
      <w:r>
        <w:rPr>
          <w:rFonts w:ascii="Times New Roman" w:hAnsi="Times New Roman"/>
          <w:color w:val="000000"/>
          <w:kern w:val="0"/>
          <w:sz w:val="24"/>
        </w:rPr>
        <w:t xml:space="preserve"> VOCs </w:t>
      </w:r>
      <w:r>
        <w:rPr>
          <w:rFonts w:hint="eastAsia" w:ascii="Times New Roman" w:hAnsi="Times New Roman"/>
          <w:color w:val="000000"/>
          <w:kern w:val="0"/>
          <w:sz w:val="24"/>
        </w:rPr>
        <w:t>污染物的快速检测，利用紫外光灯的能量离子化有机气体，再加以探测的仪器。</w:t>
      </w:r>
      <w:r>
        <w:rPr>
          <w:rFonts w:ascii="Times New Roman" w:hAnsi="Times New Roman"/>
          <w:color w:val="000000"/>
          <w:kern w:val="0"/>
          <w:sz w:val="24"/>
        </w:rPr>
        <w:t>XRF</w:t>
      </w:r>
      <w:r>
        <w:rPr>
          <w:rFonts w:hint="eastAsia" w:ascii="Times New Roman" w:hAnsi="Times New Roman"/>
          <w:color w:val="000000"/>
          <w:kern w:val="0"/>
          <w:sz w:val="24"/>
        </w:rPr>
        <w:t>可用于污染土壤中重金属的快速检测，不同土壤中重金属元素发出的特征</w:t>
      </w:r>
      <w:r>
        <w:rPr>
          <w:rFonts w:ascii="Times New Roman" w:hAnsi="Times New Roman"/>
          <w:color w:val="000000"/>
          <w:kern w:val="0"/>
          <w:sz w:val="24"/>
        </w:rPr>
        <w:t>X</w:t>
      </w:r>
      <w:r>
        <w:rPr>
          <w:rFonts w:hint="eastAsia" w:ascii="Times New Roman" w:hAnsi="Times New Roman"/>
          <w:color w:val="000000"/>
          <w:kern w:val="0"/>
          <w:sz w:val="24"/>
        </w:rPr>
        <w:t>射线能量和波长各不相同，因此通过对特征</w:t>
      </w:r>
      <w:r>
        <w:rPr>
          <w:rFonts w:ascii="Times New Roman" w:hAnsi="Times New Roman"/>
          <w:color w:val="000000"/>
          <w:kern w:val="0"/>
          <w:sz w:val="24"/>
        </w:rPr>
        <w:t>X</w:t>
      </w:r>
      <w:r>
        <w:rPr>
          <w:rFonts w:hint="eastAsia" w:ascii="Times New Roman" w:hAnsi="Times New Roman"/>
          <w:color w:val="000000"/>
          <w:kern w:val="0"/>
          <w:sz w:val="24"/>
        </w:rPr>
        <w:t>射线的能量的强弱检测，即可以得到土壤中重金属污染的浓度。</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根据不同的检测指标，土壤样品截取后，按要求将土壤样品装入不同的样品瓶中。现场人员及时填写采样记录表（主要内容包括：样品名称和编号，气象条件，采样时间，采样位置，采样深度，样品的颜色、气味、质地等，现场检测结果，采样人员等），并在管体上贴上标签，注明样品编号、采样日期、采样人等信息。样品制备完成后在</w:t>
      </w:r>
      <w:r>
        <w:rPr>
          <w:rFonts w:ascii="Times New Roman" w:hAnsi="Times New Roman"/>
          <w:color w:val="000000"/>
          <w:kern w:val="0"/>
          <w:sz w:val="24"/>
        </w:rPr>
        <w:t xml:space="preserve">4 </w:t>
      </w:r>
      <w:r>
        <w:rPr>
          <w:rFonts w:hint="eastAsia" w:ascii="Times New Roman" w:hAnsi="Times New Roman"/>
          <w:color w:val="000000"/>
          <w:kern w:val="0"/>
          <w:sz w:val="24"/>
        </w:rPr>
        <w:t>℃以下的低温环境中保存，</w:t>
      </w:r>
      <w:r>
        <w:rPr>
          <w:rFonts w:ascii="Times New Roman" w:hAnsi="Times New Roman"/>
          <w:color w:val="000000"/>
          <w:kern w:val="0"/>
          <w:sz w:val="24"/>
        </w:rPr>
        <w:t>48 h</w:t>
      </w:r>
      <w:r>
        <w:rPr>
          <w:rFonts w:hint="eastAsia" w:ascii="Times New Roman" w:hAnsi="Times New Roman"/>
          <w:color w:val="000000"/>
          <w:kern w:val="0"/>
          <w:sz w:val="24"/>
        </w:rPr>
        <w:t>内送至实验室分析。</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样品装运前核对采样记录表、样签等，如有缺漏项和错误处，应及时补齐和修正后方可装运。样品运输过程中严防损失、混淆或玷污。样品送到实验室后，采样人员和实验室样品管理员双方同时清点核实样品，并在样品运输跟踪单上签字确认。</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土壤采样孔的岩心根据《岩土工程勘察规范》（</w:t>
      </w:r>
      <w:r>
        <w:rPr>
          <w:rFonts w:ascii="Times New Roman" w:hAnsi="Times New Roman"/>
          <w:color w:val="000000"/>
          <w:kern w:val="0"/>
          <w:sz w:val="24"/>
        </w:rPr>
        <w:t>GB50021-2001</w:t>
      </w:r>
      <w:r>
        <w:rPr>
          <w:rFonts w:hint="eastAsia" w:ascii="Times New Roman" w:hAnsi="Times New Roman"/>
          <w:color w:val="000000"/>
          <w:kern w:val="0"/>
          <w:sz w:val="24"/>
        </w:rPr>
        <w:t>）进行编录，同时记录的内容包括土壤的气味、污染痕迹、采样深度等。监测井安装参数和钻孔记录在附件</w:t>
      </w:r>
      <w:r>
        <w:rPr>
          <w:rFonts w:ascii="Times New Roman" w:hAnsi="Times New Roman"/>
          <w:color w:val="000000"/>
          <w:kern w:val="0"/>
          <w:sz w:val="24"/>
        </w:rPr>
        <w:t>环境调查井孔柱状图和钻孔示意图中提供，包括地层结构、水位标高和监测井具体结构等其它相关信息。</w:t>
      </w:r>
    </w:p>
    <w:p>
      <w:pPr>
        <w:widowControl/>
        <w:spacing w:line="500" w:lineRule="exact"/>
        <w:ind w:firstLine="480" w:firstLineChars="200"/>
        <w:contextualSpacing/>
        <w:rPr>
          <w:rFonts w:ascii="Times New Roman" w:hAnsi="Times New Roman"/>
          <w:sz w:val="24"/>
        </w:rPr>
      </w:pPr>
      <w:r>
        <w:rPr>
          <w:rFonts w:ascii="Times New Roman" w:hAnsi="Times New Roman"/>
          <w:color w:val="000000"/>
          <w:kern w:val="0"/>
          <w:sz w:val="24"/>
        </w:rPr>
        <w:t>采样调查中，</w:t>
      </w:r>
      <w:r>
        <w:rPr>
          <w:rFonts w:hint="eastAsia" w:ascii="Times New Roman" w:hAnsi="Times New Roman"/>
          <w:color w:val="000000"/>
          <w:kern w:val="0"/>
          <w:sz w:val="24"/>
        </w:rPr>
        <w:t>根据场地生产历史及勘查人员对场地土壤颜色、气味等性状的初步判断，结合现场取样时</w:t>
      </w:r>
      <w:r>
        <w:rPr>
          <w:rFonts w:ascii="Times New Roman" w:hAnsi="Times New Roman"/>
          <w:color w:val="000000"/>
          <w:kern w:val="0"/>
          <w:sz w:val="24"/>
        </w:rPr>
        <w:t>PID</w:t>
      </w:r>
      <w:r>
        <w:rPr>
          <w:rFonts w:hint="eastAsia" w:ascii="Times New Roman" w:hAnsi="Times New Roman"/>
          <w:color w:val="000000"/>
          <w:kern w:val="0"/>
          <w:sz w:val="24"/>
        </w:rPr>
        <w:t>快速检测结果，从每个采样点筛选</w:t>
      </w:r>
      <w:r>
        <w:rPr>
          <w:rFonts w:ascii="Times New Roman" w:hAnsi="Times New Roman"/>
          <w:color w:val="000000"/>
          <w:kern w:val="0"/>
          <w:sz w:val="24"/>
        </w:rPr>
        <w:t>1</w:t>
      </w:r>
      <w:r>
        <w:rPr>
          <w:rFonts w:hint="eastAsia" w:ascii="Times New Roman" w:hAnsi="Times New Roman"/>
          <w:color w:val="000000"/>
          <w:kern w:val="0"/>
          <w:sz w:val="24"/>
        </w:rPr>
        <w:t>~</w:t>
      </w:r>
      <w:r>
        <w:rPr>
          <w:rFonts w:ascii="Times New Roman" w:hAnsi="Times New Roman"/>
          <w:color w:val="000000"/>
          <w:kern w:val="0"/>
          <w:sz w:val="24"/>
        </w:rPr>
        <w:t>3</w:t>
      </w:r>
      <w:r>
        <w:rPr>
          <w:rFonts w:hint="eastAsia" w:ascii="Times New Roman" w:hAnsi="Times New Roman"/>
          <w:color w:val="000000"/>
          <w:kern w:val="0"/>
          <w:sz w:val="24"/>
        </w:rPr>
        <w:t>个样品</w:t>
      </w:r>
      <w:r>
        <w:rPr>
          <w:rFonts w:ascii="Times New Roman" w:hAnsi="Times New Roman"/>
          <w:color w:val="000000"/>
          <w:kern w:val="0"/>
          <w:sz w:val="24"/>
        </w:rPr>
        <w:t>进行实验室检测（另外选取 10%的平行样品</w:t>
      </w:r>
      <w:r>
        <w:rPr>
          <w:rFonts w:hint="eastAsia" w:ascii="Times New Roman" w:hAnsi="Times New Roman"/>
          <w:color w:val="000000"/>
          <w:kern w:val="0"/>
          <w:sz w:val="24"/>
          <w:lang w:eastAsia="zh-CN"/>
        </w:rPr>
        <w:t>）</w:t>
      </w:r>
      <w:r>
        <w:rPr>
          <w:rFonts w:ascii="Times New Roman" w:hAnsi="Times New Roman"/>
          <w:color w:val="000000"/>
          <w:kern w:val="0"/>
          <w:sz w:val="24"/>
        </w:rP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66" w:name="_Toc23459"/>
      <w:r>
        <w:rPr>
          <w:rFonts w:ascii="Times New Roman" w:hAnsi="Times New Roman"/>
          <w:b/>
          <w:bCs/>
          <w:sz w:val="28"/>
          <w:szCs w:val="32"/>
        </w:rPr>
        <w:t>8.2</w:t>
      </w:r>
      <w:r>
        <w:rPr>
          <w:rFonts w:hint="eastAsia" w:ascii="Times New Roman" w:hAnsi="Times New Roman"/>
          <w:b/>
          <w:bCs/>
          <w:sz w:val="28"/>
          <w:szCs w:val="32"/>
        </w:rPr>
        <w:t>地下水</w:t>
      </w:r>
      <w:r>
        <w:rPr>
          <w:rFonts w:ascii="Times New Roman" w:hAnsi="Times New Roman"/>
          <w:b/>
          <w:bCs/>
          <w:sz w:val="28"/>
          <w:szCs w:val="32"/>
        </w:rPr>
        <w:t>样品的采集、保存和运输</w:t>
      </w:r>
      <w:bookmarkEnd w:id="166"/>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地下水监测井采用美国Geoprobe</w:t>
      </w:r>
      <w:r>
        <w:rPr>
          <w:rFonts w:hint="eastAsia" w:ascii="Times New Roman" w:hAnsi="Times New Roman"/>
          <w:color w:val="000000"/>
          <w:kern w:val="0"/>
          <w:sz w:val="24"/>
        </w:rPr>
        <w:t>自动采样设备中钻井设备</w:t>
      </w:r>
      <w:r>
        <w:rPr>
          <w:rFonts w:ascii="Times New Roman" w:hAnsi="Times New Roman"/>
          <w:color w:val="000000"/>
          <w:kern w:val="0"/>
          <w:sz w:val="24"/>
        </w:rPr>
        <w:t xml:space="preserve">。运用 Geoprobe </w:t>
      </w:r>
      <w:r>
        <w:rPr>
          <w:rFonts w:hint="eastAsia" w:ascii="Times New Roman" w:hAnsi="Times New Roman"/>
          <w:color w:val="000000"/>
          <w:kern w:val="0"/>
          <w:sz w:val="24"/>
        </w:rPr>
        <w:t>钻井设备，采用高液压动力驱动，将</w:t>
      </w:r>
      <w:r>
        <w:rPr>
          <w:rFonts w:ascii="Times New Roman" w:hAnsi="Times New Roman"/>
          <w:color w:val="000000"/>
          <w:kern w:val="0"/>
          <w:sz w:val="24"/>
        </w:rPr>
        <w:t>Φ110</w:t>
      </w:r>
      <w:r>
        <w:rPr>
          <w:rFonts w:hint="eastAsia" w:ascii="Times New Roman" w:hAnsi="Times New Roman"/>
          <w:color w:val="000000"/>
          <w:kern w:val="0"/>
          <w:sz w:val="24"/>
        </w:rPr>
        <w:t>～</w:t>
      </w:r>
      <w:r>
        <w:rPr>
          <w:rFonts w:ascii="Times New Roman" w:hAnsi="Times New Roman"/>
          <w:color w:val="000000"/>
          <w:kern w:val="0"/>
          <w:sz w:val="24"/>
        </w:rPr>
        <w:t xml:space="preserve">130mm </w:t>
      </w:r>
      <w:r>
        <w:rPr>
          <w:rFonts w:hint="eastAsia" w:ascii="Times New Roman" w:hAnsi="Times New Roman"/>
          <w:color w:val="000000"/>
          <w:kern w:val="0"/>
          <w:sz w:val="24"/>
        </w:rPr>
        <w:t>的钻具钻至潜水层再往下</w:t>
      </w:r>
      <w:r>
        <w:rPr>
          <w:rFonts w:ascii="Times New Roman" w:hAnsi="Times New Roman"/>
          <w:color w:val="000000"/>
          <w:kern w:val="0"/>
          <w:sz w:val="24"/>
        </w:rPr>
        <w:t>3</w:t>
      </w:r>
      <w:r>
        <w:rPr>
          <w:rFonts w:hint="eastAsia" w:ascii="Times New Roman" w:hAnsi="Times New Roman"/>
          <w:color w:val="000000"/>
          <w:kern w:val="0"/>
          <w:sz w:val="24"/>
        </w:rPr>
        <w:t>米。安装</w:t>
      </w:r>
      <w:r>
        <w:rPr>
          <w:rFonts w:ascii="Times New Roman" w:hAnsi="Times New Roman"/>
          <w:color w:val="000000"/>
          <w:kern w:val="0"/>
          <w:sz w:val="24"/>
        </w:rPr>
        <w:t>Φ60mm</w:t>
      </w:r>
      <w:r>
        <w:rPr>
          <w:rFonts w:hint="eastAsia" w:ascii="Times New Roman" w:hAnsi="Times New Roman"/>
          <w:color w:val="000000"/>
          <w:kern w:val="0"/>
          <w:sz w:val="24"/>
        </w:rPr>
        <w:t>的</w:t>
      </w:r>
      <w:r>
        <w:rPr>
          <w:rFonts w:ascii="Times New Roman" w:hAnsi="Times New Roman"/>
          <w:color w:val="000000"/>
          <w:kern w:val="0"/>
          <w:sz w:val="24"/>
        </w:rPr>
        <w:t>PVC</w:t>
      </w:r>
      <w:r>
        <w:rPr>
          <w:rFonts w:hint="eastAsia" w:ascii="Times New Roman" w:hAnsi="Times New Roman"/>
          <w:color w:val="000000"/>
          <w:kern w:val="0"/>
          <w:sz w:val="24"/>
        </w:rPr>
        <w:t>材料的井管，井管底部</w:t>
      </w:r>
      <w:r>
        <w:rPr>
          <w:rFonts w:ascii="Times New Roman" w:hAnsi="Times New Roman"/>
          <w:color w:val="000000"/>
          <w:kern w:val="0"/>
          <w:sz w:val="24"/>
        </w:rPr>
        <w:t>1.5</w:t>
      </w:r>
      <w:r>
        <w:rPr>
          <w:rFonts w:hint="eastAsia" w:ascii="Times New Roman" w:hAnsi="Times New Roman"/>
          <w:color w:val="000000"/>
          <w:kern w:val="0"/>
          <w:sz w:val="24"/>
        </w:rPr>
        <w:t>米为滤水管，其余为盲水管。滤水管底部应安装一个</w:t>
      </w:r>
      <w:r>
        <w:rPr>
          <w:rFonts w:ascii="Times New Roman" w:hAnsi="Times New Roman"/>
          <w:color w:val="000000"/>
          <w:kern w:val="0"/>
          <w:sz w:val="24"/>
        </w:rPr>
        <w:t>5</w:t>
      </w:r>
      <w:r>
        <w:rPr>
          <w:rFonts w:hint="eastAsia" w:ascii="Times New Roman" w:hAnsi="Times New Roman"/>
          <w:color w:val="000000"/>
          <w:kern w:val="0"/>
          <w:sz w:val="24"/>
        </w:rPr>
        <w:t>厘米的管帽，水井顶端的盲水管上也需安装一个</w:t>
      </w:r>
      <w:r>
        <w:rPr>
          <w:rFonts w:ascii="Times New Roman" w:hAnsi="Times New Roman"/>
          <w:color w:val="000000"/>
          <w:kern w:val="0"/>
          <w:sz w:val="24"/>
        </w:rPr>
        <w:t>5</w:t>
      </w:r>
      <w:r>
        <w:rPr>
          <w:rFonts w:hint="eastAsia" w:ascii="Times New Roman" w:hAnsi="Times New Roman"/>
          <w:color w:val="000000"/>
          <w:kern w:val="0"/>
          <w:sz w:val="24"/>
        </w:rPr>
        <w:t>厘米长的管帽。井的顶端一般超过地面</w:t>
      </w:r>
      <w:r>
        <w:rPr>
          <w:rFonts w:ascii="Times New Roman" w:hAnsi="Times New Roman"/>
          <w:color w:val="000000"/>
          <w:kern w:val="0"/>
          <w:sz w:val="24"/>
        </w:rPr>
        <w:t>0.2-0.5</w:t>
      </w:r>
      <w:r>
        <w:rPr>
          <w:rFonts w:hint="eastAsia" w:ascii="Times New Roman" w:hAnsi="Times New Roman"/>
          <w:color w:val="000000"/>
          <w:kern w:val="0"/>
          <w:sz w:val="24"/>
        </w:rPr>
        <w:t>米。</w:t>
      </w:r>
    </w:p>
    <w:p>
      <w:pPr>
        <w:widowControl/>
        <w:spacing w:line="500" w:lineRule="exact"/>
        <w:ind w:firstLine="480" w:firstLineChars="200"/>
        <w:contextualSpacing/>
        <w:rPr>
          <w:rFonts w:ascii="Times New Roman" w:hAnsi="Times New Roman"/>
          <w:color w:val="000000"/>
          <w:sz w:val="24"/>
        </w:rPr>
      </w:pPr>
      <w:r>
        <w:rPr>
          <w:rFonts w:hint="eastAsia" w:ascii="Times New Roman" w:hAnsi="Times New Roman"/>
          <w:color w:val="000000"/>
          <w:kern w:val="0"/>
          <w:sz w:val="24"/>
        </w:rPr>
        <w:t>监测井完成后，必须进行洗井，以清除监测井内初次渗入的地下水中夹杂的混浊物，同时也可以提高监测井与周边地下水之间的水力联系。洗井一般分两次，即建井后的洗井和采样前的洗井。在洗井前后及洗井过程中需要监测</w:t>
      </w:r>
      <w:r>
        <w:rPr>
          <w:rFonts w:ascii="Times New Roman" w:hAnsi="Times New Roman"/>
          <w:color w:val="000000"/>
          <w:kern w:val="0"/>
          <w:sz w:val="24"/>
        </w:rPr>
        <w:t>pH</w:t>
      </w:r>
      <w:r>
        <w:rPr>
          <w:rFonts w:hint="eastAsia" w:ascii="Times New Roman" w:hAnsi="Times New Roman"/>
          <w:color w:val="000000"/>
          <w:kern w:val="0"/>
          <w:sz w:val="24"/>
        </w:rPr>
        <w:t>值、电导率、浊度、水温并记录水的颜色、气味等，条件许可时，建议监测氧化还原电位、溶解氧和总溶解盐含量。建井后的洗井首先要求直观判断水质基本上达到水清砂净，同时</w:t>
      </w:r>
      <w:r>
        <w:rPr>
          <w:rFonts w:ascii="Times New Roman" w:hAnsi="Times New Roman"/>
          <w:color w:val="000000"/>
          <w:kern w:val="0"/>
          <w:sz w:val="24"/>
        </w:rPr>
        <w:t>pH</w:t>
      </w:r>
      <w:r>
        <w:rPr>
          <w:rFonts w:hint="eastAsia" w:ascii="Times New Roman" w:hAnsi="Times New Roman"/>
          <w:color w:val="000000"/>
          <w:kern w:val="0"/>
          <w:sz w:val="24"/>
        </w:rPr>
        <w:t>值、电导率、浊度、水温等监测参数值达到稳定，即浊度等参数测试结果连续三次浮动在</w:t>
      </w:r>
      <w:r>
        <w:rPr>
          <w:rFonts w:ascii="Times New Roman" w:hAnsi="Times New Roman"/>
          <w:color w:val="000000"/>
          <w:kern w:val="0"/>
          <w:sz w:val="24"/>
        </w:rPr>
        <w:t>±10%</w:t>
      </w:r>
      <w:r>
        <w:rPr>
          <w:rFonts w:hint="eastAsia" w:ascii="Times New Roman" w:hAnsi="Times New Roman"/>
          <w:color w:val="000000"/>
          <w:kern w:val="0"/>
          <w:sz w:val="24"/>
        </w:rPr>
        <w:t>以内，或浊度小于</w:t>
      </w:r>
      <w:r>
        <w:rPr>
          <w:rFonts w:ascii="Times New Roman" w:hAnsi="Times New Roman"/>
          <w:color w:val="000000"/>
          <w:kern w:val="0"/>
          <w:sz w:val="24"/>
        </w:rPr>
        <w:t>50</w:t>
      </w:r>
      <w:r>
        <w:rPr>
          <w:rFonts w:hint="eastAsia" w:ascii="Times New Roman" w:hAnsi="Times New Roman"/>
          <w:color w:val="000000"/>
          <w:kern w:val="0"/>
          <w:sz w:val="24"/>
        </w:rPr>
        <w:t>个浊度单位。取样前的洗井在第一次洗井</w:t>
      </w:r>
      <w:r>
        <w:rPr>
          <w:rFonts w:ascii="Times New Roman" w:hAnsi="Times New Roman"/>
          <w:color w:val="000000"/>
          <w:kern w:val="0"/>
          <w:sz w:val="24"/>
        </w:rPr>
        <w:t>24</w:t>
      </w:r>
      <w:r>
        <w:rPr>
          <w:rFonts w:hint="eastAsia" w:ascii="Times New Roman" w:hAnsi="Times New Roman"/>
          <w:color w:val="000000"/>
          <w:kern w:val="0"/>
          <w:sz w:val="24"/>
        </w:rPr>
        <w:t>小时后开始，其洗出的水量要达到井中储水体积的三倍之上，同时要求</w:t>
      </w:r>
      <w:r>
        <w:rPr>
          <w:rFonts w:ascii="Times New Roman" w:hAnsi="Times New Roman"/>
          <w:color w:val="000000"/>
          <w:kern w:val="0"/>
          <w:sz w:val="24"/>
        </w:rPr>
        <w:t>pH</w:t>
      </w:r>
      <w:r>
        <w:rPr>
          <w:rFonts w:hint="eastAsia" w:ascii="Times New Roman" w:hAnsi="Times New Roman"/>
          <w:color w:val="000000"/>
          <w:kern w:val="0"/>
          <w:sz w:val="24"/>
        </w:rPr>
        <w:t>值、电导率、氧化还原电位、溶解氧、浊度、水温等水质参数值稳定但原则上洗出的水量不高于井中储水体积的五倍。</w:t>
      </w:r>
    </w:p>
    <w:p>
      <w:pPr>
        <w:widowControl/>
        <w:spacing w:line="360" w:lineRule="auto"/>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地下水采样在采样前的洗井完成后两小时内完成。取水使用一次性贝勒管，要求一井一管，并做到一井一根提水用的尼龙绳，取水位置建议为井中储水的中部。地下水采样过程中，为避免监测井中发生混浊，贝勒管放入和提出时应缓慢进行。</w:t>
      </w:r>
    </w:p>
    <w:p>
      <w:pPr>
        <w:widowControl/>
        <w:spacing w:line="500" w:lineRule="exact"/>
        <w:ind w:firstLine="480" w:firstLineChars="200"/>
        <w:contextualSpacing/>
        <w:rPr>
          <w:rFonts w:ascii="Times New Roman" w:hAnsi="Times New Roman"/>
          <w:color w:val="000000"/>
          <w:sz w:val="24"/>
        </w:rPr>
      </w:pPr>
      <w:r>
        <w:rPr>
          <w:rFonts w:ascii="Times New Roman" w:hAnsi="Times New Roman"/>
          <w:color w:val="000000"/>
          <w:kern w:val="0"/>
          <w:sz w:val="24"/>
        </w:rPr>
        <w:t>根据不同的检测指标，将地下水样品按要求装入不同的样品瓶中。现场人员及时填写采样记录表（主要内容包括：样品名称和编号，气象条件，采样时间，采样位置，采样深度，样品的颜色、气味、质地等，现场检测结果，采样人员等），并在样品瓶体贴上标签，注明样品编号、日期、采样人等信息。样品制备完成后在4 ℃</w:t>
      </w:r>
      <w:r>
        <w:rPr>
          <w:rFonts w:hint="eastAsia" w:ascii="Times New Roman" w:hAnsi="Times New Roman"/>
          <w:color w:val="000000"/>
          <w:kern w:val="0"/>
          <w:sz w:val="24"/>
        </w:rPr>
        <w:t>以下的低温环境中保存，</w:t>
      </w:r>
      <w:r>
        <w:rPr>
          <w:rFonts w:ascii="Times New Roman" w:hAnsi="Times New Roman"/>
          <w:color w:val="000000"/>
          <w:kern w:val="0"/>
          <w:sz w:val="24"/>
        </w:rPr>
        <w:t>48 h</w:t>
      </w:r>
      <w:r>
        <w:rPr>
          <w:rFonts w:hint="eastAsia" w:ascii="Times New Roman" w:hAnsi="Times New Roman"/>
          <w:color w:val="000000"/>
          <w:kern w:val="0"/>
          <w:sz w:val="24"/>
        </w:rPr>
        <w:t>内运至实验室分析。</w:t>
      </w:r>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样品装运前核对采样记录表、样签等，如有缺漏项和错误处，应及时补齐和修正</w:t>
      </w:r>
      <w:r>
        <w:rPr>
          <w:rFonts w:hint="eastAsia" w:ascii="Times New Roman" w:hAnsi="Times New Roman"/>
          <w:color w:val="000000"/>
          <w:kern w:val="0"/>
          <w:sz w:val="24"/>
        </w:rPr>
        <w:t>后方可装运。样品运输过程中严防损失、混淆或玷污。样品送到实验室后，采样人员和实验室样品管理员双方同时清点核实样品，并在样品运输跟踪单上签字确认。</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67" w:name="_Toc536433501"/>
      <w:bookmarkStart w:id="168" w:name="_Toc521598197"/>
      <w:bookmarkStart w:id="169" w:name="_Toc13773068"/>
      <w:bookmarkStart w:id="170" w:name="_Toc515202988"/>
      <w:bookmarkStart w:id="171" w:name="_Toc13039"/>
      <w:r>
        <w:rPr>
          <w:rFonts w:ascii="Times New Roman" w:hAnsi="Times New Roman"/>
          <w:b/>
          <w:bCs/>
          <w:sz w:val="28"/>
          <w:szCs w:val="32"/>
        </w:rPr>
        <w:t>8.3质量控制与质量保证</w:t>
      </w:r>
      <w:bookmarkEnd w:id="167"/>
      <w:bookmarkEnd w:id="168"/>
      <w:bookmarkEnd w:id="169"/>
      <w:bookmarkEnd w:id="170"/>
      <w:bookmarkEnd w:id="171"/>
    </w:p>
    <w:p>
      <w:pPr>
        <w:widowControl/>
        <w:spacing w:line="500" w:lineRule="exact"/>
        <w:contextualSpacing/>
        <w:rPr>
          <w:rFonts w:ascii="Times New Roman" w:hAnsi="Times New Roman" w:eastAsia="宋体" w:cs="Times New Roman"/>
          <w:b/>
          <w:color w:val="000000"/>
          <w:kern w:val="0"/>
          <w:sz w:val="24"/>
          <w:szCs w:val="24"/>
        </w:rPr>
      </w:pPr>
      <w:bookmarkStart w:id="172" w:name="_Toc13773069"/>
      <w:r>
        <w:rPr>
          <w:rFonts w:ascii="Times New Roman" w:hAnsi="Times New Roman" w:eastAsia="宋体" w:cs="Times New Roman"/>
          <w:b/>
          <w:color w:val="000000"/>
          <w:kern w:val="0"/>
          <w:sz w:val="24"/>
          <w:szCs w:val="24"/>
        </w:rPr>
        <w:t>8.</w:t>
      </w:r>
      <w:r>
        <w:rPr>
          <w:rFonts w:hint="eastAsia" w:ascii="Times New Roman" w:hAnsi="Times New Roman" w:eastAsia="宋体" w:cs="Times New Roman"/>
          <w:b/>
          <w:color w:val="000000"/>
          <w:kern w:val="0"/>
          <w:sz w:val="24"/>
          <w:szCs w:val="24"/>
        </w:rPr>
        <w:t>3.1质控要求</w:t>
      </w:r>
      <w:bookmarkEnd w:id="172"/>
    </w:p>
    <w:p>
      <w:pPr>
        <w:widowControl/>
        <w:spacing w:line="500" w:lineRule="exact"/>
        <w:ind w:firstLine="420"/>
        <w:contextualSpacing/>
        <w:rPr>
          <w:rFonts w:ascii="Times New Roman" w:hAnsi="Times New Roman"/>
          <w:kern w:val="0"/>
          <w:sz w:val="24"/>
          <w:szCs w:val="24"/>
        </w:rPr>
      </w:pPr>
      <w:r>
        <w:rPr>
          <w:rFonts w:ascii="Times New Roman" w:hAnsi="Times New Roman"/>
          <w:kern w:val="0"/>
          <w:sz w:val="24"/>
          <w:szCs w:val="24"/>
        </w:rPr>
        <w:t>为防止污染样品，必须建立完整的样品追踪管理程序，内容包括样品的保存、运输、交接等过程的书面记录和责任归属，避免样品被错误放置、混淆及保存过期，为整个环境调查采取全过程严格质控。</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（1）土壤现场采样耗材准备</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土壤样品的采集要根据分析成分和方法可选择铁锹、铁镐、土铲、土钻、竹刀、采样车等进行采样，采样设备需要根据要求进行彻底清洁，防止发生样品的污染。土壤样品使用样品袋、棕色玻璃瓶、保温箱等保存样品，一次性使用的容器要进行严格的材料验收后才可以使用，循环利用的容器根据不同材质进行清洁处理，防止发生样品污染。</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（2）土壤样品采集</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土壤采样遵循《土壤环境监测技术规范》</w:t>
      </w:r>
      <w:r>
        <w:rPr>
          <w:rFonts w:ascii="Times New Roman" w:hAnsi="Times New Roman"/>
          <w:color w:val="000000"/>
          <w:kern w:val="0"/>
          <w:sz w:val="24"/>
          <w:szCs w:val="24"/>
        </w:rPr>
        <w:t>HJ/T166-2004 和《场地环境监测技术导则》HJ25.2-2014。无机污染物的土壤分析样品应采用竹片或硬塑料片采集，挥发性有机物污染、易</w:t>
      </w:r>
      <w:r>
        <w:rPr>
          <w:rFonts w:hint="eastAsia" w:ascii="Times New Roman" w:hAnsi="Times New Roman"/>
          <w:color w:val="000000"/>
          <w:kern w:val="0"/>
          <w:sz w:val="24"/>
          <w:szCs w:val="24"/>
        </w:rPr>
        <w:t>分解有机物污染、恶臭污染土壤的采样，应采用无扰动式的采样方法和工具。钻孔取样可采用快速击入法、快速压入法及回转法，主要工具包括土壤原状取土器和回转取土器。槽探可采用人工刻切块状土取样。采样后立即将样品装入密封的容器，以减少暴露时间。如需采集土壤混合样时，将等量各点采集的土壤样品充分混拌后四分法取得到土壤混合样。易挥发、易分解及含恶臭的样品必须进行单独采样，禁止对样品进行均质化处理，不得采集混合样。</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（3）土壤样品保存与运输</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挥发性有机物污染的土壤样品与恶臭污染土壤的样品应采用密封性的采样瓶封装，样品应充满容器整个空间；含易分解有机物的待测定样品，可采取适当的封闭措施（如甲醇或水液封等方式保存于采样瓶中）。样品均置于</w:t>
      </w:r>
      <w:r>
        <w:rPr>
          <w:rFonts w:ascii="Times New Roman" w:hAnsi="Times New Roman"/>
          <w:color w:val="000000"/>
          <w:kern w:val="0"/>
          <w:sz w:val="24"/>
          <w:szCs w:val="24"/>
        </w:rPr>
        <w:t>4℃以下的低温环境（如冰箱）中运输、保存，避免运</w:t>
      </w:r>
      <w:r>
        <w:rPr>
          <w:rFonts w:hint="eastAsia" w:ascii="Times New Roman" w:hAnsi="Times New Roman"/>
          <w:color w:val="000000"/>
          <w:kern w:val="0"/>
          <w:sz w:val="24"/>
          <w:szCs w:val="24"/>
        </w:rPr>
        <w:t>输、保存过程中的挥发损失，送至实验室后应尽快分析测试。挥发性有机物浓度较高的样品装瓶后应密封在塑料袋中，避免交叉污染，应通过运输空白样来控制运输和保存过程中交叉污染情况。分析取用后的剩余样品，待测定全部完成数据出报后，移交样品库保存。土壤样品均在报告发出后保存</w:t>
      </w:r>
      <w:r>
        <w:rPr>
          <w:rFonts w:ascii="Times New Roman" w:hAnsi="Times New Roman"/>
          <w:color w:val="000000"/>
          <w:kern w:val="0"/>
          <w:sz w:val="24"/>
          <w:szCs w:val="24"/>
        </w:rPr>
        <w:t>6 个月。对保留的样品，进行定期检查，防止霉变、土壤标签脱落等。</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（4）样品交接</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送达采购人指定地点后，由样品管理员接收。样品管理员对样品进行符合性检查，包括：样品包装、标签及外观是否完好。对照采样记录单检查样品名称、采样地点、样品数量、形态等是否一致，核对保存剂加入情况以及样品是否有损坏、污染。当样品有异常，或对样品是否适合监测有疑问时，样品管理员及时向送样人员或采样人员询问，记录有关说明及处理意见。</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样品管理员确定样品唯一性编号，将样品唯一性标识固定在样品容器上，进行样品登记，并由送样人签字。样品管理员进行样品符合性检查、标识和登记后，立即通知实验室分析人员领取样品、进行实验室分析。</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（5）样品分析</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测定前，按分析方法和相应的色谱条件，对溶剂、试剂和纯水或材料进行空白实验，要求在目标组分的保留时间附近无干扰峰存在，否则更换试剂、溶剂、水或萃取材料，本次项目所用试剂均符合试剂空白要求。仪器空白、方法空白、现场全程序空白按作业指导书执行。</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基本要求是：采样时每批样（指在一次采样活动中，同时准备样品瓶（或其它））、采样后同时运回实验室的样品，实验室以样品量</w:t>
      </w:r>
      <w:r>
        <w:rPr>
          <w:rFonts w:ascii="Times New Roman" w:hAnsi="Times New Roman"/>
          <w:color w:val="000000"/>
          <w:kern w:val="0"/>
          <w:sz w:val="24"/>
          <w:szCs w:val="24"/>
        </w:rPr>
        <w:t>20 及20 以内为一批，至少采一个现场空白；实验</w:t>
      </w:r>
      <w:r>
        <w:rPr>
          <w:rFonts w:hint="eastAsia" w:ascii="Times New Roman" w:hAnsi="Times New Roman"/>
          <w:color w:val="000000"/>
          <w:kern w:val="0"/>
          <w:sz w:val="24"/>
          <w:szCs w:val="24"/>
        </w:rPr>
        <w:t>室分析时每批样品须带</w:t>
      </w:r>
      <w:r>
        <w:rPr>
          <w:rFonts w:ascii="Times New Roman" w:hAnsi="Times New Roman"/>
          <w:color w:val="000000"/>
          <w:kern w:val="0"/>
          <w:sz w:val="24"/>
          <w:szCs w:val="24"/>
        </w:rPr>
        <w:t>1 个方法空白，方法空白中检出目标化合物的浓度不得超过方法的检出</w:t>
      </w:r>
      <w:r>
        <w:rPr>
          <w:rFonts w:hint="eastAsia" w:ascii="Times New Roman" w:hAnsi="Times New Roman"/>
          <w:color w:val="000000"/>
          <w:kern w:val="0"/>
          <w:sz w:val="24"/>
          <w:szCs w:val="24"/>
        </w:rPr>
        <w:t>限。在每批次样品中，随机抽取不少于</w:t>
      </w:r>
      <w:r>
        <w:rPr>
          <w:rFonts w:ascii="Times New Roman" w:hAnsi="Times New Roman"/>
          <w:color w:val="000000"/>
          <w:kern w:val="0"/>
          <w:sz w:val="24"/>
          <w:szCs w:val="24"/>
        </w:rPr>
        <w:t>10%的样品进行平行样测定。平行样测定结果应满足：</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a. 样品浓度在g/kg 浓度水平时，或者显著高于方法检出限（5~10 倍以上）时，相对偏差</w:t>
      </w:r>
      <w:r>
        <w:rPr>
          <w:rFonts w:hint="eastAsia" w:ascii="Times New Roman" w:hAnsi="Times New Roman"/>
          <w:color w:val="000000"/>
          <w:kern w:val="0"/>
          <w:sz w:val="24"/>
          <w:szCs w:val="24"/>
        </w:rPr>
        <w:t>应小于</w:t>
      </w:r>
      <w:r>
        <w:rPr>
          <w:rFonts w:ascii="Times New Roman" w:hAnsi="Times New Roman"/>
          <w:color w:val="000000"/>
          <w:kern w:val="0"/>
          <w:sz w:val="24"/>
          <w:szCs w:val="24"/>
        </w:rPr>
        <w:t>10%；</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b. 样品浓度在mg/kg 浓度水平时，或者接近方法检出限时，相对偏差应小于20%；</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c. 对某些色谱行为较差的组分，相对偏差应小于30%。</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在无环境标准样品时，可采用标准物质配制或替代物。本次项目在实际分析中采用标准物质、标准点检验、平行样等方法来确定样品分析的准确度。</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每批样品分析中，随机抽取不少于</w:t>
      </w:r>
      <w:r>
        <w:rPr>
          <w:rFonts w:ascii="Times New Roman" w:hAnsi="Times New Roman"/>
          <w:color w:val="000000"/>
          <w:kern w:val="0"/>
          <w:sz w:val="24"/>
          <w:szCs w:val="24"/>
        </w:rPr>
        <w:t>10%的样品进行平行样分析。</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（6）样品标识</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唯一性由样品唯一性编号和样品测试状态标识组成。根据定唯一性编号方法。唯一性编号中包括样品类别、采样日期、监测井编号、样品序号、检测项目等信息。样品测试状态标识分“未测”、“在测”、“已测”</w:t>
      </w:r>
      <w:r>
        <w:rPr>
          <w:rFonts w:ascii="Times New Roman" w:hAnsi="Times New Roman"/>
          <w:color w:val="000000"/>
          <w:kern w:val="0"/>
          <w:sz w:val="24"/>
          <w:szCs w:val="24"/>
        </w:rPr>
        <w:t>3 种。样品初始测试状态“未测”标识由样品管理</w:t>
      </w:r>
      <w:r>
        <w:rPr>
          <w:rFonts w:hint="eastAsia" w:ascii="Times New Roman" w:hAnsi="Times New Roman"/>
          <w:color w:val="000000"/>
          <w:kern w:val="0"/>
          <w:sz w:val="24"/>
          <w:szCs w:val="24"/>
        </w:rPr>
        <w:t>员标识。</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样品唯一性标识明示在样品容器较醒目且不影响正常监测的位置。在实验室测试过程中有测试人员及时做好分样、移样的样品标识转移，并根据测试状态及时做好相应的标记。</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样品流转过程中，除样品唯一性标识需转移和样品测试状态需标识外，任何人、任何时候都不得随意更改样品唯一性编号。分析原始记录记录样品唯一性编号。</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73" w:name="_Toc13847404"/>
      <w:bookmarkStart w:id="174" w:name="_Toc12535"/>
      <w:r>
        <w:rPr>
          <w:rFonts w:hint="eastAsia" w:ascii="Times New Roman" w:hAnsi="Times New Roman"/>
          <w:b/>
          <w:bCs/>
          <w:kern w:val="44"/>
          <w:sz w:val="36"/>
          <w:szCs w:val="44"/>
        </w:rPr>
        <w:t>9</w:t>
      </w:r>
      <w:r>
        <w:rPr>
          <w:rFonts w:ascii="Times New Roman" w:hAnsi="Times New Roman"/>
          <w:b/>
          <w:bCs/>
          <w:kern w:val="44"/>
          <w:sz w:val="36"/>
          <w:szCs w:val="44"/>
        </w:rPr>
        <w:t xml:space="preserve"> </w:t>
      </w:r>
      <w:r>
        <w:rPr>
          <w:rFonts w:hint="eastAsia" w:ascii="Times New Roman" w:hAnsi="Times New Roman"/>
          <w:b/>
          <w:bCs/>
          <w:kern w:val="44"/>
          <w:sz w:val="36"/>
          <w:szCs w:val="44"/>
        </w:rPr>
        <w:t>结果分析</w:t>
      </w:r>
      <w:bookmarkEnd w:id="173"/>
      <w:bookmarkEnd w:id="174"/>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75" w:name="_Toc9289"/>
      <w:r>
        <w:rPr>
          <w:rFonts w:hint="eastAsia" w:ascii="Times New Roman" w:hAnsi="Times New Roman"/>
          <w:b/>
          <w:bCs/>
          <w:sz w:val="28"/>
          <w:szCs w:val="32"/>
        </w:rPr>
        <w:t>9.1结果分析原则</w:t>
      </w:r>
      <w:bookmarkEnd w:id="175"/>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监测企业应根据指南要求开展自行监测并对监测结果进行分析，以下情况可说明所监测重点设施或重点区域已存在污染迹象：</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a）关注污染物浓度超过相应标准中与其用地性质或所属区域相对应的浓度限值的（各监测对象限值标准按照表9.1-1执行）；</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b）关注污染物的监测值与对照点中本底值相比有显著升高的；</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c）某一时段内（2年以上）同一关注污染物监测值变化总体呈显著上升趋势的。</w:t>
      </w:r>
    </w:p>
    <w:p>
      <w:pPr>
        <w:widowControl/>
        <w:jc w:val="center"/>
        <w:rPr>
          <w:rFonts w:ascii="Times New Roman" w:hAnsi="Times New Roman"/>
          <w:b/>
          <w:bCs/>
          <w:snapToGrid w:val="0"/>
          <w:kern w:val="0"/>
          <w:sz w:val="24"/>
          <w:szCs w:val="24"/>
        </w:rPr>
      </w:pPr>
      <w:r>
        <w:rPr>
          <w:rFonts w:hint="eastAsia" w:ascii="Times New Roman" w:hAnsi="Times New Roman"/>
          <w:b/>
          <w:bCs/>
          <w:snapToGrid w:val="0"/>
          <w:kern w:val="0"/>
          <w:sz w:val="24"/>
          <w:szCs w:val="24"/>
        </w:rPr>
        <w:t>表9.1-1</w:t>
      </w:r>
      <w:r>
        <w:rPr>
          <w:rFonts w:ascii="Times New Roman" w:hAnsi="Times New Roman"/>
          <w:b/>
          <w:bCs/>
          <w:snapToGrid w:val="0"/>
          <w:kern w:val="0"/>
          <w:sz w:val="24"/>
          <w:szCs w:val="24"/>
        </w:rPr>
        <w:t xml:space="preserve"> </w:t>
      </w:r>
      <w:r>
        <w:rPr>
          <w:rFonts w:hint="eastAsia" w:ascii="Times New Roman" w:hAnsi="Times New Roman"/>
          <w:b/>
          <w:bCs/>
          <w:snapToGrid w:val="0"/>
          <w:kern w:val="0"/>
          <w:sz w:val="24"/>
          <w:szCs w:val="24"/>
        </w:rPr>
        <w:t>各监测对象相应限值标准</w:t>
      </w:r>
    </w:p>
    <w:p>
      <w:pPr>
        <w:widowControl/>
        <w:jc w:val="center"/>
        <w:rPr>
          <w:rFonts w:ascii="Times New Roman" w:hAnsi="Times New Roman"/>
          <w:b/>
          <w:bCs/>
          <w:snapToGrid w:val="0"/>
          <w:kern w:val="0"/>
          <w:sz w:val="24"/>
          <w:szCs w:val="24"/>
        </w:rPr>
      </w:pPr>
      <w:r>
        <w:rPr>
          <w:rFonts w:ascii="Times New Roman" w:hAnsi="Times New Roman"/>
          <w:b/>
          <w:bCs/>
          <w:snapToGrid w:val="0"/>
          <w:kern w:val="0"/>
          <w:sz w:val="24"/>
          <w:szCs w:val="24"/>
        </w:rPr>
        <w:drawing>
          <wp:inline distT="0" distB="0" distL="0" distR="0">
            <wp:extent cx="5274310" cy="1319530"/>
            <wp:effectExtent l="0" t="0" r="2540" b="0"/>
            <wp:docPr id="63" name="图片 63" descr="C:\Users\jy19k\AppData\Local\Temp\1563937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jy19k\AppData\Local\Temp\1563937484(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80773" cy="1321459"/>
                    </a:xfrm>
                    <a:prstGeom prst="rect">
                      <a:avLst/>
                    </a:prstGeom>
                    <a:noFill/>
                    <a:ln>
                      <a:noFill/>
                    </a:ln>
                  </pic:spPr>
                </pic:pic>
              </a:graphicData>
            </a:graphic>
          </wp:inline>
        </w:drawing>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对于已存在污染迹象的监测结果，应排除以下情况：</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a）采样或统计分析误差，此时应重新进行采样或分析；</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b）土壤或地下水自然波动导致监测值呈上升趋势的（未超过限值标准）；</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c）土壤本底值过高或企业外部污染源产生的污染导致的污染物浓度超过限值标准；</w:t>
      </w:r>
    </w:p>
    <w:p>
      <w:pPr>
        <w:widowControl/>
        <w:spacing w:line="500" w:lineRule="exact"/>
        <w:ind w:firstLine="420"/>
        <w:rPr>
          <w:rFonts w:hint="eastAsia" w:ascii="Times New Roman" w:hAnsi="Times New Roman"/>
          <w:snapToGrid w:val="0"/>
          <w:kern w:val="0"/>
          <w:sz w:val="24"/>
          <w:szCs w:val="24"/>
        </w:rPr>
      </w:pPr>
      <w:r>
        <w:rPr>
          <w:rFonts w:hint="eastAsia" w:ascii="Times New Roman" w:hAnsi="Times New Roman"/>
          <w:snapToGrid w:val="0"/>
          <w:kern w:val="0"/>
          <w:sz w:val="24"/>
          <w:szCs w:val="24"/>
        </w:rPr>
        <w:t>对于存在污染迹象的重点设施周边或重点区域，应根据具体情况适当增加监测点位，提高监测频次。</w:t>
      </w:r>
    </w:p>
    <w:p>
      <w:pPr>
        <w:pStyle w:val="17"/>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pStyle w:val="17"/>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pStyle w:val="17"/>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keepNext/>
        <w:keepLines/>
        <w:spacing w:line="500" w:lineRule="exact"/>
        <w:outlineLvl w:val="0"/>
        <w:rPr>
          <w:rFonts w:hint="eastAsia" w:ascii="Times New Roman" w:hAnsi="Times New Roman" w:eastAsia="宋体"/>
          <w:b/>
          <w:bCs/>
          <w:kern w:val="44"/>
          <w:sz w:val="36"/>
          <w:szCs w:val="44"/>
          <w:lang w:eastAsia="zh-CN"/>
        </w:rPr>
      </w:pPr>
      <w:bookmarkStart w:id="176" w:name="_Toc22149"/>
      <w:bookmarkStart w:id="177" w:name="_Toc4404"/>
      <w:r>
        <w:rPr>
          <w:rFonts w:hint="eastAsia" w:ascii="Times New Roman" w:hAnsi="Times New Roman"/>
          <w:b/>
          <w:bCs/>
          <w:kern w:val="44"/>
          <w:sz w:val="36"/>
          <w:szCs w:val="44"/>
          <w:lang w:val="en-US" w:eastAsia="zh-CN"/>
        </w:rPr>
        <w:t>10</w:t>
      </w:r>
      <w:r>
        <w:rPr>
          <w:rFonts w:hint="eastAsia" w:ascii="Times New Roman" w:hAnsi="Times New Roman"/>
          <w:b/>
          <w:bCs/>
          <w:kern w:val="44"/>
          <w:sz w:val="36"/>
          <w:szCs w:val="44"/>
        </w:rPr>
        <w:t xml:space="preserve"> </w:t>
      </w:r>
      <w:r>
        <w:rPr>
          <w:rFonts w:hint="eastAsia" w:ascii="Times New Roman" w:hAnsi="Times New Roman"/>
          <w:b/>
          <w:bCs/>
          <w:kern w:val="44"/>
          <w:sz w:val="36"/>
          <w:szCs w:val="44"/>
          <w:lang w:val="en-US" w:eastAsia="zh-CN"/>
        </w:rPr>
        <w:t>建议</w:t>
      </w:r>
      <w:bookmarkEnd w:id="176"/>
      <w:bookmarkEnd w:id="177"/>
    </w:p>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78" w:name="_Toc722"/>
      <w:bookmarkStart w:id="179" w:name="_Toc11244"/>
      <w:bookmarkStart w:id="180" w:name="_Toc24046"/>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.1监测频次</w:t>
      </w:r>
      <w:bookmarkEnd w:id="178"/>
      <w:bookmarkEnd w:id="179"/>
      <w:bookmarkEnd w:id="180"/>
    </w:p>
    <w:p>
      <w:pPr>
        <w:widowControl/>
        <w:spacing w:line="500" w:lineRule="exact"/>
        <w:rPr>
          <w:rFonts w:ascii="Times New Roman" w:hAnsi="Times New Roman"/>
          <w:snapToGrid w:val="0"/>
          <w:color w:val="000000" w:themeColor="text1"/>
          <w:kern w:val="0"/>
          <w:sz w:val="24"/>
          <w:szCs w:val="24"/>
          <w14:textFill>
            <w14:solidFill>
              <w14:schemeClr w14:val="tx1"/>
            </w14:solidFill>
          </w14:textFill>
        </w:rPr>
      </w:pPr>
      <w:r>
        <w:rPr>
          <w:rFonts w:ascii="Times New Roman" w:hAnsi="Times New Roman"/>
          <w:snapToGrid w:val="0"/>
          <w:color w:val="000000" w:themeColor="text1"/>
          <w:kern w:val="0"/>
          <w:sz w:val="24"/>
          <w:szCs w:val="24"/>
          <w14:textFill>
            <w14:solidFill>
              <w14:schemeClr w14:val="tx1"/>
            </w14:solidFill>
          </w14:textFill>
        </w:rPr>
        <w:tab/>
      </w:r>
      <w:r>
        <w:rPr>
          <w:rFonts w:hint="eastAsia" w:ascii="Times New Roman" w:hAnsi="Times New Roman"/>
          <w:snapToGrid w:val="0"/>
          <w:color w:val="000000" w:themeColor="text1"/>
          <w:kern w:val="0"/>
          <w:sz w:val="24"/>
          <w:szCs w:val="24"/>
          <w14:textFill>
            <w14:solidFill>
              <w14:schemeClr w14:val="tx1"/>
            </w14:solidFill>
          </w14:textFill>
        </w:rPr>
        <w:t>土壤与地下水自行监测频次依照表</w:t>
      </w:r>
      <w:r>
        <w:rPr>
          <w:rFonts w:hint="eastAsia" w:ascii="Times New Roman" w:hAnsi="Times New Roman"/>
          <w:snapToGrid w:val="0"/>
          <w:color w:val="000000" w:themeColor="text1"/>
          <w:kern w:val="0"/>
          <w:sz w:val="24"/>
          <w:szCs w:val="24"/>
          <w:lang w:val="en-US" w:eastAsia="zh-CN"/>
          <w14:textFill>
            <w14:solidFill>
              <w14:schemeClr w14:val="tx1"/>
            </w14:solidFill>
          </w14:textFill>
        </w:rPr>
        <w:t>10</w:t>
      </w:r>
      <w:r>
        <w:rPr>
          <w:rFonts w:hint="eastAsia" w:ascii="Times New Roman" w:hAnsi="Times New Roman"/>
          <w:snapToGrid w:val="0"/>
          <w:color w:val="000000" w:themeColor="text1"/>
          <w:kern w:val="0"/>
          <w:sz w:val="24"/>
          <w:szCs w:val="24"/>
          <w14:textFill>
            <w14:solidFill>
              <w14:schemeClr w14:val="tx1"/>
            </w14:solidFill>
          </w14:textFill>
        </w:rPr>
        <w:t>.1-1执行。</w:t>
      </w:r>
    </w:p>
    <w:p>
      <w:pPr>
        <w:widowControl/>
        <w:spacing w:line="500" w:lineRule="exact"/>
        <w:jc w:val="center"/>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 xml:space="preserve">表 </w:t>
      </w:r>
      <w:r>
        <w:rPr>
          <w:rFonts w:hint="eastAsia" w:ascii="Times New Roman" w:hAnsi="Times New Roman"/>
          <w:snapToGrid w:val="0"/>
          <w:color w:val="000000" w:themeColor="text1"/>
          <w:kern w:val="0"/>
          <w:sz w:val="24"/>
          <w:szCs w:val="24"/>
          <w:lang w:val="en-US" w:eastAsia="zh-CN"/>
          <w14:textFill>
            <w14:solidFill>
              <w14:schemeClr w14:val="tx1"/>
            </w14:solidFill>
          </w14:textFill>
        </w:rPr>
        <w:t>10</w:t>
      </w:r>
      <w:r>
        <w:rPr>
          <w:rFonts w:hint="eastAsia" w:ascii="Times New Roman" w:hAnsi="Times New Roman"/>
          <w:snapToGrid w:val="0"/>
          <w:color w:val="000000" w:themeColor="text1"/>
          <w:kern w:val="0"/>
          <w:sz w:val="24"/>
          <w:szCs w:val="24"/>
          <w14:textFill>
            <w14:solidFill>
              <w14:schemeClr w14:val="tx1"/>
            </w14:solidFill>
          </w14:textFill>
        </w:rPr>
        <w:t>.1-1</w:t>
      </w:r>
      <w:r>
        <w:rPr>
          <w:rFonts w:ascii="Times New Roman" w:hAnsi="Times New Roman"/>
          <w:snapToGrid w:val="0"/>
          <w:color w:val="000000" w:themeColor="text1"/>
          <w:kern w:val="0"/>
          <w:sz w:val="24"/>
          <w:szCs w:val="24"/>
          <w14:textFill>
            <w14:solidFill>
              <w14:schemeClr w14:val="tx1"/>
            </w14:solidFill>
          </w14:textFill>
        </w:rPr>
        <w:t xml:space="preserve"> </w:t>
      </w:r>
      <w:r>
        <w:rPr>
          <w:rFonts w:hint="eastAsia" w:ascii="Times New Roman" w:hAnsi="Times New Roman"/>
          <w:snapToGrid w:val="0"/>
          <w:color w:val="000000" w:themeColor="text1"/>
          <w:kern w:val="0"/>
          <w:sz w:val="24"/>
          <w:szCs w:val="24"/>
          <w14:textFill>
            <w14:solidFill>
              <w14:schemeClr w14:val="tx1"/>
            </w14:solidFill>
          </w14:textFill>
        </w:rPr>
        <w:t>自行监测的最低监测频次</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997"/>
        <w:gridCol w:w="3081"/>
        <w:gridCol w:w="322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056" w:type="pct"/>
            <w:gridSpan w:val="2"/>
          </w:tcPr>
          <w:p>
            <w:pPr>
              <w:pStyle w:val="39"/>
              <w:spacing w:line="360" w:lineRule="exact"/>
              <w:ind w:left="1178" w:right="1161"/>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监测对象</w:t>
            </w:r>
          </w:p>
        </w:tc>
        <w:tc>
          <w:tcPr>
            <w:tcW w:w="1943" w:type="pct"/>
          </w:tcPr>
          <w:p>
            <w:pPr>
              <w:pStyle w:val="39"/>
              <w:spacing w:line="360" w:lineRule="exact"/>
              <w:ind w:left="620" w:right="583"/>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监测频次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202" w:type="pct"/>
            <w:vAlign w:val="center"/>
          </w:tcPr>
          <w:p>
            <w:pPr>
              <w:pStyle w:val="39"/>
              <w:spacing w:line="360" w:lineRule="exact"/>
              <w:ind w:left="412" w:right="3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w:t>
            </w:r>
          </w:p>
        </w:tc>
        <w:tc>
          <w:tcPr>
            <w:tcW w:w="1854" w:type="pct"/>
          </w:tcPr>
          <w:p>
            <w:pPr>
              <w:pStyle w:val="39"/>
              <w:spacing w:line="360" w:lineRule="exact"/>
              <w:ind w:left="395" w:right="36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土壤一般监测</w:t>
            </w:r>
          </w:p>
        </w:tc>
        <w:tc>
          <w:tcPr>
            <w:tcW w:w="1943" w:type="pct"/>
          </w:tcPr>
          <w:p>
            <w:pPr>
              <w:pStyle w:val="39"/>
              <w:spacing w:line="360" w:lineRule="exact"/>
              <w:ind w:left="620" w:right="58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次</w:t>
            </w:r>
            <w:r>
              <w:rPr>
                <w:rFonts w:ascii="Times New Roman" w:hAnsi="Times New Roman" w:eastAsia="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056" w:type="pct"/>
            <w:gridSpan w:val="2"/>
          </w:tcPr>
          <w:p>
            <w:pPr>
              <w:pStyle w:val="39"/>
              <w:spacing w:line="360" w:lineRule="exact"/>
              <w:ind w:left="1176" w:right="116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地下水</w:t>
            </w:r>
          </w:p>
        </w:tc>
        <w:tc>
          <w:tcPr>
            <w:tcW w:w="1943" w:type="pct"/>
          </w:tcPr>
          <w:p>
            <w:pPr>
              <w:pStyle w:val="39"/>
              <w:spacing w:line="360" w:lineRule="exact"/>
              <w:ind w:left="620" w:right="58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次</w:t>
            </w:r>
            <w:r>
              <w:rPr>
                <w:rFonts w:ascii="Times New Roman" w:hAnsi="Times New Roman" w:eastAsia="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年</w:t>
            </w:r>
          </w:p>
        </w:tc>
      </w:tr>
    </w:tbl>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81" w:name="_Toc21685"/>
      <w:bookmarkStart w:id="182" w:name="_Toc614"/>
      <w:bookmarkStart w:id="183" w:name="_Toc25931"/>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.2监测井归档资料</w:t>
      </w:r>
      <w:bookmarkEnd w:id="181"/>
      <w:bookmarkEnd w:id="182"/>
      <w:bookmarkEnd w:id="183"/>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监测井归档资料包括监测井设计、原始记录、成果资料、竣工报告、建井验收书的纸介质和电子文档等，归档资料应在企业及当地生态环境主管部门备案。</w:t>
      </w:r>
    </w:p>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84" w:name="_Toc28875"/>
      <w:bookmarkStart w:id="185" w:name="_Toc20123"/>
      <w:bookmarkStart w:id="186" w:name="_Toc3906"/>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.3监测设施维护</w:t>
      </w:r>
      <w:bookmarkEnd w:id="184"/>
      <w:bookmarkEnd w:id="185"/>
      <w:bookmarkEnd w:id="186"/>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为防止监测井物理破坏，防止地表水、污染物质进入，监测井应建有井台、井口保护管、锁盖等。井台构筑通常分为明显式和隐藏式井台，隐藏式井台与地面齐平，适用于路面等特殊位置。</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（1）采用明显式井台的，井管地上部分约30-50 cm，超出地面的部分采用管套保护，保护管顶端安装可开合的盖子，并有上锁的位置。安装时，监测井井管位于保护管中央。井口保护管建议选择强度较大且不宜损坏材质，管长1 m，直径比井管大10 cm左右，高出平台50 cm，外部刷防锈漆。监测井井口用与井管同材质的丝堵或管帽封堵。</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（2）采用隐蔽式井台的，其高度原则上不超过自然地面10 cm。为方便监测时能够打开井盖，建议在地面以下的部分设置直径比井管略大的井套套在井管外，井套外再用水泥固定并筑成土坡状。井套内与井管之间的环形空隙不填充任何物质，以便于井口开启和不妨碍道路通行。</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应指派专人对监测井的设施进行经常性维护，设施一经损坏，需及时修复。</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地下水监测井每年测量井深一次，当监测井内淤积物淤没滤水管或井内水深小于1 m时，应及时清淤。</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井口固定点标志和孔口保护帽等发生移位或损坏时，需及时修复。</w:t>
      </w:r>
    </w:p>
    <w:p>
      <w:pPr>
        <w:keepNext/>
        <w:keepLines/>
        <w:widowControl/>
        <w:spacing w:before="156" w:beforeLines="50" w:after="156" w:afterLines="50" w:line="500" w:lineRule="exact"/>
        <w:contextualSpacing/>
        <w:outlineLvl w:val="1"/>
        <w:rPr>
          <w:rFonts w:ascii="Times New Roman" w:hAnsi="Times New Roman"/>
          <w:b/>
          <w:bCs/>
          <w:color w:val="000000" w:themeColor="text1"/>
          <w:sz w:val="28"/>
          <w:szCs w:val="32"/>
          <w14:textFill>
            <w14:solidFill>
              <w14:schemeClr w14:val="tx1"/>
            </w14:solidFill>
          </w14:textFill>
        </w:rPr>
      </w:pPr>
      <w:bookmarkStart w:id="187" w:name="_Toc8622"/>
      <w:bookmarkStart w:id="188" w:name="_Toc19430"/>
      <w:bookmarkStart w:id="189" w:name="_Toc19598"/>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.4监测方案动态更新</w:t>
      </w:r>
      <w:bookmarkEnd w:id="187"/>
      <w:bookmarkEnd w:id="188"/>
      <w:bookmarkEnd w:id="189"/>
    </w:p>
    <w:p>
      <w:pPr>
        <w:pStyle w:val="17"/>
        <w:jc w:val="left"/>
      </w:pPr>
      <w:r>
        <w:rPr>
          <w:rFonts w:hint="eastAsia" w:ascii="Times New Roman" w:hAnsi="Times New Roman"/>
          <w:snapToGrid w:val="0"/>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val="0"/>
          <w:bCs w:val="0"/>
          <w:snapToGrid w:val="0"/>
          <w:color w:val="000000" w:themeColor="text1"/>
          <w:kern w:val="0"/>
          <w:sz w:val="24"/>
          <w:szCs w:val="24"/>
          <w:lang w:val="en-US" w:eastAsia="zh-CN" w:bidi="ar-SA"/>
          <w14:textFill>
            <w14:solidFill>
              <w14:schemeClr w14:val="tx1"/>
            </w14:solidFill>
          </w14:textFill>
        </w:rPr>
        <w:t xml:space="preserve">  </w:t>
      </w:r>
      <w:bookmarkStart w:id="190" w:name="_Toc17898"/>
      <w:bookmarkStart w:id="191" w:name="_Toc16900"/>
      <w:r>
        <w:rPr>
          <w:rFonts w:hint="eastAsia" w:ascii="Times New Roman" w:hAnsi="Times New Roman" w:eastAsia="宋体" w:cs="Times New Roman"/>
          <w:b w:val="0"/>
          <w:bCs w:val="0"/>
          <w:snapToGrid w:val="0"/>
          <w:color w:val="000000" w:themeColor="text1"/>
          <w:kern w:val="0"/>
          <w:sz w:val="24"/>
          <w:szCs w:val="24"/>
          <w:lang w:val="en-US" w:eastAsia="zh-CN" w:bidi="ar-SA"/>
          <w14:textFill>
            <w14:solidFill>
              <w14:schemeClr w14:val="tx1"/>
            </w14:solidFill>
          </w14:textFill>
        </w:rPr>
        <w:t>如工艺、原辅材料、平面布置等发生变化，应对土壤和地下水监测布点方案实施动态更新。</w:t>
      </w:r>
      <w:bookmarkEnd w:id="190"/>
      <w:bookmarkEnd w:id="191"/>
    </w:p>
    <w:p>
      <w:pPr>
        <w:widowControl/>
        <w:spacing w:line="500" w:lineRule="exact"/>
        <w:ind w:firstLine="420"/>
        <w:rPr>
          <w:rFonts w:ascii="Times New Roman" w:hAnsi="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rPr>
      <w:t>88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eastAsia="zh-CN"/>
      </w:rPr>
    </w:pPr>
    <w:r>
      <w:rPr>
        <w:rFonts w:hint="eastAsia" w:ascii="宋体" w:hAnsi="宋体"/>
        <w:lang w:val="en-US" w:eastAsia="zh-CN"/>
      </w:rPr>
      <w:t>张家港市华科毛纺</w:t>
    </w:r>
    <w:r>
      <w:rPr>
        <w:rFonts w:hint="eastAsia" w:ascii="宋体" w:hAnsi="宋体"/>
        <w:lang w:eastAsia="zh-CN"/>
      </w:rPr>
      <w:t>有限公司</w:t>
    </w:r>
    <w:r>
      <w:rPr>
        <w:rFonts w:hint="eastAsia" w:ascii="宋体" w:hAnsi="宋体"/>
      </w:rPr>
      <w:t>2</w:t>
    </w:r>
    <w:r>
      <w:rPr>
        <w:rFonts w:hint="eastAsia" w:ascii="宋体" w:hAnsi="宋体"/>
        <w:lang w:val="en-US" w:eastAsia="zh-CN"/>
      </w:rPr>
      <w:t>022</w:t>
    </w:r>
    <w:r>
      <w:rPr>
        <w:rFonts w:hint="eastAsia" w:ascii="宋体" w:hAnsi="宋体"/>
      </w:rPr>
      <w:t>年度土壤与地下水环境质量自行监测</w:t>
    </w:r>
    <w:r>
      <w:rPr>
        <w:rFonts w:hint="eastAsia" w:ascii="宋体" w:hAnsi="宋体"/>
        <w:lang w:eastAsia="zh-CN"/>
      </w:rPr>
      <w:t>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93"/>
    <w:rsid w:val="00001CA0"/>
    <w:rsid w:val="000301EC"/>
    <w:rsid w:val="00037C75"/>
    <w:rsid w:val="00044B74"/>
    <w:rsid w:val="00051F23"/>
    <w:rsid w:val="000C36FE"/>
    <w:rsid w:val="000D49BB"/>
    <w:rsid w:val="000E76D8"/>
    <w:rsid w:val="00103B63"/>
    <w:rsid w:val="00105DFB"/>
    <w:rsid w:val="0011530A"/>
    <w:rsid w:val="0011641E"/>
    <w:rsid w:val="00147C74"/>
    <w:rsid w:val="00151D47"/>
    <w:rsid w:val="00162919"/>
    <w:rsid w:val="00166E36"/>
    <w:rsid w:val="00177F05"/>
    <w:rsid w:val="00192959"/>
    <w:rsid w:val="001A5ADB"/>
    <w:rsid w:val="001C4839"/>
    <w:rsid w:val="001C7C32"/>
    <w:rsid w:val="001D4BC7"/>
    <w:rsid w:val="00204DF5"/>
    <w:rsid w:val="0024073A"/>
    <w:rsid w:val="0024749E"/>
    <w:rsid w:val="00272ED4"/>
    <w:rsid w:val="002740E5"/>
    <w:rsid w:val="00281520"/>
    <w:rsid w:val="00296593"/>
    <w:rsid w:val="002B1626"/>
    <w:rsid w:val="00325BC6"/>
    <w:rsid w:val="00353290"/>
    <w:rsid w:val="00395828"/>
    <w:rsid w:val="003C6773"/>
    <w:rsid w:val="003D49E5"/>
    <w:rsid w:val="003E778C"/>
    <w:rsid w:val="003F79E3"/>
    <w:rsid w:val="00400292"/>
    <w:rsid w:val="00404067"/>
    <w:rsid w:val="004216CF"/>
    <w:rsid w:val="00431FF2"/>
    <w:rsid w:val="00460ED8"/>
    <w:rsid w:val="00461FAD"/>
    <w:rsid w:val="00472651"/>
    <w:rsid w:val="00475B9F"/>
    <w:rsid w:val="004840C5"/>
    <w:rsid w:val="004B577E"/>
    <w:rsid w:val="004E3719"/>
    <w:rsid w:val="00523A89"/>
    <w:rsid w:val="00523A96"/>
    <w:rsid w:val="00570982"/>
    <w:rsid w:val="005B0B8F"/>
    <w:rsid w:val="005E173F"/>
    <w:rsid w:val="005E5734"/>
    <w:rsid w:val="0060568C"/>
    <w:rsid w:val="0061344C"/>
    <w:rsid w:val="00642EBB"/>
    <w:rsid w:val="006A3E7C"/>
    <w:rsid w:val="006B41C0"/>
    <w:rsid w:val="006D4C35"/>
    <w:rsid w:val="006E3936"/>
    <w:rsid w:val="00703809"/>
    <w:rsid w:val="00721433"/>
    <w:rsid w:val="00755DDA"/>
    <w:rsid w:val="00757F1A"/>
    <w:rsid w:val="00771539"/>
    <w:rsid w:val="00776070"/>
    <w:rsid w:val="007A051C"/>
    <w:rsid w:val="007D0349"/>
    <w:rsid w:val="007D06A7"/>
    <w:rsid w:val="007E4493"/>
    <w:rsid w:val="007F2594"/>
    <w:rsid w:val="007F65F3"/>
    <w:rsid w:val="0081233D"/>
    <w:rsid w:val="00835E5A"/>
    <w:rsid w:val="0086192D"/>
    <w:rsid w:val="008C5B5E"/>
    <w:rsid w:val="008F09A0"/>
    <w:rsid w:val="009270AE"/>
    <w:rsid w:val="00930BEF"/>
    <w:rsid w:val="00931303"/>
    <w:rsid w:val="00931EAD"/>
    <w:rsid w:val="009351D3"/>
    <w:rsid w:val="00936793"/>
    <w:rsid w:val="009452E6"/>
    <w:rsid w:val="00952739"/>
    <w:rsid w:val="00965ABC"/>
    <w:rsid w:val="0099316D"/>
    <w:rsid w:val="009B313E"/>
    <w:rsid w:val="009D5189"/>
    <w:rsid w:val="009D7533"/>
    <w:rsid w:val="00A03EF1"/>
    <w:rsid w:val="00A20D82"/>
    <w:rsid w:val="00A2520B"/>
    <w:rsid w:val="00A652B6"/>
    <w:rsid w:val="00A938EE"/>
    <w:rsid w:val="00A95FEC"/>
    <w:rsid w:val="00AD3889"/>
    <w:rsid w:val="00AE0F0F"/>
    <w:rsid w:val="00B078B6"/>
    <w:rsid w:val="00B2259B"/>
    <w:rsid w:val="00BA1988"/>
    <w:rsid w:val="00BA5AB9"/>
    <w:rsid w:val="00C05585"/>
    <w:rsid w:val="00C149BC"/>
    <w:rsid w:val="00C34FF0"/>
    <w:rsid w:val="00C61EED"/>
    <w:rsid w:val="00C972B0"/>
    <w:rsid w:val="00CA3778"/>
    <w:rsid w:val="00CC14C9"/>
    <w:rsid w:val="00CF20D3"/>
    <w:rsid w:val="00D044D7"/>
    <w:rsid w:val="00D21233"/>
    <w:rsid w:val="00D4736E"/>
    <w:rsid w:val="00D56660"/>
    <w:rsid w:val="00D955EA"/>
    <w:rsid w:val="00DA1A5F"/>
    <w:rsid w:val="00DC7AAD"/>
    <w:rsid w:val="00DD76F5"/>
    <w:rsid w:val="00DE03B4"/>
    <w:rsid w:val="00DE4664"/>
    <w:rsid w:val="00DF1AC2"/>
    <w:rsid w:val="00E02E5F"/>
    <w:rsid w:val="00EC348E"/>
    <w:rsid w:val="00EC5AEE"/>
    <w:rsid w:val="00EC7E94"/>
    <w:rsid w:val="00ED12D5"/>
    <w:rsid w:val="00EE5B96"/>
    <w:rsid w:val="00EE67D1"/>
    <w:rsid w:val="00F323CE"/>
    <w:rsid w:val="00F40051"/>
    <w:rsid w:val="00F42B9B"/>
    <w:rsid w:val="00F71D19"/>
    <w:rsid w:val="00F739E5"/>
    <w:rsid w:val="00FB39CC"/>
    <w:rsid w:val="00FC2CCB"/>
    <w:rsid w:val="00FC7FA1"/>
    <w:rsid w:val="00FD4D46"/>
    <w:rsid w:val="03963297"/>
    <w:rsid w:val="067C7105"/>
    <w:rsid w:val="0F1B64ED"/>
    <w:rsid w:val="14C86B60"/>
    <w:rsid w:val="27743464"/>
    <w:rsid w:val="342730F0"/>
    <w:rsid w:val="37E529BD"/>
    <w:rsid w:val="3F2567AB"/>
    <w:rsid w:val="40DF5FEC"/>
    <w:rsid w:val="42DC50EA"/>
    <w:rsid w:val="476F1775"/>
    <w:rsid w:val="4D1F46DC"/>
    <w:rsid w:val="54C77629"/>
    <w:rsid w:val="560C50DD"/>
    <w:rsid w:val="6C18357B"/>
    <w:rsid w:val="74A46606"/>
    <w:rsid w:val="76201AF0"/>
    <w:rsid w:val="783A5FCF"/>
    <w:rsid w:val="7F8E1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7"/>
    <w:unhideWhenUsed/>
    <w:qFormat/>
    <w:uiPriority w:val="1"/>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默认段落字体 Para Char Char Char Char Char Char Char Char Char Char Char Char Char"/>
    <w:basedOn w:val="1"/>
    <w:qFormat/>
    <w:uiPriority w:val="0"/>
    <w:rPr>
      <w:rFonts w:ascii="Calibri" w:hAnsi="Calibri"/>
      <w:sz w:val="21"/>
      <w:szCs w:val="20"/>
    </w:rPr>
  </w:style>
  <w:style w:type="paragraph" w:styleId="6">
    <w:name w:val="Normal Indent"/>
    <w:basedOn w:val="1"/>
    <w:semiHidden/>
    <w:unhideWhenUsed/>
    <w:qFormat/>
    <w:uiPriority w:val="99"/>
    <w:pPr>
      <w:ind w:firstLine="420" w:firstLineChars="200"/>
    </w:pPr>
  </w:style>
  <w:style w:type="paragraph" w:styleId="7">
    <w:name w:val="annotation text"/>
    <w:basedOn w:val="1"/>
    <w:link w:val="51"/>
    <w:semiHidden/>
    <w:unhideWhenUsed/>
    <w:qFormat/>
    <w:uiPriority w:val="99"/>
    <w:pPr>
      <w:jc w:val="left"/>
    </w:pPr>
  </w:style>
  <w:style w:type="paragraph" w:styleId="8">
    <w:name w:val="Body Text"/>
    <w:basedOn w:val="1"/>
    <w:link w:val="38"/>
    <w:qFormat/>
    <w:uiPriority w:val="1"/>
    <w:pPr>
      <w:autoSpaceDE w:val="0"/>
      <w:autoSpaceDN w:val="0"/>
      <w:jc w:val="left"/>
    </w:pPr>
    <w:rPr>
      <w:rFonts w:ascii="宋体" w:hAnsi="宋体" w:cs="宋体"/>
      <w:kern w:val="0"/>
      <w:szCs w:val="21"/>
      <w:lang w:eastAsia="en-US"/>
    </w:rPr>
  </w:style>
  <w:style w:type="paragraph" w:styleId="9">
    <w:name w:val="toc 3"/>
    <w:basedOn w:val="1"/>
    <w:next w:val="1"/>
    <w:unhideWhenUsed/>
    <w:qFormat/>
    <w:uiPriority w:val="39"/>
    <w:pPr>
      <w:ind w:left="840" w:leftChars="400"/>
    </w:pPr>
  </w:style>
  <w:style w:type="paragraph" w:styleId="10">
    <w:name w:val="Plain Text"/>
    <w:basedOn w:val="1"/>
    <w:qFormat/>
    <w:uiPriority w:val="0"/>
    <w:rPr>
      <w:rFonts w:ascii="宋体" w:hAnsi="Courier New"/>
      <w:sz w:val="21"/>
    </w:rPr>
  </w:style>
  <w:style w:type="paragraph" w:styleId="11">
    <w:name w:val="Balloon Text"/>
    <w:basedOn w:val="1"/>
    <w:link w:val="48"/>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296"/>
      </w:tabs>
    </w:pPr>
    <w:rPr>
      <w:rFonts w:ascii="宋体" w:hAnsi="宋体"/>
      <w:b/>
      <w:bCs/>
      <w:kern w:val="44"/>
      <w:sz w:val="24"/>
      <w:szCs w:val="24"/>
    </w:rPr>
  </w:style>
  <w:style w:type="paragraph" w:styleId="15">
    <w:name w:val="toc 4"/>
    <w:basedOn w:val="1"/>
    <w:next w:val="1"/>
    <w:unhideWhenUsed/>
    <w:qFormat/>
    <w:uiPriority w:val="39"/>
    <w:pPr>
      <w:ind w:left="1260" w:leftChars="600"/>
    </w:pPr>
  </w:style>
  <w:style w:type="paragraph" w:styleId="16">
    <w:name w:val="toc 2"/>
    <w:basedOn w:val="1"/>
    <w:next w:val="1"/>
    <w:unhideWhenUsed/>
    <w:qFormat/>
    <w:uiPriority w:val="39"/>
    <w:pPr>
      <w:tabs>
        <w:tab w:val="right" w:leader="dot" w:pos="8296"/>
      </w:tabs>
      <w:ind w:left="420" w:leftChars="200"/>
    </w:pPr>
    <w:rPr>
      <w:rFonts w:ascii="宋体" w:hAnsi="宋体"/>
      <w:sz w:val="24"/>
      <w:szCs w:val="24"/>
    </w:rPr>
  </w:style>
  <w:style w:type="paragraph" w:styleId="17">
    <w:name w:val="Title"/>
    <w:basedOn w:val="1"/>
    <w:next w:val="1"/>
    <w:qFormat/>
    <w:uiPriority w:val="0"/>
    <w:pPr>
      <w:spacing w:beforeLines="100" w:line="400" w:lineRule="atLeast"/>
      <w:jc w:val="center"/>
      <w:outlineLvl w:val="0"/>
    </w:pPr>
    <w:rPr>
      <w:rFonts w:ascii="Arial" w:hAnsi="Arial" w:eastAsia="黑体"/>
      <w:b/>
      <w:bCs/>
      <w:kern w:val="0"/>
      <w:sz w:val="32"/>
      <w:szCs w:val="32"/>
    </w:rPr>
  </w:style>
  <w:style w:type="paragraph" w:styleId="18">
    <w:name w:val="annotation subject"/>
    <w:basedOn w:val="7"/>
    <w:next w:val="7"/>
    <w:link w:val="52"/>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character" w:customStyle="1" w:styleId="25">
    <w:name w:val="标题 1 字符"/>
    <w:basedOn w:val="21"/>
    <w:link w:val="3"/>
    <w:qFormat/>
    <w:uiPriority w:val="9"/>
    <w:rPr>
      <w:rFonts w:ascii="Calibri" w:hAnsi="Calibri" w:eastAsia="宋体" w:cs="Times New Roman"/>
      <w:b/>
      <w:bCs/>
      <w:kern w:val="44"/>
      <w:sz w:val="44"/>
      <w:szCs w:val="44"/>
    </w:rPr>
  </w:style>
  <w:style w:type="character" w:customStyle="1" w:styleId="26">
    <w:name w:val="标题 2 字符"/>
    <w:basedOn w:val="21"/>
    <w:link w:val="4"/>
    <w:semiHidden/>
    <w:qFormat/>
    <w:uiPriority w:val="9"/>
    <w:rPr>
      <w:rFonts w:asciiTheme="majorHAnsi" w:hAnsiTheme="majorHAnsi" w:eastAsiaTheme="majorEastAsia" w:cstheme="majorBidi"/>
      <w:b/>
      <w:bCs/>
      <w:sz w:val="32"/>
      <w:szCs w:val="32"/>
    </w:rPr>
  </w:style>
  <w:style w:type="character" w:customStyle="1" w:styleId="27">
    <w:name w:val="标题 3 字符"/>
    <w:basedOn w:val="21"/>
    <w:link w:val="5"/>
    <w:qFormat/>
    <w:uiPriority w:val="1"/>
    <w:rPr>
      <w:rFonts w:ascii="Calibri" w:hAnsi="Calibri" w:eastAsia="宋体" w:cs="Times New Roman"/>
      <w:b/>
      <w:bCs/>
      <w:sz w:val="32"/>
      <w:szCs w:val="32"/>
    </w:rPr>
  </w:style>
  <w:style w:type="character" w:customStyle="1" w:styleId="28">
    <w:name w:val="页眉 字符"/>
    <w:basedOn w:val="21"/>
    <w:link w:val="13"/>
    <w:qFormat/>
    <w:uiPriority w:val="99"/>
    <w:rPr>
      <w:sz w:val="18"/>
      <w:szCs w:val="18"/>
    </w:rPr>
  </w:style>
  <w:style w:type="character" w:customStyle="1" w:styleId="29">
    <w:name w:val="页脚 字符"/>
    <w:basedOn w:val="21"/>
    <w:link w:val="12"/>
    <w:qFormat/>
    <w:uiPriority w:val="99"/>
    <w:rPr>
      <w:sz w:val="18"/>
      <w:szCs w:val="18"/>
    </w:rPr>
  </w:style>
  <w:style w:type="paragraph" w:customStyle="1" w:styleId="30">
    <w:name w:val="SS正文"/>
    <w:basedOn w:val="1"/>
    <w:qFormat/>
    <w:uiPriority w:val="0"/>
    <w:pPr>
      <w:spacing w:line="360" w:lineRule="auto"/>
      <w:ind w:right="100" w:rightChars="100" w:firstLine="200" w:firstLineChars="200"/>
      <w:jc w:val="left"/>
    </w:pPr>
    <w:rPr>
      <w:rFonts w:ascii="方正仿宋_GBK" w:hAnsi="方正仿宋_GBK" w:eastAsia="方正仿宋_GBK" w:cs="方正仿宋_GBK"/>
      <w:sz w:val="24"/>
      <w:szCs w:val="24"/>
    </w:rPr>
  </w:style>
  <w:style w:type="paragraph" w:customStyle="1" w:styleId="31">
    <w:name w:val="LD正文"/>
    <w:basedOn w:val="6"/>
    <w:link w:val="32"/>
    <w:qFormat/>
    <w:uiPriority w:val="0"/>
    <w:pPr>
      <w:adjustRightInd w:val="0"/>
      <w:snapToGrid w:val="0"/>
      <w:spacing w:line="360" w:lineRule="auto"/>
      <w:ind w:firstLine="200"/>
    </w:pPr>
    <w:rPr>
      <w:rFonts w:ascii="Times New Roman" w:hAnsi="Times New Roman"/>
      <w:color w:val="0000FF"/>
      <w:sz w:val="24"/>
      <w:szCs w:val="24"/>
    </w:rPr>
  </w:style>
  <w:style w:type="character" w:customStyle="1" w:styleId="32">
    <w:name w:val="LD正文 Char"/>
    <w:link w:val="31"/>
    <w:qFormat/>
    <w:uiPriority w:val="0"/>
    <w:rPr>
      <w:rFonts w:ascii="Times New Roman" w:hAnsi="Times New Roman" w:eastAsia="宋体" w:cs="Times New Roman"/>
      <w:color w:val="0000FF"/>
      <w:sz w:val="24"/>
      <w:szCs w:val="24"/>
    </w:rPr>
  </w:style>
  <w:style w:type="paragraph" w:customStyle="1" w:styleId="33">
    <w:name w:val="正文 ng"/>
    <w:basedOn w:val="1"/>
    <w:link w:val="34"/>
    <w:qFormat/>
    <w:uiPriority w:val="0"/>
    <w:pPr>
      <w:spacing w:line="360" w:lineRule="auto"/>
      <w:ind w:firstLine="480" w:firstLineChars="200"/>
    </w:pPr>
    <w:rPr>
      <w:rFonts w:ascii="Times New Roman" w:hAnsi="Times New Roman"/>
      <w:kern w:val="0"/>
      <w:sz w:val="24"/>
    </w:rPr>
  </w:style>
  <w:style w:type="character" w:customStyle="1" w:styleId="34">
    <w:name w:val="正文 ng Char"/>
    <w:basedOn w:val="21"/>
    <w:link w:val="33"/>
    <w:qFormat/>
    <w:uiPriority w:val="0"/>
    <w:rPr>
      <w:rFonts w:ascii="Times New Roman" w:hAnsi="Times New Roman" w:eastAsia="宋体" w:cs="Times New Roman"/>
      <w:kern w:val="0"/>
      <w:sz w:val="24"/>
    </w:rPr>
  </w:style>
  <w:style w:type="paragraph" w:customStyle="1" w:styleId="35">
    <w:name w:val="4级标题"/>
    <w:basedOn w:val="5"/>
    <w:link w:val="36"/>
    <w:qFormat/>
    <w:uiPriority w:val="0"/>
    <w:pPr>
      <w:spacing w:before="0" w:after="0" w:line="500" w:lineRule="exact"/>
      <w:ind w:firstLine="241" w:firstLineChars="100"/>
    </w:pPr>
    <w:rPr>
      <w:rFonts w:ascii="Times New Roman" w:hAnsi="Times New Roman"/>
      <w:sz w:val="24"/>
    </w:rPr>
  </w:style>
  <w:style w:type="character" w:customStyle="1" w:styleId="36">
    <w:name w:val="4级标题 Char"/>
    <w:basedOn w:val="27"/>
    <w:link w:val="35"/>
    <w:qFormat/>
    <w:uiPriority w:val="0"/>
    <w:rPr>
      <w:rFonts w:ascii="Times New Roman" w:hAnsi="Times New Roman" w:eastAsia="宋体" w:cs="Times New Roman"/>
      <w:sz w:val="24"/>
      <w:szCs w:val="32"/>
    </w:rPr>
  </w:style>
  <w:style w:type="table" w:customStyle="1" w:styleId="37">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38">
    <w:name w:val="正文文本 字符"/>
    <w:basedOn w:val="21"/>
    <w:link w:val="8"/>
    <w:qFormat/>
    <w:uiPriority w:val="1"/>
    <w:rPr>
      <w:rFonts w:ascii="宋体" w:hAnsi="宋体" w:eastAsia="宋体" w:cs="宋体"/>
      <w:kern w:val="0"/>
      <w:szCs w:val="21"/>
      <w:lang w:eastAsia="en-US"/>
    </w:rPr>
  </w:style>
  <w:style w:type="paragraph" w:customStyle="1" w:styleId="39">
    <w:name w:val="Table Paragraph"/>
    <w:basedOn w:val="1"/>
    <w:qFormat/>
    <w:uiPriority w:val="1"/>
    <w:pPr>
      <w:autoSpaceDE w:val="0"/>
      <w:autoSpaceDN w:val="0"/>
      <w:jc w:val="left"/>
    </w:pPr>
    <w:rPr>
      <w:rFonts w:ascii="宋体" w:hAnsi="宋体" w:cs="宋体"/>
      <w:kern w:val="0"/>
      <w:sz w:val="22"/>
      <w:lang w:eastAsia="en-US"/>
    </w:rPr>
  </w:style>
  <w:style w:type="character" w:customStyle="1" w:styleId="40">
    <w:name w:val="正文 南钢 Char"/>
    <w:basedOn w:val="21"/>
    <w:link w:val="41"/>
    <w:qFormat/>
    <w:uiPriority w:val="0"/>
    <w:rPr>
      <w:rFonts w:ascii="Times New Roman" w:hAnsi="Times New Roman" w:eastAsia="宋体" w:cs="Times New Roman"/>
      <w:kern w:val="0"/>
      <w:sz w:val="24"/>
    </w:rPr>
  </w:style>
  <w:style w:type="paragraph" w:customStyle="1" w:styleId="41">
    <w:name w:val="正文 南钢"/>
    <w:basedOn w:val="1"/>
    <w:link w:val="40"/>
    <w:qFormat/>
    <w:uiPriority w:val="0"/>
    <w:pPr>
      <w:spacing w:line="360" w:lineRule="auto"/>
      <w:ind w:firstLine="480" w:firstLineChars="200"/>
    </w:pPr>
    <w:rPr>
      <w:rFonts w:ascii="Times New Roman" w:hAnsi="Times New Roman"/>
      <w:kern w:val="0"/>
      <w:sz w:val="24"/>
    </w:rPr>
  </w:style>
  <w:style w:type="paragraph" w:customStyle="1" w:styleId="42">
    <w:name w:val="2级标题"/>
    <w:basedOn w:val="4"/>
    <w:link w:val="43"/>
    <w:qFormat/>
    <w:uiPriority w:val="0"/>
    <w:pPr>
      <w:widowControl/>
      <w:spacing w:before="120" w:beforeLines="50" w:after="120" w:afterLines="50" w:line="500" w:lineRule="exact"/>
      <w:contextualSpacing/>
    </w:pPr>
    <w:rPr>
      <w:rFonts w:ascii="Times New Roman" w:hAnsi="Times New Roman" w:eastAsia="宋体" w:cs="Times New Roman"/>
      <w:sz w:val="28"/>
    </w:rPr>
  </w:style>
  <w:style w:type="character" w:customStyle="1" w:styleId="43">
    <w:name w:val="2级标题 Char"/>
    <w:basedOn w:val="26"/>
    <w:link w:val="42"/>
    <w:qFormat/>
    <w:uiPriority w:val="0"/>
    <w:rPr>
      <w:rFonts w:ascii="Times New Roman" w:hAnsi="Times New Roman" w:eastAsia="宋体" w:cs="Times New Roman"/>
      <w:sz w:val="28"/>
      <w:szCs w:val="32"/>
    </w:rPr>
  </w:style>
  <w:style w:type="paragraph" w:customStyle="1" w:styleId="44">
    <w:name w:val="南钢"/>
    <w:basedOn w:val="1"/>
    <w:link w:val="45"/>
    <w:qFormat/>
    <w:uiPriority w:val="0"/>
    <w:pPr>
      <w:widowControl/>
      <w:jc w:val="center"/>
    </w:pPr>
    <w:rPr>
      <w:rFonts w:asciiTheme="minorEastAsia" w:hAnsiTheme="minorEastAsia" w:eastAsiaTheme="minorEastAsia"/>
      <w:color w:val="000000"/>
      <w:kern w:val="0"/>
      <w:szCs w:val="21"/>
    </w:rPr>
  </w:style>
  <w:style w:type="character" w:customStyle="1" w:styleId="45">
    <w:name w:val="南钢 Char"/>
    <w:basedOn w:val="21"/>
    <w:link w:val="44"/>
    <w:qFormat/>
    <w:uiPriority w:val="0"/>
    <w:rPr>
      <w:rFonts w:cs="Times New Roman" w:asciiTheme="minorEastAsia" w:hAnsiTheme="minorEastAsia"/>
      <w:color w:val="000000"/>
      <w:kern w:val="0"/>
      <w:szCs w:val="21"/>
    </w:rPr>
  </w:style>
  <w:style w:type="paragraph" w:customStyle="1" w:styleId="46">
    <w:name w:val="表 ng"/>
    <w:basedOn w:val="1"/>
    <w:link w:val="47"/>
    <w:qFormat/>
    <w:uiPriority w:val="0"/>
    <w:pPr>
      <w:adjustRightInd w:val="0"/>
      <w:snapToGrid w:val="0"/>
      <w:jc w:val="center"/>
    </w:pPr>
    <w:rPr>
      <w:rFonts w:ascii="Times New Roman" w:hAnsi="Times New Roman" w:eastAsiaTheme="minorEastAsia"/>
      <w:color w:val="000000"/>
      <w:szCs w:val="21"/>
    </w:rPr>
  </w:style>
  <w:style w:type="character" w:customStyle="1" w:styleId="47">
    <w:name w:val="表 ng Char"/>
    <w:basedOn w:val="21"/>
    <w:link w:val="46"/>
    <w:qFormat/>
    <w:uiPriority w:val="0"/>
    <w:rPr>
      <w:rFonts w:ascii="Times New Roman" w:hAnsi="Times New Roman" w:cs="Times New Roman"/>
      <w:color w:val="000000"/>
      <w:szCs w:val="21"/>
    </w:rPr>
  </w:style>
  <w:style w:type="character" w:customStyle="1" w:styleId="48">
    <w:name w:val="批注框文本 字符"/>
    <w:basedOn w:val="21"/>
    <w:link w:val="11"/>
    <w:semiHidden/>
    <w:qFormat/>
    <w:uiPriority w:val="99"/>
    <w:rPr>
      <w:rFonts w:ascii="Calibri" w:hAnsi="Calibri" w:eastAsia="宋体" w:cs="Times New Roman"/>
      <w:sz w:val="18"/>
      <w:szCs w:val="18"/>
    </w:rPr>
  </w:style>
  <w:style w:type="paragraph" w:styleId="49">
    <w:name w:val="List Paragraph"/>
    <w:basedOn w:val="1"/>
    <w:qFormat/>
    <w:uiPriority w:val="34"/>
    <w:pPr>
      <w:ind w:firstLine="420" w:firstLineChars="200"/>
    </w:pPr>
  </w:style>
  <w:style w:type="paragraph" w:customStyle="1" w:styleId="50">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1">
    <w:name w:val="批注文字 字符"/>
    <w:basedOn w:val="21"/>
    <w:link w:val="7"/>
    <w:semiHidden/>
    <w:qFormat/>
    <w:uiPriority w:val="99"/>
    <w:rPr>
      <w:rFonts w:ascii="Calibri" w:hAnsi="Calibri" w:eastAsia="宋体" w:cs="Times New Roman"/>
    </w:rPr>
  </w:style>
  <w:style w:type="character" w:customStyle="1" w:styleId="52">
    <w:name w:val="批注主题 字符"/>
    <w:basedOn w:val="51"/>
    <w:link w:val="18"/>
    <w:semiHidden/>
    <w:qFormat/>
    <w:uiPriority w:val="99"/>
    <w:rPr>
      <w:rFonts w:ascii="Calibri" w:hAnsi="Calibri" w:eastAsia="宋体" w:cs="Times New Roman"/>
      <w:b/>
      <w:bCs/>
    </w:rPr>
  </w:style>
  <w:style w:type="paragraph" w:customStyle="1" w:styleId="53">
    <w:name w:val="表格内容"/>
    <w:basedOn w:val="1"/>
    <w:qFormat/>
    <w:uiPriority w:val="0"/>
    <w:pPr>
      <w:spacing w:line="240" w:lineRule="auto"/>
      <w:ind w:firstLine="0" w:firstLineChars="0"/>
      <w:jc w:val="center"/>
    </w:pPr>
    <w:rPr>
      <w:kern w:val="0"/>
      <w:sz w:val="21"/>
      <w:szCs w:val="20"/>
    </w:rPr>
  </w:style>
  <w:style w:type="paragraph" w:customStyle="1" w:styleId="54">
    <w:name w:val="正文 文本"/>
    <w:basedOn w:val="1"/>
    <w:qFormat/>
    <w:uiPriority w:val="0"/>
    <w:pPr>
      <w:ind w:firstLine="480"/>
    </w:pPr>
    <w:rPr>
      <w:bCs/>
      <w:snapToGrid w:val="0"/>
      <w:kern w:val="0"/>
      <w:szCs w:val="44"/>
    </w:rPr>
  </w:style>
  <w:style w:type="paragraph" w:customStyle="1" w:styleId="55">
    <w:name w:val="图"/>
    <w:basedOn w:val="1"/>
    <w:qFormat/>
    <w:uiPriority w:val="0"/>
    <w:pPr>
      <w:spacing w:line="240" w:lineRule="auto"/>
      <w:ind w:firstLine="0" w:firstLineChars="0"/>
      <w:jc w:val="center"/>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286EAD-DDB9-4369-8DE0-B589AF033E81}">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16224</Words>
  <Characters>18168</Characters>
  <Lines>440</Lines>
  <Paragraphs>123</Paragraphs>
  <TotalTime>2</TotalTime>
  <ScaleCrop>false</ScaleCrop>
  <LinksUpToDate>false</LinksUpToDate>
  <CharactersWithSpaces>19141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2019-07-12T09:19:00Z</dcterms:created>
  <dc:creator>Yang Jiang</dc:creator>
  <cp:lastModifiedBy>会说话的鱼</cp:lastModifiedBy>
  <dcterms:modified xsi:type="dcterms:W3CDTF">2022-03-16T01:37:48Z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51943A58C5404AB3B6215310DBEF1B45</vt:lpwstr>
  </property>
</Properties>
</file>