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Times New Roman" w:hAnsi="Times New Roman" w:eastAsia="宋体" w:cs="Times New Roman"/>
          <w:color w:val="auto"/>
          <w:sz w:val="44"/>
        </w:rPr>
      </w:pPr>
    </w:p>
    <w:p>
      <w:pPr>
        <w:pStyle w:val="2"/>
        <w:rPr>
          <w:rFonts w:hint="default" w:ascii="Times New Roman" w:hAnsi="Times New Roman" w:eastAsia="宋体" w:cs="Times New Roman"/>
          <w:color w:val="auto"/>
          <w:sz w:val="44"/>
        </w:rPr>
      </w:pPr>
    </w:p>
    <w:p>
      <w:pPr>
        <w:pStyle w:val="2"/>
        <w:rPr>
          <w:rFonts w:hint="default" w:ascii="Times New Roman" w:hAnsi="Times New Roman" w:eastAsia="宋体" w:cs="Times New Roman"/>
          <w:color w:val="auto"/>
          <w:sz w:val="44"/>
        </w:rPr>
      </w:pPr>
    </w:p>
    <w:p>
      <w:pPr>
        <w:pStyle w:val="2"/>
        <w:rPr>
          <w:rFonts w:hint="default" w:ascii="Times New Roman" w:hAnsi="Times New Roman" w:eastAsia="宋体" w:cs="Times New Roman"/>
          <w:color w:val="auto"/>
          <w:sz w:val="44"/>
        </w:rPr>
      </w:pPr>
    </w:p>
    <w:p>
      <w:pPr>
        <w:jc w:val="center"/>
        <w:rPr>
          <w:rFonts w:hint="default" w:ascii="Times New Roman" w:hAnsi="Times New Roman" w:eastAsia="宋体" w:cs="Times New Roman"/>
          <w:b/>
          <w:bCs/>
          <w:color w:val="auto"/>
          <w:sz w:val="44"/>
        </w:rPr>
      </w:pPr>
      <w:r>
        <w:rPr>
          <w:rFonts w:hint="default" w:ascii="Times New Roman" w:hAnsi="Times New Roman" w:eastAsia="宋体" w:cs="Times New Roman"/>
          <w:b/>
          <w:bCs/>
          <w:color w:val="auto"/>
          <w:sz w:val="44"/>
        </w:rPr>
        <w:t>建设项目竣工环境保护</w:t>
      </w:r>
    </w:p>
    <w:p>
      <w:pPr>
        <w:jc w:val="center"/>
        <w:rPr>
          <w:rFonts w:hint="default" w:ascii="Times New Roman" w:hAnsi="Times New Roman" w:eastAsia="宋体" w:cs="Times New Roman"/>
          <w:b/>
          <w:bCs/>
          <w:color w:val="auto"/>
          <w:sz w:val="44"/>
        </w:rPr>
      </w:pPr>
      <w:r>
        <w:rPr>
          <w:rFonts w:hint="default" w:ascii="Times New Roman" w:hAnsi="Times New Roman" w:eastAsia="宋体" w:cs="Times New Roman"/>
          <w:b/>
          <w:bCs/>
          <w:color w:val="auto"/>
          <w:sz w:val="44"/>
        </w:rPr>
        <w:t>验收监测报告</w:t>
      </w:r>
    </w:p>
    <w:p>
      <w:pPr>
        <w:shd w:val="clear"/>
        <w:jc w:val="center"/>
        <w:rPr>
          <w:rFonts w:hint="default" w:ascii="Times New Roman" w:hAnsi="Times New Roman" w:eastAsia="宋体" w:cs="Times New Roman"/>
          <w:b/>
          <w:bCs/>
          <w:color w:val="auto"/>
          <w:sz w:val="28"/>
          <w:highlight w:val="none"/>
          <w:lang w:eastAsia="zh-CN"/>
        </w:rPr>
      </w:pPr>
    </w:p>
    <w:p>
      <w:pPr>
        <w:pStyle w:val="2"/>
        <w:rPr>
          <w:rFonts w:hint="default" w:ascii="Times New Roman" w:hAnsi="Times New Roman" w:eastAsia="宋体" w:cs="Times New Roman"/>
          <w:color w:val="auto"/>
          <w:lang w:eastAsia="zh-CN"/>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spacing w:line="480" w:lineRule="exact"/>
        <w:rPr>
          <w:rFonts w:hint="default" w:ascii="Times New Roman" w:hAnsi="Times New Roman" w:eastAsia="宋体" w:cs="Times New Roman"/>
          <w:color w:val="auto"/>
          <w:sz w:val="28"/>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tbl>
      <w:tblPr>
        <w:tblStyle w:val="23"/>
        <w:tblW w:w="890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47"/>
        <w:gridCol w:w="69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3" w:hRule="atLeast"/>
          <w:jc w:val="center"/>
        </w:trPr>
        <w:tc>
          <w:tcPr>
            <w:tcW w:w="1947" w:type="dxa"/>
            <w:vAlign w:val="center"/>
          </w:tcPr>
          <w:p>
            <w:pPr>
              <w:jc w:val="right"/>
              <w:rPr>
                <w:rFonts w:hint="default" w:ascii="Times New Roman" w:hAnsi="Times New Roman" w:eastAsia="宋体" w:cs="Times New Roman"/>
                <w:b/>
                <w:bCs w:val="0"/>
                <w:color w:val="auto"/>
                <w:sz w:val="30"/>
                <w:szCs w:val="30"/>
              </w:rPr>
            </w:pPr>
            <w:r>
              <w:rPr>
                <w:rFonts w:hint="default" w:ascii="Times New Roman" w:hAnsi="Times New Roman" w:eastAsia="宋体" w:cs="Times New Roman"/>
                <w:b/>
                <w:bCs w:val="0"/>
                <w:color w:val="auto"/>
                <w:sz w:val="30"/>
                <w:szCs w:val="30"/>
              </w:rPr>
              <w:t>项目名称：</w:t>
            </w:r>
          </w:p>
        </w:tc>
        <w:tc>
          <w:tcPr>
            <w:tcW w:w="6957" w:type="dxa"/>
            <w:vAlign w:val="center"/>
          </w:tcPr>
          <w:p>
            <w:pPr>
              <w:pBdr>
                <w:bottom w:val="single" w:color="auto" w:sz="6" w:space="1"/>
              </w:pBdr>
              <w:spacing w:line="360" w:lineRule="auto"/>
              <w:jc w:val="center"/>
              <w:rPr>
                <w:rFonts w:hint="default" w:ascii="Times New Roman" w:hAnsi="Times New Roman" w:eastAsia="宋体" w:cs="Times New Roman"/>
                <w:b/>
                <w:bCs w:val="0"/>
                <w:color w:val="auto"/>
                <w:sz w:val="30"/>
                <w:szCs w:val="30"/>
                <w:u w:val="none"/>
                <w:lang w:val="en-US" w:eastAsia="zh-CN"/>
              </w:rPr>
            </w:pPr>
            <w:r>
              <w:rPr>
                <w:rFonts w:hint="default" w:ascii="Times New Roman" w:hAnsi="Times New Roman" w:eastAsia="宋体" w:cs="Times New Roman"/>
                <w:b/>
                <w:bCs w:val="0"/>
                <w:color w:val="auto"/>
                <w:sz w:val="30"/>
                <w:szCs w:val="30"/>
                <w:lang w:eastAsia="zh-CN"/>
              </w:rPr>
              <w:t>脂肪酸酯产品结构调整及节能减排技术改造项目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7" w:hRule="atLeast"/>
          <w:jc w:val="center"/>
        </w:trPr>
        <w:tc>
          <w:tcPr>
            <w:tcW w:w="1947" w:type="dxa"/>
            <w:vAlign w:val="center"/>
          </w:tcPr>
          <w:p>
            <w:pPr>
              <w:jc w:val="right"/>
              <w:rPr>
                <w:rFonts w:hint="default" w:ascii="Times New Roman" w:hAnsi="Times New Roman" w:eastAsia="宋体" w:cs="Times New Roman"/>
                <w:b/>
                <w:bCs w:val="0"/>
                <w:color w:val="auto"/>
                <w:sz w:val="30"/>
                <w:szCs w:val="30"/>
              </w:rPr>
            </w:pPr>
            <w:r>
              <w:rPr>
                <w:rFonts w:hint="default" w:ascii="Times New Roman" w:hAnsi="Times New Roman" w:eastAsia="宋体" w:cs="Times New Roman"/>
                <w:b/>
                <w:bCs w:val="0"/>
                <w:color w:val="auto"/>
                <w:sz w:val="30"/>
                <w:szCs w:val="30"/>
              </w:rPr>
              <w:t>建设单位：</w:t>
            </w:r>
          </w:p>
        </w:tc>
        <w:tc>
          <w:tcPr>
            <w:tcW w:w="6957" w:type="dxa"/>
            <w:vAlign w:val="center"/>
          </w:tcPr>
          <w:p>
            <w:pPr>
              <w:pBdr>
                <w:bottom w:val="single" w:color="auto" w:sz="6" w:space="1"/>
              </w:pBdr>
              <w:spacing w:line="360" w:lineRule="auto"/>
              <w:jc w:val="center"/>
              <w:rPr>
                <w:rFonts w:hint="default" w:ascii="Times New Roman" w:hAnsi="Times New Roman" w:eastAsia="宋体" w:cs="Times New Roman"/>
                <w:b/>
                <w:bCs w:val="0"/>
                <w:color w:val="auto"/>
                <w:sz w:val="30"/>
                <w:szCs w:val="30"/>
                <w:u w:val="none"/>
                <w:lang w:eastAsia="zh-CN"/>
              </w:rPr>
            </w:pPr>
            <w:r>
              <w:rPr>
                <w:rFonts w:hint="default" w:ascii="Times New Roman" w:hAnsi="Times New Roman" w:eastAsia="宋体" w:cs="Times New Roman"/>
                <w:b/>
                <w:bCs w:val="0"/>
                <w:color w:val="auto"/>
                <w:sz w:val="30"/>
                <w:szCs w:val="30"/>
                <w:lang w:eastAsia="zh-CN"/>
              </w:rPr>
              <w:t>泰柯棕化(张家港)有限公司</w:t>
            </w:r>
          </w:p>
        </w:tc>
      </w:tr>
    </w:tbl>
    <w:p>
      <w:pPr>
        <w:pStyle w:val="11"/>
        <w:spacing w:line="360" w:lineRule="auto"/>
        <w:jc w:val="both"/>
        <w:rPr>
          <w:rFonts w:hint="default" w:ascii="Times New Roman" w:hAnsi="Times New Roman" w:eastAsia="宋体" w:cs="Times New Roman"/>
          <w:bCs/>
          <w:color w:val="auto"/>
          <w:sz w:val="30"/>
          <w:szCs w:val="30"/>
        </w:rPr>
      </w:pPr>
    </w:p>
    <w:p>
      <w:pPr>
        <w:pStyle w:val="2"/>
        <w:rPr>
          <w:rFonts w:hint="default" w:ascii="Times New Roman" w:hAnsi="Times New Roman" w:eastAsia="宋体" w:cs="Times New Roman"/>
          <w:color w:val="auto"/>
          <w:sz w:val="28"/>
        </w:rPr>
      </w:pPr>
    </w:p>
    <w:p>
      <w:pPr>
        <w:pStyle w:val="2"/>
        <w:rPr>
          <w:rFonts w:hint="default" w:ascii="Times New Roman" w:hAnsi="Times New Roman" w:eastAsia="宋体" w:cs="Times New Roman"/>
          <w:color w:val="auto"/>
          <w:sz w:val="28"/>
        </w:rPr>
      </w:pPr>
    </w:p>
    <w:p>
      <w:pPr>
        <w:pStyle w:val="2"/>
        <w:rPr>
          <w:rFonts w:hint="default" w:ascii="Times New Roman" w:hAnsi="Times New Roman" w:eastAsia="宋体" w:cs="Times New Roman"/>
          <w:color w:val="auto"/>
          <w:sz w:val="28"/>
        </w:rPr>
      </w:pPr>
    </w:p>
    <w:p>
      <w:pPr>
        <w:pStyle w:val="2"/>
        <w:rPr>
          <w:rFonts w:hint="default" w:ascii="Times New Roman" w:hAnsi="Times New Roman" w:eastAsia="宋体" w:cs="Times New Roman"/>
          <w:color w:val="auto"/>
          <w:sz w:val="28"/>
        </w:rPr>
      </w:pPr>
    </w:p>
    <w:p>
      <w:pPr>
        <w:pStyle w:val="2"/>
        <w:rPr>
          <w:rFonts w:hint="default" w:ascii="Times New Roman" w:hAnsi="Times New Roman" w:eastAsia="宋体" w:cs="Times New Roman"/>
          <w:color w:val="auto"/>
          <w:sz w:val="28"/>
        </w:rPr>
      </w:pPr>
    </w:p>
    <w:p>
      <w:pPr>
        <w:pStyle w:val="2"/>
        <w:rPr>
          <w:rFonts w:hint="default" w:ascii="Times New Roman" w:hAnsi="Times New Roman" w:eastAsia="宋体" w:cs="Times New Roman"/>
          <w:color w:val="auto"/>
          <w:sz w:val="28"/>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57" w:firstLine="0" w:firstLineChars="0"/>
        <w:jc w:val="center"/>
        <w:textAlignment w:val="auto"/>
        <w:rPr>
          <w:rFonts w:hint="default" w:ascii="Times New Roman" w:hAnsi="Times New Roman" w:eastAsia="宋体" w:cs="Times New Roman"/>
          <w:b/>
          <w:bCs w:val="0"/>
          <w:color w:val="auto"/>
          <w:sz w:val="30"/>
          <w:szCs w:val="30"/>
          <w:lang w:eastAsia="zh-CN"/>
        </w:rPr>
      </w:pPr>
      <w:r>
        <w:rPr>
          <w:rFonts w:hint="default" w:ascii="Times New Roman" w:hAnsi="Times New Roman" w:eastAsia="宋体" w:cs="Times New Roman"/>
          <w:b/>
          <w:bCs w:val="0"/>
          <w:color w:val="auto"/>
          <w:sz w:val="30"/>
          <w:szCs w:val="30"/>
          <w:lang w:eastAsia="zh-CN"/>
        </w:rPr>
        <w:t>泰柯棕化(张家港)有限公司</w:t>
      </w:r>
    </w:p>
    <w:p>
      <w:pPr>
        <w:keepNext w:val="0"/>
        <w:keepLines w:val="0"/>
        <w:pageBreakBefore w:val="0"/>
        <w:widowControl w:val="0"/>
        <w:kinsoku/>
        <w:wordWrap/>
        <w:overflowPunct/>
        <w:topLinePunct w:val="0"/>
        <w:autoSpaceDE/>
        <w:autoSpaceDN/>
        <w:bidi w:val="0"/>
        <w:adjustRightInd/>
        <w:snapToGrid/>
        <w:spacing w:line="360" w:lineRule="auto"/>
        <w:ind w:left="0" w:leftChars="0" w:right="57" w:firstLine="0" w:firstLineChars="0"/>
        <w:jc w:val="center"/>
        <w:textAlignment w:val="auto"/>
        <w:rPr>
          <w:rFonts w:hint="default" w:ascii="Times New Roman" w:hAnsi="Times New Roman" w:eastAsia="宋体" w:cs="Times New Roman"/>
          <w:color w:val="auto"/>
          <w:sz w:val="32"/>
          <w:szCs w:val="32"/>
          <w:highlight w:val="none"/>
        </w:rPr>
      </w:pPr>
      <w:r>
        <w:rPr>
          <w:rFonts w:hint="default" w:ascii="Times New Roman" w:hAnsi="Times New Roman" w:eastAsia="宋体" w:cs="Times New Roman"/>
          <w:b/>
          <w:color w:val="auto"/>
          <w:sz w:val="32"/>
          <w:lang w:val="en-US" w:eastAsia="zh-CN"/>
        </w:rPr>
        <w:t xml:space="preserve">2021 </w:t>
      </w:r>
      <w:r>
        <w:rPr>
          <w:rFonts w:hint="default" w:ascii="Times New Roman" w:hAnsi="Times New Roman" w:eastAsia="宋体" w:cs="Times New Roman"/>
          <w:b/>
          <w:color w:val="auto"/>
          <w:sz w:val="32"/>
        </w:rPr>
        <w:t>年</w:t>
      </w:r>
      <w:r>
        <w:rPr>
          <w:rFonts w:hint="default" w:ascii="Times New Roman" w:hAnsi="Times New Roman" w:eastAsia="宋体" w:cs="Times New Roman"/>
          <w:b/>
          <w:color w:val="auto"/>
          <w:sz w:val="32"/>
          <w:lang w:val="en-US" w:eastAsia="zh-CN"/>
        </w:rPr>
        <w:t xml:space="preserve"> 11 </w:t>
      </w:r>
      <w:r>
        <w:rPr>
          <w:rFonts w:hint="default" w:ascii="Times New Roman" w:hAnsi="Times New Roman" w:eastAsia="宋体" w:cs="Times New Roman"/>
          <w:b/>
          <w:color w:val="auto"/>
          <w:sz w:val="32"/>
        </w:rPr>
        <w:t>月</w:t>
      </w:r>
    </w:p>
    <w:p>
      <w:pPr>
        <w:pStyle w:val="2"/>
        <w:keepNext w:val="0"/>
        <w:keepLines w:val="0"/>
        <w:pageBreakBefore w:val="0"/>
        <w:widowControl w:val="0"/>
        <w:kinsoku/>
        <w:wordWrap/>
        <w:overflowPunct/>
        <w:topLinePunct w:val="0"/>
        <w:autoSpaceDE w:val="0"/>
        <w:autoSpaceDN w:val="0"/>
        <w:bidi w:val="0"/>
        <w:snapToGrid/>
        <w:spacing w:line="360" w:lineRule="auto"/>
        <w:jc w:val="both"/>
        <w:textAlignment w:val="auto"/>
        <w:rPr>
          <w:rFonts w:hint="default" w:ascii="Times New Roman" w:hAnsi="Times New Roman" w:eastAsia="宋体" w:cs="Times New Roman"/>
          <w:color w:val="auto"/>
        </w:rPr>
        <w:sectPr>
          <w:headerReference r:id="rId5" w:type="default"/>
          <w:pgSz w:w="11911" w:h="16838"/>
          <w:pgMar w:top="1463" w:right="1678" w:bottom="1463" w:left="1678" w:header="283" w:footer="884" w:gutter="0"/>
          <w:pgBorders>
            <w:top w:val="none" w:sz="0" w:space="0"/>
            <w:left w:val="none" w:sz="0" w:space="0"/>
            <w:bottom w:val="none" w:sz="0" w:space="0"/>
            <w:right w:val="none" w:sz="0" w:space="0"/>
          </w:pgBorders>
          <w:pgNumType w:fmt="decimal"/>
          <w:cols w:space="425" w:num="1"/>
          <w:rtlGutter w:val="0"/>
          <w:docGrid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left="0" w:leftChars="0" w:right="57" w:firstLine="602" w:firstLineChars="200"/>
        <w:jc w:val="both"/>
        <w:textAlignment w:val="auto"/>
        <w:rPr>
          <w:rFonts w:hint="default" w:ascii="Times New Roman" w:hAnsi="Times New Roman" w:eastAsia="宋体" w:cs="Times New Roman"/>
          <w:b/>
          <w:bCs/>
          <w:color w:val="auto"/>
          <w:sz w:val="30"/>
          <w:szCs w:val="30"/>
          <w:lang w:eastAsia="zh-CN"/>
        </w:rPr>
      </w:pPr>
      <w:r>
        <w:rPr>
          <w:rFonts w:hint="default" w:ascii="Times New Roman" w:hAnsi="Times New Roman" w:eastAsia="宋体" w:cs="Times New Roman"/>
          <w:b/>
          <w:bCs/>
          <w:color w:val="auto"/>
          <w:sz w:val="30"/>
          <w:szCs w:val="30"/>
        </w:rPr>
        <w:t>建设</w:t>
      </w:r>
      <w:r>
        <w:rPr>
          <w:rFonts w:hint="default" w:ascii="Times New Roman" w:hAnsi="Times New Roman" w:eastAsia="宋体" w:cs="Times New Roman"/>
          <w:b/>
          <w:bCs/>
          <w:color w:val="auto"/>
          <w:sz w:val="30"/>
          <w:szCs w:val="30"/>
          <w:lang w:eastAsia="zh-CN"/>
        </w:rPr>
        <w:t>（编制）</w:t>
      </w:r>
      <w:r>
        <w:rPr>
          <w:rFonts w:hint="default" w:ascii="Times New Roman" w:hAnsi="Times New Roman" w:eastAsia="宋体" w:cs="Times New Roman"/>
          <w:b/>
          <w:bCs/>
          <w:color w:val="auto"/>
          <w:sz w:val="30"/>
          <w:szCs w:val="30"/>
        </w:rPr>
        <w:t>单位</w:t>
      </w:r>
      <w:r>
        <w:rPr>
          <w:rFonts w:hint="default" w:ascii="Times New Roman" w:hAnsi="Times New Roman" w:eastAsia="宋体" w:cs="Times New Roman"/>
          <w:b/>
          <w:bCs/>
          <w:color w:val="auto"/>
          <w:sz w:val="30"/>
          <w:szCs w:val="30"/>
          <w:lang w:eastAsia="zh-CN"/>
        </w:rPr>
        <w:t>：</w:t>
      </w:r>
      <w:r>
        <w:rPr>
          <w:rFonts w:hint="default" w:ascii="Times New Roman" w:hAnsi="Times New Roman" w:eastAsia="宋体" w:cs="Times New Roman"/>
          <w:b/>
          <w:bCs w:val="0"/>
          <w:color w:val="auto"/>
          <w:sz w:val="30"/>
          <w:szCs w:val="30"/>
          <w:lang w:eastAsia="zh-CN"/>
        </w:rPr>
        <w:t>泰柯棕化(张家港)有限公司</w:t>
      </w:r>
    </w:p>
    <w:p>
      <w:pPr>
        <w:keepNext w:val="0"/>
        <w:keepLines w:val="0"/>
        <w:pageBreakBefore w:val="0"/>
        <w:widowControl w:val="0"/>
        <w:kinsoku/>
        <w:wordWrap/>
        <w:overflowPunct/>
        <w:topLinePunct w:val="0"/>
        <w:autoSpaceDE w:val="0"/>
        <w:autoSpaceDN w:val="0"/>
        <w:bidi w:val="0"/>
        <w:adjustRightInd/>
        <w:snapToGrid/>
        <w:spacing w:before="0" w:after="0" w:line="480" w:lineRule="auto"/>
        <w:ind w:right="0" w:rightChars="0" w:firstLine="602" w:firstLineChars="200"/>
        <w:jc w:val="left"/>
        <w:textAlignment w:val="auto"/>
        <w:outlineLvl w:val="9"/>
        <w:rPr>
          <w:rFonts w:hint="default" w:ascii="Times New Roman" w:hAnsi="Times New Roman" w:eastAsia="宋体" w:cs="Times New Roman"/>
          <w:b/>
          <w:bCs/>
          <w:color w:val="auto"/>
          <w:sz w:val="30"/>
          <w:szCs w:val="30"/>
        </w:rPr>
      </w:pPr>
      <w:r>
        <w:rPr>
          <w:rFonts w:hint="default" w:ascii="Times New Roman" w:hAnsi="Times New Roman" w:eastAsia="宋体" w:cs="Times New Roman"/>
          <w:b/>
          <w:bCs/>
          <w:color w:val="auto"/>
          <w:sz w:val="30"/>
          <w:szCs w:val="30"/>
        </w:rPr>
        <w:t>建设</w:t>
      </w:r>
      <w:r>
        <w:rPr>
          <w:rFonts w:hint="default" w:ascii="Times New Roman" w:hAnsi="Times New Roman" w:eastAsia="宋体" w:cs="Times New Roman"/>
          <w:b/>
          <w:bCs/>
          <w:color w:val="auto"/>
          <w:sz w:val="30"/>
          <w:szCs w:val="30"/>
          <w:lang w:eastAsia="zh-CN"/>
        </w:rPr>
        <w:t>（编制）</w:t>
      </w:r>
      <w:r>
        <w:rPr>
          <w:rFonts w:hint="default" w:ascii="Times New Roman" w:hAnsi="Times New Roman" w:eastAsia="宋体" w:cs="Times New Roman"/>
          <w:b/>
          <w:bCs/>
          <w:color w:val="auto"/>
          <w:sz w:val="30"/>
          <w:szCs w:val="30"/>
        </w:rPr>
        <w:t>单位法人代表:</w:t>
      </w:r>
    </w:p>
    <w:p>
      <w:pPr>
        <w:keepNext w:val="0"/>
        <w:keepLines w:val="0"/>
        <w:pageBreakBefore w:val="0"/>
        <w:widowControl w:val="0"/>
        <w:kinsoku/>
        <w:wordWrap/>
        <w:overflowPunct/>
        <w:topLinePunct w:val="0"/>
        <w:autoSpaceDE w:val="0"/>
        <w:autoSpaceDN w:val="0"/>
        <w:bidi w:val="0"/>
        <w:adjustRightInd/>
        <w:snapToGrid/>
        <w:spacing w:before="0" w:after="0" w:line="480" w:lineRule="auto"/>
        <w:ind w:right="0" w:rightChars="0" w:firstLine="602" w:firstLineChars="200"/>
        <w:jc w:val="left"/>
        <w:textAlignment w:val="auto"/>
        <w:outlineLvl w:val="9"/>
        <w:rPr>
          <w:rFonts w:hint="default" w:ascii="Times New Roman" w:hAnsi="Times New Roman" w:eastAsia="宋体" w:cs="Times New Roman"/>
          <w:b/>
          <w:bCs/>
          <w:color w:val="auto"/>
          <w:sz w:val="30"/>
          <w:szCs w:val="30"/>
        </w:rPr>
      </w:pPr>
      <w:r>
        <w:rPr>
          <w:rFonts w:hint="default" w:ascii="Times New Roman" w:hAnsi="Times New Roman" w:eastAsia="宋体" w:cs="Times New Roman"/>
          <w:b/>
          <w:bCs/>
          <w:color w:val="auto"/>
          <w:sz w:val="30"/>
          <w:szCs w:val="30"/>
        </w:rPr>
        <w:t>项  目负  责  人:</w:t>
      </w:r>
    </w:p>
    <w:p>
      <w:pPr>
        <w:keepNext w:val="0"/>
        <w:keepLines w:val="0"/>
        <w:pageBreakBefore w:val="0"/>
        <w:widowControl w:val="0"/>
        <w:kinsoku/>
        <w:wordWrap/>
        <w:overflowPunct/>
        <w:topLinePunct w:val="0"/>
        <w:autoSpaceDE w:val="0"/>
        <w:autoSpaceDN w:val="0"/>
        <w:bidi w:val="0"/>
        <w:adjustRightInd/>
        <w:snapToGrid/>
        <w:spacing w:before="0" w:after="0" w:line="480" w:lineRule="auto"/>
        <w:ind w:right="0" w:rightChars="0" w:firstLine="602" w:firstLineChars="200"/>
        <w:jc w:val="left"/>
        <w:textAlignment w:val="auto"/>
        <w:outlineLvl w:val="9"/>
        <w:rPr>
          <w:rFonts w:hint="default" w:ascii="Times New Roman" w:hAnsi="Times New Roman" w:eastAsia="宋体" w:cs="Times New Roman"/>
          <w:b/>
          <w:bCs/>
          <w:color w:val="auto"/>
          <w:sz w:val="30"/>
          <w:szCs w:val="30"/>
          <w:lang w:eastAsia="zh-CN"/>
        </w:rPr>
      </w:pPr>
      <w:r>
        <w:rPr>
          <w:rFonts w:hint="default" w:ascii="Times New Roman" w:hAnsi="Times New Roman" w:eastAsia="宋体" w:cs="Times New Roman"/>
          <w:b/>
          <w:bCs/>
          <w:color w:val="auto"/>
          <w:sz w:val="30"/>
          <w:szCs w:val="30"/>
        </w:rPr>
        <w:t>报  告编  写  人</w:t>
      </w:r>
      <w:r>
        <w:rPr>
          <w:rFonts w:hint="default" w:ascii="Times New Roman" w:hAnsi="Times New Roman" w:eastAsia="宋体" w:cs="Times New Roman"/>
          <w:b/>
          <w:bCs/>
          <w:color w:val="auto"/>
          <w:sz w:val="30"/>
          <w:szCs w:val="30"/>
          <w:lang w:eastAsia="zh-CN"/>
        </w:rPr>
        <w:t>：</w:t>
      </w:r>
    </w:p>
    <w:p>
      <w:pPr>
        <w:keepNext w:val="0"/>
        <w:keepLines w:val="0"/>
        <w:pageBreakBefore w:val="0"/>
        <w:widowControl w:val="0"/>
        <w:kinsoku/>
        <w:wordWrap/>
        <w:overflowPunct/>
        <w:topLinePunct w:val="0"/>
        <w:autoSpaceDE w:val="0"/>
        <w:autoSpaceDN w:val="0"/>
        <w:bidi w:val="0"/>
        <w:adjustRightInd/>
        <w:snapToGrid/>
        <w:spacing w:before="0" w:after="0" w:line="480" w:lineRule="auto"/>
        <w:ind w:right="0" w:rightChars="0" w:firstLine="602" w:firstLineChars="200"/>
        <w:jc w:val="left"/>
        <w:textAlignment w:val="auto"/>
        <w:outlineLvl w:val="9"/>
        <w:rPr>
          <w:rFonts w:hint="default" w:ascii="Times New Roman" w:hAnsi="Times New Roman" w:eastAsia="宋体" w:cs="Times New Roman"/>
          <w:b/>
          <w:bCs/>
          <w:color w:val="auto"/>
          <w:sz w:val="30"/>
          <w:szCs w:val="30"/>
          <w:lang w:eastAsia="zh-CN"/>
        </w:rPr>
      </w:pPr>
      <w:r>
        <w:rPr>
          <w:rFonts w:hint="default" w:ascii="Times New Roman" w:hAnsi="Times New Roman" w:eastAsia="宋体" w:cs="Times New Roman"/>
          <w:b/>
          <w:bCs/>
          <w:color w:val="auto"/>
          <w:sz w:val="30"/>
          <w:szCs w:val="30"/>
          <w:lang w:eastAsia="zh-CN"/>
        </w:rPr>
        <w:t>验收检</w:t>
      </w:r>
      <w:r>
        <w:rPr>
          <w:rFonts w:hint="default" w:ascii="Times New Roman" w:hAnsi="Times New Roman" w:eastAsia="宋体" w:cs="Times New Roman"/>
          <w:b/>
          <w:bCs/>
          <w:color w:val="auto"/>
          <w:sz w:val="30"/>
          <w:szCs w:val="30"/>
          <w:lang w:val="en-US" w:eastAsia="zh-CN"/>
        </w:rPr>
        <w:t xml:space="preserve"> </w:t>
      </w:r>
      <w:r>
        <w:rPr>
          <w:rFonts w:hint="default" w:ascii="Times New Roman" w:hAnsi="Times New Roman" w:eastAsia="宋体" w:cs="Times New Roman"/>
          <w:b/>
          <w:bCs/>
          <w:color w:val="auto"/>
          <w:sz w:val="30"/>
          <w:szCs w:val="30"/>
          <w:lang w:eastAsia="zh-CN"/>
        </w:rPr>
        <w:t>测</w:t>
      </w:r>
      <w:r>
        <w:rPr>
          <w:rFonts w:hint="default" w:ascii="Times New Roman" w:hAnsi="Times New Roman" w:eastAsia="宋体" w:cs="Times New Roman"/>
          <w:b/>
          <w:bCs/>
          <w:color w:val="auto"/>
          <w:sz w:val="30"/>
          <w:szCs w:val="30"/>
        </w:rPr>
        <w:t>单位：</w:t>
      </w:r>
      <w:r>
        <w:rPr>
          <w:rFonts w:hint="default" w:ascii="Times New Roman" w:hAnsi="Times New Roman" w:eastAsia="宋体" w:cs="Times New Roman"/>
          <w:b/>
          <w:bCs/>
          <w:color w:val="auto"/>
          <w:sz w:val="30"/>
          <w:szCs w:val="30"/>
          <w:lang w:eastAsia="zh-CN"/>
        </w:rPr>
        <w:t>江苏新锐环境监测有限公司</w:t>
      </w:r>
    </w:p>
    <w:p>
      <w:pPr>
        <w:keepNext w:val="0"/>
        <w:keepLines w:val="0"/>
        <w:pageBreakBefore w:val="0"/>
        <w:widowControl w:val="0"/>
        <w:kinsoku/>
        <w:wordWrap/>
        <w:overflowPunct/>
        <w:topLinePunct w:val="0"/>
        <w:autoSpaceDE w:val="0"/>
        <w:autoSpaceDN w:val="0"/>
        <w:bidi w:val="0"/>
        <w:adjustRightInd/>
        <w:snapToGrid/>
        <w:spacing w:before="0" w:after="0" w:line="480" w:lineRule="auto"/>
        <w:ind w:right="0" w:rightChars="0" w:firstLine="602" w:firstLineChars="200"/>
        <w:jc w:val="left"/>
        <w:textAlignment w:val="auto"/>
        <w:outlineLvl w:val="9"/>
        <w:rPr>
          <w:rFonts w:hint="default" w:ascii="Times New Roman" w:hAnsi="Times New Roman" w:eastAsia="宋体" w:cs="Times New Roman"/>
          <w:b/>
          <w:bCs/>
          <w:color w:val="auto"/>
          <w:sz w:val="30"/>
          <w:szCs w:val="30"/>
          <w:lang w:eastAsia="zh-CN"/>
        </w:rPr>
      </w:pPr>
      <w:r>
        <w:rPr>
          <w:rFonts w:hint="default" w:ascii="Times New Roman" w:hAnsi="Times New Roman" w:eastAsia="宋体" w:cs="Times New Roman"/>
          <w:b/>
          <w:bCs/>
          <w:color w:val="auto"/>
          <w:sz w:val="30"/>
          <w:szCs w:val="30"/>
          <w:lang w:eastAsia="zh-CN"/>
        </w:rPr>
        <w:t>采</w:t>
      </w:r>
      <w:r>
        <w:rPr>
          <w:rFonts w:hint="default" w:ascii="Times New Roman" w:hAnsi="Times New Roman" w:eastAsia="宋体" w:cs="Times New Roman"/>
          <w:b/>
          <w:bCs/>
          <w:color w:val="auto"/>
          <w:sz w:val="30"/>
          <w:szCs w:val="30"/>
          <w:lang w:val="en-US" w:eastAsia="zh-CN"/>
        </w:rPr>
        <w:t xml:space="preserve">  </w:t>
      </w:r>
      <w:r>
        <w:rPr>
          <w:rFonts w:hint="default" w:ascii="Times New Roman" w:hAnsi="Times New Roman" w:eastAsia="宋体" w:cs="Times New Roman"/>
          <w:b/>
          <w:bCs/>
          <w:color w:val="auto"/>
          <w:sz w:val="30"/>
          <w:szCs w:val="30"/>
          <w:lang w:eastAsia="zh-CN"/>
        </w:rPr>
        <w:t>样负</w:t>
      </w:r>
      <w:r>
        <w:rPr>
          <w:rFonts w:hint="default" w:ascii="Times New Roman" w:hAnsi="Times New Roman" w:eastAsia="宋体" w:cs="Times New Roman"/>
          <w:b/>
          <w:bCs/>
          <w:color w:val="auto"/>
          <w:sz w:val="30"/>
          <w:szCs w:val="30"/>
          <w:lang w:val="en-US" w:eastAsia="zh-CN"/>
        </w:rPr>
        <w:t xml:space="preserve">  </w:t>
      </w:r>
      <w:r>
        <w:rPr>
          <w:rFonts w:hint="default" w:ascii="Times New Roman" w:hAnsi="Times New Roman" w:eastAsia="宋体" w:cs="Times New Roman"/>
          <w:b/>
          <w:bCs/>
          <w:color w:val="auto"/>
          <w:sz w:val="30"/>
          <w:szCs w:val="30"/>
          <w:lang w:eastAsia="zh-CN"/>
        </w:rPr>
        <w:t>责</w:t>
      </w:r>
      <w:r>
        <w:rPr>
          <w:rFonts w:hint="default" w:ascii="Times New Roman" w:hAnsi="Times New Roman" w:eastAsia="宋体" w:cs="Times New Roman"/>
          <w:b/>
          <w:bCs/>
          <w:color w:val="auto"/>
          <w:sz w:val="30"/>
          <w:szCs w:val="30"/>
          <w:lang w:val="en-US" w:eastAsia="zh-CN"/>
        </w:rPr>
        <w:t xml:space="preserve">  </w:t>
      </w:r>
      <w:r>
        <w:rPr>
          <w:rFonts w:hint="default" w:ascii="Times New Roman" w:hAnsi="Times New Roman" w:eastAsia="宋体" w:cs="Times New Roman"/>
          <w:b/>
          <w:bCs/>
          <w:color w:val="auto"/>
          <w:sz w:val="30"/>
          <w:szCs w:val="30"/>
          <w:lang w:eastAsia="zh-CN"/>
        </w:rPr>
        <w:t>人：舒冲</w:t>
      </w:r>
    </w:p>
    <w:p>
      <w:pPr>
        <w:keepNext w:val="0"/>
        <w:keepLines w:val="0"/>
        <w:pageBreakBefore w:val="0"/>
        <w:widowControl w:val="0"/>
        <w:kinsoku/>
        <w:wordWrap/>
        <w:overflowPunct/>
        <w:topLinePunct w:val="0"/>
        <w:autoSpaceDE w:val="0"/>
        <w:autoSpaceDN w:val="0"/>
        <w:bidi w:val="0"/>
        <w:adjustRightInd/>
        <w:snapToGrid/>
        <w:spacing w:before="0" w:after="0" w:line="480" w:lineRule="auto"/>
        <w:ind w:right="0" w:rightChars="0" w:firstLine="602" w:firstLineChars="200"/>
        <w:jc w:val="left"/>
        <w:textAlignment w:val="auto"/>
        <w:outlineLvl w:val="9"/>
        <w:rPr>
          <w:rFonts w:hint="default" w:ascii="Times New Roman" w:hAnsi="Times New Roman" w:eastAsia="宋体" w:cs="Times New Roman"/>
          <w:b/>
          <w:bCs/>
          <w:color w:val="auto"/>
          <w:sz w:val="30"/>
          <w:szCs w:val="30"/>
          <w:lang w:eastAsia="zh-CN"/>
        </w:rPr>
      </w:pPr>
      <w:r>
        <w:rPr>
          <w:rFonts w:hint="default" w:ascii="Times New Roman" w:hAnsi="Times New Roman" w:eastAsia="宋体" w:cs="Times New Roman"/>
          <w:b/>
          <w:bCs/>
          <w:color w:val="auto"/>
          <w:sz w:val="30"/>
          <w:szCs w:val="30"/>
          <w:lang w:eastAsia="zh-CN"/>
        </w:rPr>
        <w:t>检</w:t>
      </w:r>
      <w:r>
        <w:rPr>
          <w:rFonts w:hint="default" w:ascii="Times New Roman" w:hAnsi="Times New Roman" w:eastAsia="宋体" w:cs="Times New Roman"/>
          <w:b/>
          <w:bCs/>
          <w:color w:val="auto"/>
          <w:sz w:val="30"/>
          <w:szCs w:val="30"/>
          <w:lang w:val="en-US" w:eastAsia="zh-CN"/>
        </w:rPr>
        <w:t xml:space="preserve"> </w:t>
      </w:r>
      <w:r>
        <w:rPr>
          <w:rFonts w:hint="default" w:ascii="Times New Roman" w:hAnsi="Times New Roman" w:eastAsia="宋体" w:cs="Times New Roman"/>
          <w:b/>
          <w:bCs/>
          <w:color w:val="auto"/>
          <w:sz w:val="30"/>
          <w:szCs w:val="30"/>
          <w:lang w:eastAsia="zh-CN"/>
        </w:rPr>
        <w:t>测</w:t>
      </w:r>
      <w:r>
        <w:rPr>
          <w:rFonts w:hint="default" w:ascii="Times New Roman" w:hAnsi="Times New Roman" w:eastAsia="宋体" w:cs="Times New Roman"/>
          <w:b/>
          <w:bCs/>
          <w:color w:val="auto"/>
          <w:sz w:val="30"/>
          <w:szCs w:val="30"/>
          <w:lang w:val="en-US" w:eastAsia="zh-CN"/>
        </w:rPr>
        <w:t xml:space="preserve"> </w:t>
      </w:r>
      <w:r>
        <w:rPr>
          <w:rFonts w:hint="default" w:ascii="Times New Roman" w:hAnsi="Times New Roman" w:eastAsia="宋体" w:cs="Times New Roman"/>
          <w:b/>
          <w:bCs/>
          <w:color w:val="auto"/>
          <w:sz w:val="30"/>
          <w:szCs w:val="30"/>
          <w:lang w:eastAsia="zh-CN"/>
        </w:rPr>
        <w:t>参加</w:t>
      </w:r>
      <w:r>
        <w:rPr>
          <w:rFonts w:hint="default" w:ascii="Times New Roman" w:hAnsi="Times New Roman" w:eastAsia="宋体" w:cs="Times New Roman"/>
          <w:b/>
          <w:bCs/>
          <w:color w:val="auto"/>
          <w:sz w:val="30"/>
          <w:szCs w:val="30"/>
          <w:lang w:val="en-US" w:eastAsia="zh-CN"/>
        </w:rPr>
        <w:t xml:space="preserve"> 人 员：顾万里、赵晓民、徐凤娣、范晓蕾等</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904" w:firstLineChars="300"/>
        <w:jc w:val="left"/>
        <w:textAlignment w:val="auto"/>
        <w:outlineLvl w:val="9"/>
        <w:rPr>
          <w:rFonts w:hint="default" w:ascii="Times New Roman" w:hAnsi="Times New Roman" w:eastAsia="宋体" w:cs="Times New Roman"/>
          <w:b/>
          <w:bCs/>
          <w:color w:val="auto"/>
          <w:sz w:val="30"/>
          <w:szCs w:val="30"/>
        </w:rPr>
      </w:pPr>
    </w:p>
    <w:p>
      <w:pPr>
        <w:pStyle w:val="2"/>
        <w:rPr>
          <w:rFonts w:hint="default" w:ascii="Times New Roman" w:hAnsi="Times New Roman" w:eastAsia="宋体" w:cs="Times New Roman"/>
          <w:color w:val="auto"/>
          <w:sz w:val="32"/>
          <w:szCs w:val="32"/>
        </w:rPr>
      </w:pPr>
    </w:p>
    <w:p>
      <w:pPr>
        <w:pStyle w:val="2"/>
        <w:rPr>
          <w:rFonts w:hint="default" w:ascii="Times New Roman" w:hAnsi="Times New Roman" w:eastAsia="宋体" w:cs="Times New Roman"/>
          <w:color w:val="auto"/>
          <w:sz w:val="32"/>
          <w:szCs w:val="32"/>
        </w:rPr>
      </w:pPr>
    </w:p>
    <w:p>
      <w:pPr>
        <w:pStyle w:val="2"/>
        <w:rPr>
          <w:rFonts w:hint="default" w:ascii="Times New Roman" w:hAnsi="Times New Roman" w:eastAsia="宋体" w:cs="Times New Roman"/>
          <w:color w:val="auto"/>
          <w:sz w:val="32"/>
          <w:szCs w:val="32"/>
        </w:rPr>
      </w:pPr>
    </w:p>
    <w:p>
      <w:pPr>
        <w:pStyle w:val="2"/>
        <w:rPr>
          <w:rFonts w:hint="default" w:ascii="Times New Roman" w:hAnsi="Times New Roman" w:eastAsia="宋体" w:cs="Times New Roman"/>
          <w:color w:val="auto"/>
          <w:sz w:val="32"/>
          <w:szCs w:val="32"/>
        </w:rPr>
      </w:pPr>
    </w:p>
    <w:p>
      <w:pPr>
        <w:pStyle w:val="2"/>
        <w:rPr>
          <w:rFonts w:hint="default" w:ascii="Times New Roman" w:hAnsi="Times New Roman" w:eastAsia="宋体" w:cs="Times New Roman"/>
          <w:color w:val="auto"/>
          <w:sz w:val="32"/>
          <w:szCs w:val="32"/>
        </w:rPr>
      </w:pPr>
    </w:p>
    <w:p>
      <w:pPr>
        <w:pStyle w:val="2"/>
        <w:rPr>
          <w:rFonts w:hint="default" w:ascii="Times New Roman" w:hAnsi="Times New Roman" w:eastAsia="宋体" w:cs="Times New Roman"/>
          <w:color w:val="auto"/>
          <w:sz w:val="32"/>
          <w:szCs w:val="32"/>
        </w:rPr>
      </w:pPr>
    </w:p>
    <w:p>
      <w:pPr>
        <w:pStyle w:val="2"/>
        <w:rPr>
          <w:rFonts w:hint="default" w:ascii="Times New Roman" w:hAnsi="Times New Roman" w:eastAsia="宋体" w:cs="Times New Roman"/>
          <w:color w:val="auto"/>
          <w:sz w:val="32"/>
          <w:szCs w:val="32"/>
        </w:rPr>
      </w:pPr>
    </w:p>
    <w:p>
      <w:pPr>
        <w:pStyle w:val="2"/>
        <w:rPr>
          <w:rFonts w:hint="default" w:ascii="Times New Roman" w:hAnsi="Times New Roman" w:eastAsia="宋体" w:cs="Times New Roman"/>
          <w:color w:val="auto"/>
          <w:sz w:val="32"/>
          <w:szCs w:val="32"/>
        </w:rPr>
      </w:pPr>
    </w:p>
    <w:p>
      <w:pPr>
        <w:pStyle w:val="2"/>
        <w:rPr>
          <w:rFonts w:hint="default" w:ascii="Times New Roman" w:hAnsi="Times New Roman" w:eastAsia="宋体" w:cs="Times New Roman"/>
          <w:color w:val="auto"/>
          <w:sz w:val="32"/>
          <w:szCs w:val="32"/>
        </w:rPr>
      </w:pPr>
    </w:p>
    <w:p>
      <w:pPr>
        <w:pStyle w:val="2"/>
        <w:rPr>
          <w:rFonts w:hint="default" w:ascii="Times New Roman" w:hAnsi="Times New Roman" w:eastAsia="宋体" w:cs="Times New Roman"/>
          <w:color w:val="auto"/>
          <w:sz w:val="32"/>
          <w:szCs w:val="32"/>
        </w:rPr>
      </w:pPr>
    </w:p>
    <w:p>
      <w:pPr>
        <w:pStyle w:val="2"/>
        <w:rPr>
          <w:rFonts w:hint="default" w:ascii="Times New Roman" w:hAnsi="Times New Roman" w:eastAsia="宋体" w:cs="Times New Roman"/>
          <w:color w:val="auto"/>
          <w:sz w:val="32"/>
          <w:szCs w:val="32"/>
        </w:rPr>
      </w:pPr>
    </w:p>
    <w:p>
      <w:pPr>
        <w:pStyle w:val="2"/>
        <w:rPr>
          <w:rFonts w:hint="default" w:ascii="Times New Roman" w:hAnsi="Times New Roman" w:eastAsia="宋体" w:cs="Times New Roman"/>
          <w:color w:val="auto"/>
          <w:sz w:val="32"/>
          <w:szCs w:val="32"/>
        </w:rPr>
      </w:pPr>
    </w:p>
    <w:p>
      <w:pPr>
        <w:pStyle w:val="2"/>
        <w:rPr>
          <w:rFonts w:hint="default" w:ascii="Times New Roman" w:hAnsi="Times New Roman" w:eastAsia="宋体" w:cs="Times New Roman"/>
          <w:color w:val="auto"/>
          <w:sz w:val="32"/>
          <w:szCs w:val="32"/>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ind w:right="0" w:rightChars="0"/>
        <w:textAlignment w:val="auto"/>
        <w:outlineLvl w:val="9"/>
        <w:rPr>
          <w:rFonts w:hint="default" w:ascii="Times New Roman" w:hAnsi="Times New Roman" w:eastAsia="宋体" w:cs="Times New Roman"/>
          <w:color w:val="auto"/>
          <w:sz w:val="32"/>
          <w:szCs w:val="32"/>
        </w:rPr>
      </w:pPr>
    </w:p>
    <w:p>
      <w:pPr>
        <w:pStyle w:val="2"/>
        <w:rPr>
          <w:rFonts w:hint="default" w:ascii="Times New Roman" w:hAnsi="Times New Roman" w:eastAsia="宋体" w:cs="Times New Roman"/>
          <w:color w:val="auto"/>
        </w:rPr>
      </w:pPr>
    </w:p>
    <w:tbl>
      <w:tblPr>
        <w:tblStyle w:val="24"/>
        <w:tblW w:w="8745" w:type="dxa"/>
        <w:tblInd w:w="31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82"/>
        <w:gridCol w:w="38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82" w:type="dxa"/>
            <w:vAlign w:val="center"/>
          </w:tcPr>
          <w:p>
            <w:pPr>
              <w:keepNext w:val="0"/>
              <w:keepLines w:val="0"/>
              <w:pageBreakBefore w:val="0"/>
              <w:widowControl w:val="0"/>
              <w:kinsoku/>
              <w:wordWrap/>
              <w:overflowPunct/>
              <w:topLinePunct w:val="0"/>
              <w:autoSpaceDE w:val="0"/>
              <w:autoSpaceDN w:val="0"/>
              <w:bidi w:val="0"/>
              <w:adjustRightInd w:val="0"/>
              <w:snapToGrid w:val="0"/>
              <w:spacing w:before="156" w:beforeLines="50" w:line="240" w:lineRule="auto"/>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建设单位：泰柯棕化(张家港)有限公司</w:t>
            </w:r>
          </w:p>
          <w:p>
            <w:pPr>
              <w:keepNext w:val="0"/>
              <w:keepLines w:val="0"/>
              <w:pageBreakBefore w:val="0"/>
              <w:widowControl w:val="0"/>
              <w:kinsoku/>
              <w:wordWrap/>
              <w:overflowPunct/>
              <w:topLinePunct w:val="0"/>
              <w:autoSpaceDE w:val="0"/>
              <w:autoSpaceDN w:val="0"/>
              <w:bidi w:val="0"/>
              <w:adjustRightInd w:val="0"/>
              <w:snapToGrid w:val="0"/>
              <w:spacing w:before="156" w:beforeLines="50" w:line="240" w:lineRule="auto"/>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电话：18915670061</w:t>
            </w:r>
          </w:p>
          <w:p>
            <w:pPr>
              <w:keepNext w:val="0"/>
              <w:keepLines w:val="0"/>
              <w:pageBreakBefore w:val="0"/>
              <w:widowControl w:val="0"/>
              <w:kinsoku/>
              <w:wordWrap/>
              <w:overflowPunct/>
              <w:topLinePunct w:val="0"/>
              <w:autoSpaceDE w:val="0"/>
              <w:autoSpaceDN w:val="0"/>
              <w:bidi w:val="0"/>
              <w:adjustRightInd w:val="0"/>
              <w:snapToGrid w:val="0"/>
              <w:spacing w:before="156" w:beforeLines="50" w:line="240" w:lineRule="auto"/>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邮编：215600</w:t>
            </w:r>
          </w:p>
          <w:p>
            <w:pPr>
              <w:keepNext w:val="0"/>
              <w:keepLines w:val="0"/>
              <w:pageBreakBefore w:val="0"/>
              <w:widowControl w:val="0"/>
              <w:kinsoku/>
              <w:wordWrap/>
              <w:overflowPunct/>
              <w:topLinePunct w:val="0"/>
              <w:autoSpaceDE w:val="0"/>
              <w:autoSpaceDN w:val="0"/>
              <w:bidi w:val="0"/>
              <w:adjustRightInd w:val="0"/>
              <w:snapToGrid w:val="0"/>
              <w:spacing w:before="156" w:beforeLines="50" w:line="240" w:lineRule="auto"/>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地址：江苏省扬子江国际化学工业园</w:t>
            </w:r>
            <w:r>
              <w:rPr>
                <w:rFonts w:hint="eastAsia" w:ascii="Times New Roman" w:hAnsi="Times New Roman" w:cs="Times New Roman"/>
                <w:color w:val="auto"/>
                <w:kern w:val="0"/>
                <w:sz w:val="21"/>
                <w:szCs w:val="21"/>
                <w:lang w:val="en-US" w:eastAsia="zh-CN"/>
              </w:rPr>
              <w:t>长江中路60号</w:t>
            </w:r>
          </w:p>
        </w:tc>
        <w:tc>
          <w:tcPr>
            <w:tcW w:w="3863" w:type="dxa"/>
            <w:vAlign w:val="center"/>
          </w:tcPr>
          <w:p>
            <w:pPr>
              <w:keepNext w:val="0"/>
              <w:keepLines w:val="0"/>
              <w:pageBreakBefore w:val="0"/>
              <w:widowControl w:val="0"/>
              <w:kinsoku/>
              <w:wordWrap/>
              <w:overflowPunct/>
              <w:topLinePunct w:val="0"/>
              <w:autoSpaceDE w:val="0"/>
              <w:autoSpaceDN w:val="0"/>
              <w:bidi w:val="0"/>
              <w:adjustRightInd w:val="0"/>
              <w:snapToGrid w:val="0"/>
              <w:spacing w:before="156" w:beforeLines="50" w:line="240" w:lineRule="auto"/>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检测单位：江苏新锐环境监测有限公司</w:t>
            </w:r>
          </w:p>
          <w:p>
            <w:pPr>
              <w:keepNext w:val="0"/>
              <w:keepLines w:val="0"/>
              <w:pageBreakBefore w:val="0"/>
              <w:widowControl w:val="0"/>
              <w:kinsoku/>
              <w:wordWrap/>
              <w:overflowPunct/>
              <w:topLinePunct w:val="0"/>
              <w:autoSpaceDE w:val="0"/>
              <w:autoSpaceDN w:val="0"/>
              <w:bidi w:val="0"/>
              <w:adjustRightInd w:val="0"/>
              <w:snapToGrid w:val="0"/>
              <w:spacing w:before="156" w:beforeLines="50" w:line="240" w:lineRule="auto"/>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电话：0512-35022005</w:t>
            </w:r>
          </w:p>
          <w:p>
            <w:pPr>
              <w:keepNext w:val="0"/>
              <w:keepLines w:val="0"/>
              <w:pageBreakBefore w:val="0"/>
              <w:widowControl w:val="0"/>
              <w:kinsoku/>
              <w:wordWrap/>
              <w:overflowPunct/>
              <w:topLinePunct w:val="0"/>
              <w:autoSpaceDE w:val="0"/>
              <w:autoSpaceDN w:val="0"/>
              <w:bidi w:val="0"/>
              <w:adjustRightInd w:val="0"/>
              <w:snapToGrid w:val="0"/>
              <w:spacing w:before="156" w:beforeLines="50" w:line="240" w:lineRule="auto"/>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邮编：215600</w:t>
            </w:r>
          </w:p>
          <w:p>
            <w:pPr>
              <w:keepNext w:val="0"/>
              <w:keepLines w:val="0"/>
              <w:pageBreakBefore w:val="0"/>
              <w:widowControl w:val="0"/>
              <w:kinsoku/>
              <w:wordWrap/>
              <w:overflowPunct/>
              <w:topLinePunct w:val="0"/>
              <w:autoSpaceDE w:val="0"/>
              <w:autoSpaceDN w:val="0"/>
              <w:bidi w:val="0"/>
              <w:adjustRightInd w:val="0"/>
              <w:snapToGrid w:val="0"/>
              <w:spacing w:before="156" w:beforeLines="50" w:line="240" w:lineRule="auto"/>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地址：张家港市杨舍镇新泾西路2号</w:t>
            </w:r>
          </w:p>
        </w:tc>
      </w:tr>
    </w:tbl>
    <w:p>
      <w:pPr>
        <w:jc w:val="both"/>
        <w:rPr>
          <w:rFonts w:hint="default" w:ascii="Times New Roman" w:hAnsi="Times New Roman" w:eastAsia="宋体" w:cs="Times New Roman"/>
          <w:b/>
          <w:bCs/>
          <w:color w:val="auto"/>
          <w:sz w:val="32"/>
          <w:szCs w:val="32"/>
          <w:lang w:eastAsia="zh-CN"/>
        </w:rPr>
      </w:pPr>
    </w:p>
    <w:p>
      <w:pPr>
        <w:keepNext w:val="0"/>
        <w:keepLines w:val="0"/>
        <w:pageBreakBefore w:val="0"/>
        <w:widowControl w:val="0"/>
        <w:kinsoku/>
        <w:wordWrap/>
        <w:overflowPunct/>
        <w:topLinePunct w:val="0"/>
        <w:autoSpaceDE w:val="0"/>
        <w:autoSpaceDN w:val="0"/>
        <w:bidi w:val="0"/>
        <w:adjustRightInd/>
        <w:snapToGrid/>
        <w:spacing w:before="0" w:after="0" w:line="240" w:lineRule="exact"/>
        <w:ind w:right="0" w:rightChars="0" w:firstLine="0" w:firstLineChars="0"/>
        <w:jc w:val="center"/>
        <w:textAlignment w:val="auto"/>
        <w:outlineLvl w:val="9"/>
        <w:rPr>
          <w:rFonts w:hint="default" w:ascii="Times New Roman" w:hAnsi="Times New Roman" w:eastAsia="宋体" w:cs="Times New Roman"/>
          <w:b/>
          <w:bCs/>
          <w:color w:val="auto"/>
          <w:sz w:val="24"/>
          <w:szCs w:val="24"/>
          <w:lang w:val="en-US" w:eastAsia="zh-CN"/>
        </w:rPr>
        <w:sectPr>
          <w:pgSz w:w="11911" w:h="16838"/>
          <w:pgMar w:top="1463" w:right="1678" w:bottom="1463" w:left="1678" w:header="283" w:footer="884" w:gutter="0"/>
          <w:pgBorders>
            <w:top w:val="none" w:sz="0" w:space="0"/>
            <w:left w:val="none" w:sz="0" w:space="0"/>
            <w:bottom w:val="none" w:sz="0" w:space="0"/>
            <w:right w:val="none" w:sz="0" w:space="0"/>
          </w:pgBorders>
          <w:pgNumType w:fmt="decimal"/>
          <w:cols w:space="425" w:num="1"/>
          <w:rtlGutter w:val="0"/>
          <w:docGrid w:linePitch="312" w:charSpace="0"/>
        </w:sectPr>
      </w:pPr>
    </w:p>
    <w:p>
      <w:pPr>
        <w:keepNext w:val="0"/>
        <w:keepLines w:val="0"/>
        <w:pageBreakBefore w:val="0"/>
        <w:widowControl w:val="0"/>
        <w:kinsoku/>
        <w:wordWrap/>
        <w:overflowPunct/>
        <w:topLinePunct w:val="0"/>
        <w:autoSpaceDE w:val="0"/>
        <w:autoSpaceDN w:val="0"/>
        <w:bidi w:val="0"/>
        <w:adjustRightInd/>
        <w:snapToGrid/>
        <w:spacing w:before="0" w:after="0" w:line="240" w:lineRule="auto"/>
        <w:ind w:right="0" w:rightChars="0" w:firstLine="0" w:firstLineChars="0"/>
        <w:jc w:val="center"/>
        <w:textAlignment w:val="auto"/>
        <w:outlineLvl w:val="9"/>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目  录</w:t>
      </w:r>
    </w:p>
    <w:p>
      <w:pPr>
        <w:pStyle w:val="19"/>
        <w:tabs>
          <w:tab w:val="right" w:leader="dot" w:pos="8555"/>
        </w:tabs>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TOC \o "1-3" \t "" \h \z \u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_Toc11736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lang w:val="en-US" w:eastAsia="zh-CN"/>
        </w:rPr>
        <w:t>1、</w:t>
      </w:r>
      <w:r>
        <w:rPr>
          <w:rFonts w:hint="default" w:ascii="Times New Roman" w:hAnsi="Times New Roman" w:eastAsia="宋体" w:cs="Times New Roman"/>
          <w:lang w:val="en-US" w:eastAsia="en-US"/>
        </w:rPr>
        <w:t>验收项目概况</w:t>
      </w:r>
      <w:r>
        <w:tab/>
      </w:r>
      <w:r>
        <w:fldChar w:fldCharType="begin"/>
      </w:r>
      <w:r>
        <w:instrText xml:space="preserve"> PAGEREF _Toc11736 \h </w:instrText>
      </w:r>
      <w:r>
        <w:fldChar w:fldCharType="separate"/>
      </w:r>
      <w:r>
        <w:t>1</w:t>
      </w:r>
      <w:r>
        <w:fldChar w:fldCharType="end"/>
      </w:r>
      <w:r>
        <w:rPr>
          <w:rFonts w:hint="default" w:ascii="Times New Roman" w:hAnsi="Times New Roman" w:eastAsia="宋体" w:cs="Times New Roman"/>
          <w:color w:val="auto"/>
          <w:szCs w:val="24"/>
        </w:rPr>
        <w:fldChar w:fldCharType="end"/>
      </w:r>
    </w:p>
    <w:p>
      <w:pPr>
        <w:pStyle w:val="19"/>
        <w:tabs>
          <w:tab w:val="right" w:leader="dot" w:pos="8555"/>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_Toc761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zCs w:val="28"/>
          <w:lang w:val="en-US" w:eastAsia="zh-CN"/>
        </w:rPr>
        <w:t>2、</w:t>
      </w:r>
      <w:r>
        <w:rPr>
          <w:rFonts w:hint="default" w:ascii="Times New Roman" w:hAnsi="Times New Roman" w:eastAsia="宋体" w:cs="Times New Roman"/>
          <w:szCs w:val="28"/>
          <w:lang w:val="en-US" w:eastAsia="en-US"/>
        </w:rPr>
        <w:t>验收依据</w:t>
      </w:r>
      <w:r>
        <w:tab/>
      </w:r>
      <w:r>
        <w:fldChar w:fldCharType="begin"/>
      </w:r>
      <w:r>
        <w:instrText xml:space="preserve"> PAGEREF _Toc761 \h </w:instrText>
      </w:r>
      <w:r>
        <w:fldChar w:fldCharType="separate"/>
      </w:r>
      <w:r>
        <w:t>3</w:t>
      </w:r>
      <w:r>
        <w:fldChar w:fldCharType="end"/>
      </w:r>
      <w:r>
        <w:rPr>
          <w:rFonts w:hint="default" w:ascii="Times New Roman" w:hAnsi="Times New Roman" w:eastAsia="宋体" w:cs="Times New Roman"/>
          <w:color w:val="auto"/>
          <w:szCs w:val="24"/>
        </w:rPr>
        <w:fldChar w:fldCharType="end"/>
      </w:r>
    </w:p>
    <w:p>
      <w:pPr>
        <w:pStyle w:val="19"/>
        <w:tabs>
          <w:tab w:val="right" w:leader="dot" w:pos="8555"/>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_Toc15344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lang w:val="en-US" w:eastAsia="zh-CN"/>
        </w:rPr>
        <w:t>3</w:t>
      </w:r>
      <w:r>
        <w:rPr>
          <w:rFonts w:hint="default" w:ascii="Times New Roman" w:hAnsi="Times New Roman" w:eastAsia="宋体" w:cs="Times New Roman"/>
          <w:szCs w:val="28"/>
          <w:lang w:val="en-US" w:eastAsia="zh-CN"/>
        </w:rPr>
        <w:t>、</w:t>
      </w:r>
      <w:r>
        <w:rPr>
          <w:rFonts w:hint="default" w:ascii="Times New Roman" w:hAnsi="Times New Roman" w:eastAsia="宋体" w:cs="Times New Roman"/>
          <w:szCs w:val="28"/>
          <w:lang w:val="en-US" w:eastAsia="en-US"/>
        </w:rPr>
        <w:t>工程建设情况</w:t>
      </w:r>
      <w:r>
        <w:tab/>
      </w:r>
      <w:r>
        <w:fldChar w:fldCharType="begin"/>
      </w:r>
      <w:r>
        <w:instrText xml:space="preserve"> PAGEREF _Toc15344 \h </w:instrText>
      </w:r>
      <w:r>
        <w:fldChar w:fldCharType="separate"/>
      </w:r>
      <w:r>
        <w:t>4</w:t>
      </w:r>
      <w:r>
        <w:fldChar w:fldCharType="end"/>
      </w:r>
      <w:r>
        <w:rPr>
          <w:rFonts w:hint="default" w:ascii="Times New Roman" w:hAnsi="Times New Roman" w:eastAsia="宋体" w:cs="Times New Roman"/>
          <w:color w:val="auto"/>
          <w:szCs w:val="24"/>
        </w:rPr>
        <w:fldChar w:fldCharType="end"/>
      </w:r>
    </w:p>
    <w:p>
      <w:pPr>
        <w:pStyle w:val="21"/>
        <w:tabs>
          <w:tab w:val="right" w:leader="dot" w:pos="8555"/>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_Toc25834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zCs w:val="28"/>
          <w:lang w:val="en-US" w:eastAsia="zh-CN"/>
        </w:rPr>
        <w:t xml:space="preserve">3.1 </w:t>
      </w:r>
      <w:r>
        <w:rPr>
          <w:rFonts w:hint="default" w:ascii="Times New Roman" w:hAnsi="Times New Roman" w:eastAsia="宋体" w:cs="Times New Roman"/>
          <w:szCs w:val="28"/>
        </w:rPr>
        <w:t>地理位置及平面布置</w:t>
      </w:r>
      <w:r>
        <w:tab/>
      </w:r>
      <w:r>
        <w:fldChar w:fldCharType="begin"/>
      </w:r>
      <w:r>
        <w:instrText xml:space="preserve"> PAGEREF _Toc25834 \h </w:instrText>
      </w:r>
      <w:r>
        <w:fldChar w:fldCharType="separate"/>
      </w:r>
      <w:r>
        <w:t>4</w:t>
      </w:r>
      <w:r>
        <w:fldChar w:fldCharType="end"/>
      </w:r>
      <w:r>
        <w:rPr>
          <w:rFonts w:hint="default" w:ascii="Times New Roman" w:hAnsi="Times New Roman" w:eastAsia="宋体" w:cs="Times New Roman"/>
          <w:color w:val="auto"/>
          <w:szCs w:val="24"/>
        </w:rPr>
        <w:fldChar w:fldCharType="end"/>
      </w:r>
    </w:p>
    <w:p>
      <w:pPr>
        <w:pStyle w:val="21"/>
        <w:tabs>
          <w:tab w:val="right" w:leader="dot" w:pos="8555"/>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_Toc14218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zCs w:val="28"/>
          <w:lang w:val="en-US" w:eastAsia="zh-CN"/>
        </w:rPr>
        <w:t xml:space="preserve">3.2 </w:t>
      </w:r>
      <w:r>
        <w:rPr>
          <w:rFonts w:hint="default" w:ascii="Times New Roman" w:hAnsi="Times New Roman" w:eastAsia="宋体" w:cs="Times New Roman"/>
          <w:szCs w:val="28"/>
          <w:lang w:eastAsia="zh-CN"/>
        </w:rPr>
        <w:t>建设内容</w:t>
      </w:r>
      <w:r>
        <w:tab/>
      </w:r>
      <w:r>
        <w:fldChar w:fldCharType="begin"/>
      </w:r>
      <w:r>
        <w:instrText xml:space="preserve"> PAGEREF _Toc14218 \h </w:instrText>
      </w:r>
      <w:r>
        <w:fldChar w:fldCharType="separate"/>
      </w:r>
      <w:r>
        <w:t>8</w:t>
      </w:r>
      <w:r>
        <w:fldChar w:fldCharType="end"/>
      </w:r>
      <w:r>
        <w:rPr>
          <w:rFonts w:hint="default" w:ascii="Times New Roman" w:hAnsi="Times New Roman" w:eastAsia="宋体" w:cs="Times New Roman"/>
          <w:color w:val="auto"/>
          <w:szCs w:val="24"/>
        </w:rPr>
        <w:fldChar w:fldCharType="end"/>
      </w:r>
    </w:p>
    <w:p>
      <w:pPr>
        <w:pStyle w:val="21"/>
        <w:tabs>
          <w:tab w:val="right" w:leader="dot" w:pos="8555"/>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_Toc15214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zCs w:val="28"/>
          <w:lang w:val="en-US" w:eastAsia="zh-CN"/>
        </w:rPr>
        <w:t xml:space="preserve">3.3 </w:t>
      </w:r>
      <w:r>
        <w:rPr>
          <w:rFonts w:hint="default" w:ascii="Times New Roman" w:hAnsi="Times New Roman" w:eastAsia="宋体" w:cs="Times New Roman"/>
          <w:szCs w:val="28"/>
          <w:lang w:eastAsia="zh-CN"/>
        </w:rPr>
        <w:t>原辅材料、能源消耗</w:t>
      </w:r>
      <w:r>
        <w:tab/>
      </w:r>
      <w:r>
        <w:fldChar w:fldCharType="begin"/>
      </w:r>
      <w:r>
        <w:instrText xml:space="preserve"> PAGEREF _Toc15214 \h </w:instrText>
      </w:r>
      <w:r>
        <w:fldChar w:fldCharType="separate"/>
      </w:r>
      <w:r>
        <w:t>18</w:t>
      </w:r>
      <w:r>
        <w:fldChar w:fldCharType="end"/>
      </w:r>
      <w:r>
        <w:rPr>
          <w:rFonts w:hint="default" w:ascii="Times New Roman" w:hAnsi="Times New Roman" w:eastAsia="宋体" w:cs="Times New Roman"/>
          <w:color w:val="auto"/>
          <w:szCs w:val="24"/>
        </w:rPr>
        <w:fldChar w:fldCharType="end"/>
      </w:r>
    </w:p>
    <w:p>
      <w:pPr>
        <w:pStyle w:val="21"/>
        <w:tabs>
          <w:tab w:val="right" w:leader="dot" w:pos="8555"/>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_Toc20261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zCs w:val="28"/>
        </w:rPr>
        <w:t>3.</w:t>
      </w:r>
      <w:r>
        <w:rPr>
          <w:rFonts w:hint="default" w:ascii="Times New Roman" w:hAnsi="Times New Roman" w:eastAsia="宋体" w:cs="Times New Roman"/>
          <w:szCs w:val="28"/>
          <w:lang w:val="en-US" w:eastAsia="zh-CN"/>
        </w:rPr>
        <w:t>4</w:t>
      </w:r>
      <w:r>
        <w:rPr>
          <w:rFonts w:hint="default" w:ascii="Times New Roman" w:hAnsi="Times New Roman" w:eastAsia="宋体" w:cs="Times New Roman"/>
          <w:szCs w:val="28"/>
        </w:rPr>
        <w:t xml:space="preserve"> </w:t>
      </w:r>
      <w:r>
        <w:rPr>
          <w:rFonts w:hint="default" w:ascii="Times New Roman" w:hAnsi="Times New Roman" w:eastAsia="宋体" w:cs="Times New Roman"/>
          <w:szCs w:val="28"/>
          <w:lang w:val="en-US" w:eastAsia="zh-CN"/>
        </w:rPr>
        <w:t xml:space="preserve"> </w:t>
      </w:r>
      <w:r>
        <w:rPr>
          <w:rFonts w:hint="default" w:ascii="Times New Roman" w:hAnsi="Times New Roman" w:eastAsia="宋体" w:cs="Times New Roman"/>
          <w:szCs w:val="28"/>
          <w:lang w:val="zh-CN" w:eastAsia="zh-CN"/>
        </w:rPr>
        <w:t>主要生产工艺及污染物产出流程（附示意图）</w:t>
      </w:r>
      <w:r>
        <w:tab/>
      </w:r>
      <w:r>
        <w:fldChar w:fldCharType="begin"/>
      </w:r>
      <w:r>
        <w:instrText xml:space="preserve"> PAGEREF _Toc20261 \h </w:instrText>
      </w:r>
      <w:r>
        <w:fldChar w:fldCharType="separate"/>
      </w:r>
      <w:r>
        <w:t>19</w:t>
      </w:r>
      <w:r>
        <w:fldChar w:fldCharType="end"/>
      </w:r>
      <w:r>
        <w:rPr>
          <w:rFonts w:hint="default" w:ascii="Times New Roman" w:hAnsi="Times New Roman" w:eastAsia="宋体" w:cs="Times New Roman"/>
          <w:color w:val="auto"/>
          <w:szCs w:val="24"/>
        </w:rPr>
        <w:fldChar w:fldCharType="end"/>
      </w:r>
    </w:p>
    <w:p>
      <w:pPr>
        <w:pStyle w:val="21"/>
        <w:tabs>
          <w:tab w:val="right" w:leader="dot" w:pos="8555"/>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_Toc15821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zCs w:val="28"/>
          <w:highlight w:val="none"/>
          <w:lang w:val="zh-CN"/>
        </w:rPr>
        <w:t>3.6</w:t>
      </w:r>
      <w:r>
        <w:rPr>
          <w:rFonts w:hint="default" w:ascii="Times New Roman" w:hAnsi="Times New Roman" w:eastAsia="宋体" w:cs="Times New Roman"/>
          <w:szCs w:val="28"/>
          <w:highlight w:val="none"/>
          <w:lang w:val="en-US" w:eastAsia="zh-CN"/>
        </w:rPr>
        <w:t xml:space="preserve"> </w:t>
      </w:r>
      <w:r>
        <w:rPr>
          <w:rFonts w:hint="default" w:ascii="Times New Roman" w:hAnsi="Times New Roman" w:eastAsia="宋体" w:cs="Times New Roman"/>
          <w:szCs w:val="28"/>
          <w:highlight w:val="none"/>
          <w:lang w:val="zh-CN"/>
        </w:rPr>
        <w:t>项目变动情况</w:t>
      </w:r>
      <w:r>
        <w:tab/>
      </w:r>
      <w:r>
        <w:fldChar w:fldCharType="begin"/>
      </w:r>
      <w:r>
        <w:instrText xml:space="preserve"> PAGEREF _Toc15821 \h </w:instrText>
      </w:r>
      <w:r>
        <w:fldChar w:fldCharType="separate"/>
      </w:r>
      <w:r>
        <w:t>24</w:t>
      </w:r>
      <w:r>
        <w:fldChar w:fldCharType="end"/>
      </w:r>
      <w:r>
        <w:rPr>
          <w:rFonts w:hint="default" w:ascii="Times New Roman" w:hAnsi="Times New Roman" w:eastAsia="宋体" w:cs="Times New Roman"/>
          <w:color w:val="auto"/>
          <w:szCs w:val="24"/>
        </w:rPr>
        <w:fldChar w:fldCharType="end"/>
      </w:r>
    </w:p>
    <w:p>
      <w:pPr>
        <w:pStyle w:val="19"/>
        <w:tabs>
          <w:tab w:val="right" w:leader="dot" w:pos="8555"/>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_Toc7326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zCs w:val="28"/>
        </w:rPr>
        <w:t xml:space="preserve">4、 </w:t>
      </w:r>
      <w:r>
        <w:rPr>
          <w:rFonts w:hint="default" w:ascii="Times New Roman" w:hAnsi="Times New Roman" w:eastAsia="宋体" w:cs="Times New Roman"/>
          <w:szCs w:val="28"/>
          <w:highlight w:val="none"/>
        </w:rPr>
        <w:t>环境保护设施</w:t>
      </w:r>
      <w:r>
        <w:rPr>
          <w:rFonts w:hint="default" w:ascii="Times New Roman" w:hAnsi="Times New Roman" w:eastAsia="宋体" w:cs="Times New Roman"/>
          <w:szCs w:val="28"/>
          <w:highlight w:val="none"/>
          <w:lang w:eastAsia="zh-CN"/>
        </w:rPr>
        <w:t>及措施</w:t>
      </w:r>
      <w:r>
        <w:tab/>
      </w:r>
      <w:r>
        <w:fldChar w:fldCharType="begin"/>
      </w:r>
      <w:r>
        <w:instrText xml:space="preserve"> PAGEREF _Toc7326 \h </w:instrText>
      </w:r>
      <w:r>
        <w:fldChar w:fldCharType="separate"/>
      </w:r>
      <w:r>
        <w:t>26</w:t>
      </w:r>
      <w:r>
        <w:fldChar w:fldCharType="end"/>
      </w:r>
      <w:r>
        <w:rPr>
          <w:rFonts w:hint="default" w:ascii="Times New Roman" w:hAnsi="Times New Roman" w:eastAsia="宋体" w:cs="Times New Roman"/>
          <w:color w:val="auto"/>
          <w:szCs w:val="24"/>
        </w:rPr>
        <w:fldChar w:fldCharType="end"/>
      </w:r>
    </w:p>
    <w:p>
      <w:pPr>
        <w:pStyle w:val="21"/>
        <w:tabs>
          <w:tab w:val="right" w:leader="dot" w:pos="8555"/>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_Toc18233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zCs w:val="28"/>
          <w:highlight w:val="none"/>
          <w:lang w:val="en-US" w:eastAsia="zh-CN"/>
        </w:rPr>
        <w:t>4.1 污染物治理/处置设施</w:t>
      </w:r>
      <w:r>
        <w:tab/>
      </w:r>
      <w:r>
        <w:fldChar w:fldCharType="begin"/>
      </w:r>
      <w:r>
        <w:instrText xml:space="preserve"> PAGEREF _Toc18233 \h </w:instrText>
      </w:r>
      <w:r>
        <w:fldChar w:fldCharType="separate"/>
      </w:r>
      <w:r>
        <w:t>26</w:t>
      </w:r>
      <w:r>
        <w:fldChar w:fldCharType="end"/>
      </w:r>
      <w:r>
        <w:rPr>
          <w:rFonts w:hint="default" w:ascii="Times New Roman" w:hAnsi="Times New Roman" w:eastAsia="宋体" w:cs="Times New Roman"/>
          <w:color w:val="auto"/>
          <w:szCs w:val="24"/>
        </w:rPr>
        <w:fldChar w:fldCharType="end"/>
      </w:r>
    </w:p>
    <w:p>
      <w:pPr>
        <w:pStyle w:val="21"/>
        <w:tabs>
          <w:tab w:val="right" w:leader="dot" w:pos="8555"/>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_Toc23533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bCs/>
          <w:szCs w:val="28"/>
          <w:lang w:val="en-US" w:eastAsia="zh-CN"/>
        </w:rPr>
        <w:t xml:space="preserve">4.2 </w:t>
      </w:r>
      <w:r>
        <w:rPr>
          <w:rFonts w:hint="default" w:ascii="Times New Roman" w:hAnsi="Times New Roman" w:eastAsia="宋体" w:cs="Times New Roman"/>
          <w:bCs/>
          <w:szCs w:val="28"/>
          <w:lang w:eastAsia="zh-CN"/>
        </w:rPr>
        <w:t>其它</w:t>
      </w:r>
      <w:r>
        <w:rPr>
          <w:rFonts w:hint="default" w:ascii="Times New Roman" w:hAnsi="Times New Roman" w:eastAsia="宋体" w:cs="Times New Roman"/>
          <w:bCs/>
          <w:szCs w:val="28"/>
        </w:rPr>
        <w:t>环保设施</w:t>
      </w:r>
      <w:r>
        <w:tab/>
      </w:r>
      <w:r>
        <w:fldChar w:fldCharType="begin"/>
      </w:r>
      <w:r>
        <w:instrText xml:space="preserve"> PAGEREF _Toc23533 \h </w:instrText>
      </w:r>
      <w:r>
        <w:fldChar w:fldCharType="separate"/>
      </w:r>
      <w:r>
        <w:t>33</w:t>
      </w:r>
      <w:r>
        <w:fldChar w:fldCharType="end"/>
      </w:r>
      <w:r>
        <w:rPr>
          <w:rFonts w:hint="default" w:ascii="Times New Roman" w:hAnsi="Times New Roman" w:eastAsia="宋体" w:cs="Times New Roman"/>
          <w:color w:val="auto"/>
          <w:szCs w:val="24"/>
        </w:rPr>
        <w:fldChar w:fldCharType="end"/>
      </w:r>
    </w:p>
    <w:p>
      <w:pPr>
        <w:pStyle w:val="21"/>
        <w:tabs>
          <w:tab w:val="right" w:leader="dot" w:pos="8555"/>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_Toc25399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zCs w:val="28"/>
          <w:lang w:val="en-US" w:eastAsia="zh-CN"/>
        </w:rPr>
        <w:t>4.3 环保设施投资及“三同时”落实情况</w:t>
      </w:r>
      <w:r>
        <w:tab/>
      </w:r>
      <w:r>
        <w:fldChar w:fldCharType="begin"/>
      </w:r>
      <w:r>
        <w:instrText xml:space="preserve"> PAGEREF _Toc25399 \h </w:instrText>
      </w:r>
      <w:r>
        <w:fldChar w:fldCharType="separate"/>
      </w:r>
      <w:r>
        <w:t>36</w:t>
      </w:r>
      <w:r>
        <w:fldChar w:fldCharType="end"/>
      </w:r>
      <w:r>
        <w:rPr>
          <w:rFonts w:hint="default" w:ascii="Times New Roman" w:hAnsi="Times New Roman" w:eastAsia="宋体" w:cs="Times New Roman"/>
          <w:color w:val="auto"/>
          <w:szCs w:val="24"/>
        </w:rPr>
        <w:fldChar w:fldCharType="end"/>
      </w:r>
    </w:p>
    <w:p>
      <w:pPr>
        <w:pStyle w:val="21"/>
        <w:tabs>
          <w:tab w:val="right" w:leader="dot" w:pos="8555"/>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_Toc13403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zCs w:val="28"/>
          <w:highlight w:val="none"/>
          <w:lang w:val="en-US" w:eastAsia="zh-CN"/>
        </w:rPr>
        <w:t>4.4 “以新带老”及批复落实情况</w:t>
      </w:r>
      <w:r>
        <w:tab/>
      </w:r>
      <w:r>
        <w:fldChar w:fldCharType="begin"/>
      </w:r>
      <w:r>
        <w:instrText xml:space="preserve"> PAGEREF _Toc13403 \h </w:instrText>
      </w:r>
      <w:r>
        <w:fldChar w:fldCharType="separate"/>
      </w:r>
      <w:r>
        <w:t>38</w:t>
      </w:r>
      <w:r>
        <w:fldChar w:fldCharType="end"/>
      </w:r>
      <w:r>
        <w:rPr>
          <w:rFonts w:hint="default" w:ascii="Times New Roman" w:hAnsi="Times New Roman" w:eastAsia="宋体" w:cs="Times New Roman"/>
          <w:color w:val="auto"/>
          <w:szCs w:val="24"/>
        </w:rPr>
        <w:fldChar w:fldCharType="end"/>
      </w:r>
    </w:p>
    <w:p>
      <w:pPr>
        <w:pStyle w:val="19"/>
        <w:tabs>
          <w:tab w:val="right" w:leader="dot" w:pos="8555"/>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_Toc9813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zCs w:val="28"/>
        </w:rPr>
        <w:t xml:space="preserve">5、 </w:t>
      </w:r>
      <w:r>
        <w:rPr>
          <w:rFonts w:hint="default" w:ascii="Times New Roman" w:hAnsi="Times New Roman" w:eastAsia="宋体" w:cs="Times New Roman"/>
          <w:szCs w:val="28"/>
          <w:lang w:eastAsia="zh-CN"/>
        </w:rPr>
        <w:t>建设项目环评报告书主要结论</w:t>
      </w:r>
      <w:r>
        <w:rPr>
          <w:rFonts w:hint="default" w:ascii="Times New Roman" w:hAnsi="Times New Roman" w:eastAsia="宋体" w:cs="Times New Roman"/>
          <w:szCs w:val="28"/>
        </w:rPr>
        <w:t>及审批部门审批决定</w:t>
      </w:r>
      <w:r>
        <w:tab/>
      </w:r>
      <w:r>
        <w:fldChar w:fldCharType="begin"/>
      </w:r>
      <w:r>
        <w:instrText xml:space="preserve"> PAGEREF _Toc9813 \h </w:instrText>
      </w:r>
      <w:r>
        <w:fldChar w:fldCharType="separate"/>
      </w:r>
      <w:r>
        <w:t>42</w:t>
      </w:r>
      <w:r>
        <w:fldChar w:fldCharType="end"/>
      </w:r>
      <w:r>
        <w:rPr>
          <w:rFonts w:hint="default" w:ascii="Times New Roman" w:hAnsi="Times New Roman" w:eastAsia="宋体" w:cs="Times New Roman"/>
          <w:color w:val="auto"/>
          <w:szCs w:val="24"/>
        </w:rPr>
        <w:fldChar w:fldCharType="end"/>
      </w:r>
    </w:p>
    <w:p>
      <w:pPr>
        <w:pStyle w:val="21"/>
        <w:tabs>
          <w:tab w:val="right" w:leader="dot" w:pos="8555"/>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_Toc4329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zCs w:val="28"/>
          <w:lang w:val="en-US" w:eastAsia="zh-CN"/>
        </w:rPr>
        <w:t>5.1 建设项目环评报告书的主要结论</w:t>
      </w:r>
      <w:r>
        <w:tab/>
      </w:r>
      <w:r>
        <w:fldChar w:fldCharType="begin"/>
      </w:r>
      <w:r>
        <w:instrText xml:space="preserve"> PAGEREF _Toc4329 \h </w:instrText>
      </w:r>
      <w:r>
        <w:fldChar w:fldCharType="separate"/>
      </w:r>
      <w:r>
        <w:t>42</w:t>
      </w:r>
      <w:r>
        <w:fldChar w:fldCharType="end"/>
      </w:r>
      <w:r>
        <w:rPr>
          <w:rFonts w:hint="default" w:ascii="Times New Roman" w:hAnsi="Times New Roman" w:eastAsia="宋体" w:cs="Times New Roman"/>
          <w:color w:val="auto"/>
          <w:szCs w:val="24"/>
        </w:rPr>
        <w:fldChar w:fldCharType="end"/>
      </w:r>
    </w:p>
    <w:p>
      <w:pPr>
        <w:pStyle w:val="21"/>
        <w:tabs>
          <w:tab w:val="right" w:leader="dot" w:pos="8555"/>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_Toc32150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zCs w:val="28"/>
          <w:lang w:val="en-US" w:eastAsia="zh-CN"/>
        </w:rPr>
        <w:t xml:space="preserve">5.2 </w:t>
      </w:r>
      <w:r>
        <w:rPr>
          <w:rFonts w:hint="default" w:ascii="Times New Roman" w:hAnsi="Times New Roman" w:eastAsia="宋体" w:cs="Times New Roman"/>
          <w:szCs w:val="28"/>
          <w:lang w:eastAsia="zh-CN"/>
        </w:rPr>
        <w:t>审批部门审批决定</w:t>
      </w:r>
      <w:r>
        <w:tab/>
      </w:r>
      <w:r>
        <w:fldChar w:fldCharType="begin"/>
      </w:r>
      <w:r>
        <w:instrText xml:space="preserve"> PAGEREF _Toc32150 \h </w:instrText>
      </w:r>
      <w:r>
        <w:fldChar w:fldCharType="separate"/>
      </w:r>
      <w:r>
        <w:t>42</w:t>
      </w:r>
      <w:r>
        <w:fldChar w:fldCharType="end"/>
      </w:r>
      <w:r>
        <w:rPr>
          <w:rFonts w:hint="default" w:ascii="Times New Roman" w:hAnsi="Times New Roman" w:eastAsia="宋体" w:cs="Times New Roman"/>
          <w:color w:val="auto"/>
          <w:szCs w:val="24"/>
        </w:rPr>
        <w:fldChar w:fldCharType="end"/>
      </w:r>
    </w:p>
    <w:p>
      <w:pPr>
        <w:pStyle w:val="19"/>
        <w:tabs>
          <w:tab w:val="right" w:leader="dot" w:pos="8555"/>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_Toc10375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bCs/>
          <w:szCs w:val="28"/>
          <w:lang w:val="en-US" w:eastAsia="zh-CN"/>
        </w:rPr>
        <w:t>6、</w:t>
      </w:r>
      <w:r>
        <w:rPr>
          <w:rFonts w:hint="default" w:ascii="Times New Roman" w:hAnsi="Times New Roman" w:eastAsia="宋体" w:cs="Times New Roman"/>
          <w:bCs/>
          <w:szCs w:val="28"/>
        </w:rPr>
        <w:t>验收监测评价标准</w:t>
      </w:r>
      <w:r>
        <w:tab/>
      </w:r>
      <w:r>
        <w:fldChar w:fldCharType="begin"/>
      </w:r>
      <w:r>
        <w:instrText xml:space="preserve"> PAGEREF _Toc10375 \h </w:instrText>
      </w:r>
      <w:r>
        <w:fldChar w:fldCharType="separate"/>
      </w:r>
      <w:r>
        <w:t>43</w:t>
      </w:r>
      <w:r>
        <w:fldChar w:fldCharType="end"/>
      </w:r>
      <w:r>
        <w:rPr>
          <w:rFonts w:hint="default" w:ascii="Times New Roman" w:hAnsi="Times New Roman" w:eastAsia="宋体" w:cs="Times New Roman"/>
          <w:color w:val="auto"/>
          <w:szCs w:val="24"/>
        </w:rPr>
        <w:fldChar w:fldCharType="end"/>
      </w:r>
    </w:p>
    <w:p>
      <w:pPr>
        <w:pStyle w:val="21"/>
        <w:tabs>
          <w:tab w:val="right" w:leader="dot" w:pos="8555"/>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_Toc12859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zCs w:val="28"/>
          <w:lang w:val="en-US" w:eastAsia="zh-CN"/>
        </w:rPr>
        <w:t>6</w:t>
      </w:r>
      <w:r>
        <w:rPr>
          <w:rFonts w:hint="default" w:ascii="Times New Roman" w:hAnsi="Times New Roman" w:eastAsia="宋体" w:cs="Times New Roman"/>
          <w:szCs w:val="28"/>
          <w:lang w:eastAsia="zh-CN"/>
        </w:rPr>
        <w:t>.</w:t>
      </w:r>
      <w:r>
        <w:rPr>
          <w:rFonts w:hint="default" w:ascii="Times New Roman" w:hAnsi="Times New Roman" w:eastAsia="宋体" w:cs="Times New Roman"/>
          <w:szCs w:val="28"/>
          <w:lang w:val="en-US" w:eastAsia="zh-CN"/>
        </w:rPr>
        <w:t xml:space="preserve">1 </w:t>
      </w:r>
      <w:r>
        <w:rPr>
          <w:rFonts w:hint="default" w:ascii="Times New Roman" w:hAnsi="Times New Roman" w:eastAsia="宋体" w:cs="Times New Roman"/>
          <w:szCs w:val="28"/>
          <w:lang w:eastAsia="zh-CN"/>
        </w:rPr>
        <w:t>废水排放标准</w:t>
      </w:r>
      <w:r>
        <w:tab/>
      </w:r>
      <w:r>
        <w:fldChar w:fldCharType="begin"/>
      </w:r>
      <w:r>
        <w:instrText xml:space="preserve"> PAGEREF _Toc12859 \h </w:instrText>
      </w:r>
      <w:r>
        <w:fldChar w:fldCharType="separate"/>
      </w:r>
      <w:r>
        <w:t>43</w:t>
      </w:r>
      <w:r>
        <w:fldChar w:fldCharType="end"/>
      </w:r>
      <w:r>
        <w:rPr>
          <w:rFonts w:hint="default" w:ascii="Times New Roman" w:hAnsi="Times New Roman" w:eastAsia="宋体" w:cs="Times New Roman"/>
          <w:color w:val="auto"/>
          <w:szCs w:val="24"/>
        </w:rPr>
        <w:fldChar w:fldCharType="end"/>
      </w:r>
    </w:p>
    <w:p>
      <w:pPr>
        <w:pStyle w:val="21"/>
        <w:tabs>
          <w:tab w:val="right" w:leader="dot" w:pos="8555"/>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_Toc7484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bCs/>
          <w:szCs w:val="28"/>
          <w:lang w:val="en-US" w:eastAsia="zh-CN"/>
        </w:rPr>
        <w:t>6</w:t>
      </w:r>
      <w:r>
        <w:rPr>
          <w:rFonts w:hint="default" w:ascii="Times New Roman" w:hAnsi="Times New Roman" w:eastAsia="宋体" w:cs="Times New Roman"/>
          <w:bCs/>
          <w:szCs w:val="28"/>
        </w:rPr>
        <w:t>.</w:t>
      </w:r>
      <w:r>
        <w:rPr>
          <w:rFonts w:hint="default" w:ascii="Times New Roman" w:hAnsi="Times New Roman" w:eastAsia="宋体" w:cs="Times New Roman"/>
          <w:bCs/>
          <w:szCs w:val="28"/>
          <w:lang w:val="en-US" w:eastAsia="zh-CN"/>
        </w:rPr>
        <w:t xml:space="preserve">2 </w:t>
      </w:r>
      <w:r>
        <w:rPr>
          <w:rFonts w:hint="default" w:ascii="Times New Roman" w:hAnsi="Times New Roman" w:eastAsia="宋体" w:cs="Times New Roman"/>
          <w:bCs/>
          <w:szCs w:val="28"/>
        </w:rPr>
        <w:t>废气评价标准</w:t>
      </w:r>
      <w:r>
        <w:tab/>
      </w:r>
      <w:r>
        <w:fldChar w:fldCharType="begin"/>
      </w:r>
      <w:r>
        <w:instrText xml:space="preserve"> PAGEREF _Toc7484 \h </w:instrText>
      </w:r>
      <w:r>
        <w:fldChar w:fldCharType="separate"/>
      </w:r>
      <w:r>
        <w:t>43</w:t>
      </w:r>
      <w:r>
        <w:fldChar w:fldCharType="end"/>
      </w:r>
      <w:r>
        <w:rPr>
          <w:rFonts w:hint="default" w:ascii="Times New Roman" w:hAnsi="Times New Roman" w:eastAsia="宋体" w:cs="Times New Roman"/>
          <w:color w:val="auto"/>
          <w:szCs w:val="24"/>
        </w:rPr>
        <w:fldChar w:fldCharType="end"/>
      </w:r>
    </w:p>
    <w:p>
      <w:pPr>
        <w:pStyle w:val="21"/>
        <w:tabs>
          <w:tab w:val="right" w:leader="dot" w:pos="8555"/>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_Toc3280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zCs w:val="28"/>
          <w:lang w:val="en-US" w:eastAsia="zh-CN"/>
        </w:rPr>
        <w:t>6</w:t>
      </w:r>
      <w:r>
        <w:rPr>
          <w:rFonts w:hint="default" w:ascii="Times New Roman" w:hAnsi="Times New Roman" w:eastAsia="宋体" w:cs="Times New Roman"/>
          <w:szCs w:val="28"/>
          <w:lang w:eastAsia="zh-CN"/>
        </w:rPr>
        <w:t>.3</w:t>
      </w:r>
      <w:r>
        <w:rPr>
          <w:rFonts w:hint="default" w:ascii="Times New Roman" w:hAnsi="Times New Roman" w:eastAsia="宋体" w:cs="Times New Roman"/>
          <w:szCs w:val="28"/>
          <w:lang w:val="en-US" w:eastAsia="zh-CN"/>
        </w:rPr>
        <w:t xml:space="preserve"> </w:t>
      </w:r>
      <w:r>
        <w:rPr>
          <w:rFonts w:hint="default" w:ascii="Times New Roman" w:hAnsi="Times New Roman" w:eastAsia="宋体" w:cs="Times New Roman"/>
          <w:szCs w:val="28"/>
          <w:lang w:eastAsia="zh-CN"/>
        </w:rPr>
        <w:t>噪声评价标准</w:t>
      </w:r>
      <w:r>
        <w:tab/>
      </w:r>
      <w:r>
        <w:fldChar w:fldCharType="begin"/>
      </w:r>
      <w:r>
        <w:instrText xml:space="preserve"> PAGEREF _Toc3280 \h </w:instrText>
      </w:r>
      <w:r>
        <w:fldChar w:fldCharType="separate"/>
      </w:r>
      <w:r>
        <w:t>44</w:t>
      </w:r>
      <w:r>
        <w:fldChar w:fldCharType="end"/>
      </w:r>
      <w:r>
        <w:rPr>
          <w:rFonts w:hint="default" w:ascii="Times New Roman" w:hAnsi="Times New Roman" w:eastAsia="宋体" w:cs="Times New Roman"/>
          <w:color w:val="auto"/>
          <w:szCs w:val="24"/>
        </w:rPr>
        <w:fldChar w:fldCharType="end"/>
      </w:r>
    </w:p>
    <w:p>
      <w:pPr>
        <w:pStyle w:val="19"/>
        <w:tabs>
          <w:tab w:val="right" w:leader="dot" w:pos="8555"/>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_Toc4478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zCs w:val="28"/>
          <w:lang w:val="en-US" w:eastAsia="zh-CN"/>
        </w:rPr>
        <w:t>7、</w:t>
      </w:r>
      <w:r>
        <w:rPr>
          <w:rFonts w:hint="default" w:ascii="Times New Roman" w:hAnsi="Times New Roman" w:eastAsia="宋体" w:cs="Times New Roman"/>
          <w:szCs w:val="28"/>
        </w:rPr>
        <w:t>验收监测内容</w:t>
      </w:r>
      <w:r>
        <w:tab/>
      </w:r>
      <w:r>
        <w:fldChar w:fldCharType="begin"/>
      </w:r>
      <w:r>
        <w:instrText xml:space="preserve"> PAGEREF _Toc4478 \h </w:instrText>
      </w:r>
      <w:r>
        <w:fldChar w:fldCharType="separate"/>
      </w:r>
      <w:r>
        <w:t>45</w:t>
      </w:r>
      <w:r>
        <w:fldChar w:fldCharType="end"/>
      </w:r>
      <w:r>
        <w:rPr>
          <w:rFonts w:hint="default" w:ascii="Times New Roman" w:hAnsi="Times New Roman" w:eastAsia="宋体" w:cs="Times New Roman"/>
          <w:color w:val="auto"/>
          <w:szCs w:val="24"/>
        </w:rPr>
        <w:fldChar w:fldCharType="end"/>
      </w:r>
    </w:p>
    <w:p>
      <w:pPr>
        <w:pStyle w:val="21"/>
        <w:tabs>
          <w:tab w:val="right" w:leader="dot" w:pos="8555"/>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_Toc6567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bCs/>
          <w:szCs w:val="28"/>
          <w:lang w:val="en-US" w:eastAsia="zh-CN"/>
        </w:rPr>
        <w:t>7</w:t>
      </w:r>
      <w:r>
        <w:rPr>
          <w:rFonts w:hint="default" w:ascii="Times New Roman" w:hAnsi="Times New Roman" w:eastAsia="宋体" w:cs="Times New Roman"/>
          <w:bCs/>
          <w:szCs w:val="28"/>
        </w:rPr>
        <w:t>.1</w:t>
      </w:r>
      <w:r>
        <w:rPr>
          <w:rFonts w:hint="default" w:ascii="Times New Roman" w:hAnsi="Times New Roman" w:eastAsia="宋体" w:cs="Times New Roman"/>
          <w:bCs/>
          <w:szCs w:val="28"/>
          <w:lang w:val="en-US" w:eastAsia="zh-CN"/>
        </w:rPr>
        <w:t xml:space="preserve"> </w:t>
      </w:r>
      <w:r>
        <w:rPr>
          <w:rFonts w:hint="default" w:ascii="Times New Roman" w:hAnsi="Times New Roman" w:eastAsia="宋体" w:cs="Times New Roman"/>
          <w:bCs/>
          <w:szCs w:val="28"/>
        </w:rPr>
        <w:t>废水监测</w:t>
      </w:r>
      <w:r>
        <w:tab/>
      </w:r>
      <w:r>
        <w:fldChar w:fldCharType="begin"/>
      </w:r>
      <w:r>
        <w:instrText xml:space="preserve"> PAGEREF _Toc6567 \h </w:instrText>
      </w:r>
      <w:r>
        <w:fldChar w:fldCharType="separate"/>
      </w:r>
      <w:r>
        <w:t>45</w:t>
      </w:r>
      <w:r>
        <w:fldChar w:fldCharType="end"/>
      </w:r>
      <w:r>
        <w:rPr>
          <w:rFonts w:hint="default" w:ascii="Times New Roman" w:hAnsi="Times New Roman" w:eastAsia="宋体" w:cs="Times New Roman"/>
          <w:color w:val="auto"/>
          <w:szCs w:val="24"/>
        </w:rPr>
        <w:fldChar w:fldCharType="end"/>
      </w:r>
    </w:p>
    <w:p>
      <w:pPr>
        <w:pStyle w:val="21"/>
        <w:tabs>
          <w:tab w:val="right" w:leader="dot" w:pos="8555"/>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_Toc19776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zCs w:val="28"/>
          <w:lang w:val="en-US" w:eastAsia="zh-CN"/>
        </w:rPr>
        <w:t>7</w:t>
      </w:r>
      <w:r>
        <w:rPr>
          <w:rFonts w:hint="default" w:ascii="Times New Roman" w:hAnsi="Times New Roman" w:eastAsia="宋体" w:cs="Times New Roman"/>
          <w:szCs w:val="28"/>
        </w:rPr>
        <w:t>.2</w:t>
      </w:r>
      <w:r>
        <w:rPr>
          <w:rFonts w:hint="default" w:ascii="Times New Roman" w:hAnsi="Times New Roman" w:eastAsia="宋体" w:cs="Times New Roman"/>
          <w:szCs w:val="28"/>
          <w:lang w:val="en-US" w:eastAsia="zh-CN"/>
        </w:rPr>
        <w:t xml:space="preserve"> </w:t>
      </w:r>
      <w:r>
        <w:rPr>
          <w:rFonts w:hint="default" w:ascii="Times New Roman" w:hAnsi="Times New Roman" w:eastAsia="宋体" w:cs="Times New Roman"/>
          <w:szCs w:val="28"/>
        </w:rPr>
        <w:t>废气监测</w:t>
      </w:r>
      <w:r>
        <w:tab/>
      </w:r>
      <w:r>
        <w:fldChar w:fldCharType="begin"/>
      </w:r>
      <w:r>
        <w:instrText xml:space="preserve"> PAGEREF _Toc19776 \h </w:instrText>
      </w:r>
      <w:r>
        <w:fldChar w:fldCharType="separate"/>
      </w:r>
      <w:r>
        <w:t>46</w:t>
      </w:r>
      <w:r>
        <w:fldChar w:fldCharType="end"/>
      </w:r>
      <w:r>
        <w:rPr>
          <w:rFonts w:hint="default" w:ascii="Times New Roman" w:hAnsi="Times New Roman" w:eastAsia="宋体" w:cs="Times New Roman"/>
          <w:color w:val="auto"/>
          <w:szCs w:val="24"/>
        </w:rPr>
        <w:fldChar w:fldCharType="end"/>
      </w:r>
    </w:p>
    <w:p>
      <w:pPr>
        <w:pStyle w:val="21"/>
        <w:tabs>
          <w:tab w:val="right" w:leader="dot" w:pos="8555"/>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_Toc25129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zCs w:val="28"/>
          <w:lang w:val="en-US" w:eastAsia="zh-CN"/>
        </w:rPr>
        <w:t>7.3 噪声监测</w:t>
      </w:r>
      <w:r>
        <w:tab/>
      </w:r>
      <w:r>
        <w:fldChar w:fldCharType="begin"/>
      </w:r>
      <w:r>
        <w:instrText xml:space="preserve"> PAGEREF _Toc25129 \h </w:instrText>
      </w:r>
      <w:r>
        <w:fldChar w:fldCharType="separate"/>
      </w:r>
      <w:r>
        <w:t>49</w:t>
      </w:r>
      <w:r>
        <w:fldChar w:fldCharType="end"/>
      </w:r>
      <w:r>
        <w:rPr>
          <w:rFonts w:hint="default" w:ascii="Times New Roman" w:hAnsi="Times New Roman" w:eastAsia="宋体" w:cs="Times New Roman"/>
          <w:color w:val="auto"/>
          <w:szCs w:val="24"/>
        </w:rPr>
        <w:fldChar w:fldCharType="end"/>
      </w:r>
    </w:p>
    <w:p>
      <w:pPr>
        <w:pStyle w:val="19"/>
        <w:tabs>
          <w:tab w:val="right" w:leader="dot" w:pos="8555"/>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_Toc6277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zCs w:val="28"/>
          <w:highlight w:val="none"/>
          <w:lang w:val="en-US" w:eastAsia="zh-CN"/>
        </w:rPr>
        <w:t>8、质量保证及质量控制</w:t>
      </w:r>
      <w:r>
        <w:tab/>
      </w:r>
      <w:r>
        <w:fldChar w:fldCharType="begin"/>
      </w:r>
      <w:r>
        <w:instrText xml:space="preserve"> PAGEREF _Toc6277 \h </w:instrText>
      </w:r>
      <w:r>
        <w:fldChar w:fldCharType="separate"/>
      </w:r>
      <w:r>
        <w:t>50</w:t>
      </w:r>
      <w:r>
        <w:fldChar w:fldCharType="end"/>
      </w:r>
      <w:r>
        <w:rPr>
          <w:rFonts w:hint="default" w:ascii="Times New Roman" w:hAnsi="Times New Roman" w:eastAsia="宋体" w:cs="Times New Roman"/>
          <w:color w:val="auto"/>
          <w:szCs w:val="24"/>
        </w:rPr>
        <w:fldChar w:fldCharType="end"/>
      </w:r>
    </w:p>
    <w:p>
      <w:pPr>
        <w:pStyle w:val="21"/>
        <w:tabs>
          <w:tab w:val="right" w:leader="dot" w:pos="8555"/>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_Toc18846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zCs w:val="28"/>
        </w:rPr>
        <w:t>8.1</w:t>
      </w:r>
      <w:r>
        <w:rPr>
          <w:rFonts w:hint="default" w:ascii="Times New Roman" w:hAnsi="Times New Roman" w:eastAsia="宋体" w:cs="Times New Roman"/>
          <w:szCs w:val="28"/>
          <w:lang w:val="en-US" w:eastAsia="zh-CN"/>
        </w:rPr>
        <w:t xml:space="preserve"> </w:t>
      </w:r>
      <w:r>
        <w:rPr>
          <w:rFonts w:hint="default" w:ascii="Times New Roman" w:hAnsi="Times New Roman" w:eastAsia="宋体" w:cs="Times New Roman"/>
          <w:szCs w:val="28"/>
        </w:rPr>
        <w:t>分析方法、监测仪器</w:t>
      </w:r>
      <w:r>
        <w:rPr>
          <w:rFonts w:hint="default" w:ascii="Times New Roman" w:hAnsi="Times New Roman" w:eastAsia="宋体" w:cs="Times New Roman"/>
          <w:szCs w:val="28"/>
          <w:lang w:eastAsia="zh-CN"/>
        </w:rPr>
        <w:t>名称</w:t>
      </w:r>
      <w:r>
        <w:rPr>
          <w:rFonts w:hint="default" w:ascii="Times New Roman" w:hAnsi="Times New Roman" w:eastAsia="宋体" w:cs="Times New Roman"/>
          <w:szCs w:val="28"/>
        </w:rPr>
        <w:t>型号</w:t>
      </w:r>
      <w:r>
        <w:tab/>
      </w:r>
      <w:r>
        <w:fldChar w:fldCharType="begin"/>
      </w:r>
      <w:r>
        <w:instrText xml:space="preserve"> PAGEREF _Toc18846 \h </w:instrText>
      </w:r>
      <w:r>
        <w:fldChar w:fldCharType="separate"/>
      </w:r>
      <w:r>
        <w:t>50</w:t>
      </w:r>
      <w:r>
        <w:fldChar w:fldCharType="end"/>
      </w:r>
      <w:r>
        <w:rPr>
          <w:rFonts w:hint="default" w:ascii="Times New Roman" w:hAnsi="Times New Roman" w:eastAsia="宋体" w:cs="Times New Roman"/>
          <w:color w:val="auto"/>
          <w:szCs w:val="24"/>
        </w:rPr>
        <w:fldChar w:fldCharType="end"/>
      </w:r>
    </w:p>
    <w:p>
      <w:pPr>
        <w:pStyle w:val="21"/>
        <w:tabs>
          <w:tab w:val="right" w:leader="dot" w:pos="8555"/>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_Toc24440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zCs w:val="28"/>
        </w:rPr>
        <w:t>8.2</w:t>
      </w:r>
      <w:r>
        <w:rPr>
          <w:rFonts w:hint="default" w:ascii="Times New Roman" w:hAnsi="Times New Roman" w:eastAsia="宋体" w:cs="Times New Roman"/>
          <w:szCs w:val="28"/>
          <w:lang w:val="en-US" w:eastAsia="zh-CN"/>
        </w:rPr>
        <w:t xml:space="preserve"> 人员资质</w:t>
      </w:r>
      <w:r>
        <w:tab/>
      </w:r>
      <w:r>
        <w:fldChar w:fldCharType="begin"/>
      </w:r>
      <w:r>
        <w:instrText xml:space="preserve"> PAGEREF _Toc24440 \h </w:instrText>
      </w:r>
      <w:r>
        <w:fldChar w:fldCharType="separate"/>
      </w:r>
      <w:r>
        <w:t>52</w:t>
      </w:r>
      <w:r>
        <w:fldChar w:fldCharType="end"/>
      </w:r>
      <w:r>
        <w:rPr>
          <w:rFonts w:hint="default" w:ascii="Times New Roman" w:hAnsi="Times New Roman" w:eastAsia="宋体" w:cs="Times New Roman"/>
          <w:color w:val="auto"/>
          <w:szCs w:val="24"/>
        </w:rPr>
        <w:fldChar w:fldCharType="end"/>
      </w:r>
    </w:p>
    <w:p>
      <w:pPr>
        <w:pStyle w:val="21"/>
        <w:tabs>
          <w:tab w:val="right" w:leader="dot" w:pos="8555"/>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_Toc29030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zCs w:val="28"/>
          <w:lang w:val="en-US" w:eastAsia="zh-CN"/>
        </w:rPr>
        <w:t>8.3 监测分析过程中的质量保证和质量控制</w:t>
      </w:r>
      <w:r>
        <w:tab/>
      </w:r>
      <w:r>
        <w:fldChar w:fldCharType="begin"/>
      </w:r>
      <w:r>
        <w:instrText xml:space="preserve"> PAGEREF _Toc29030 \h </w:instrText>
      </w:r>
      <w:r>
        <w:fldChar w:fldCharType="separate"/>
      </w:r>
      <w:r>
        <w:t>52</w:t>
      </w:r>
      <w:r>
        <w:fldChar w:fldCharType="end"/>
      </w:r>
      <w:r>
        <w:rPr>
          <w:rFonts w:hint="default" w:ascii="Times New Roman" w:hAnsi="Times New Roman" w:eastAsia="宋体" w:cs="Times New Roman"/>
          <w:color w:val="auto"/>
          <w:szCs w:val="24"/>
        </w:rPr>
        <w:fldChar w:fldCharType="end"/>
      </w:r>
    </w:p>
    <w:p>
      <w:pPr>
        <w:pStyle w:val="19"/>
        <w:tabs>
          <w:tab w:val="right" w:leader="dot" w:pos="8555"/>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_Toc5211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zCs w:val="28"/>
        </w:rPr>
        <w:t>9、</w:t>
      </w:r>
      <w:r>
        <w:rPr>
          <w:rFonts w:hint="default" w:ascii="Times New Roman" w:hAnsi="Times New Roman" w:eastAsia="宋体" w:cs="Times New Roman"/>
          <w:szCs w:val="28"/>
          <w:highlight w:val="none"/>
        </w:rPr>
        <w:t>验收监测工况及要求</w:t>
      </w:r>
      <w:r>
        <w:tab/>
      </w:r>
      <w:r>
        <w:fldChar w:fldCharType="begin"/>
      </w:r>
      <w:r>
        <w:instrText xml:space="preserve"> PAGEREF _Toc5211 \h </w:instrText>
      </w:r>
      <w:r>
        <w:fldChar w:fldCharType="separate"/>
      </w:r>
      <w:r>
        <w:t>53</w:t>
      </w:r>
      <w:r>
        <w:fldChar w:fldCharType="end"/>
      </w:r>
      <w:r>
        <w:rPr>
          <w:rFonts w:hint="default" w:ascii="Times New Roman" w:hAnsi="Times New Roman" w:eastAsia="宋体" w:cs="Times New Roman"/>
          <w:color w:val="auto"/>
          <w:szCs w:val="24"/>
        </w:rPr>
        <w:fldChar w:fldCharType="end"/>
      </w:r>
    </w:p>
    <w:p>
      <w:pPr>
        <w:pStyle w:val="19"/>
        <w:tabs>
          <w:tab w:val="right" w:leader="dot" w:pos="8555"/>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_Toc26544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zCs w:val="28"/>
          <w:lang w:val="en-US" w:eastAsia="zh-CN"/>
        </w:rPr>
        <w:t>10</w:t>
      </w:r>
      <w:r>
        <w:rPr>
          <w:rFonts w:hint="default" w:ascii="Times New Roman" w:hAnsi="Times New Roman" w:eastAsia="宋体" w:cs="Times New Roman"/>
          <w:szCs w:val="28"/>
        </w:rPr>
        <w:t>、验收监测结果及分析评价</w:t>
      </w:r>
      <w:r>
        <w:tab/>
      </w:r>
      <w:r>
        <w:fldChar w:fldCharType="begin"/>
      </w:r>
      <w:r>
        <w:instrText xml:space="preserve"> PAGEREF _Toc26544 \h </w:instrText>
      </w:r>
      <w:r>
        <w:fldChar w:fldCharType="separate"/>
      </w:r>
      <w:r>
        <w:t>54</w:t>
      </w:r>
      <w:r>
        <w:fldChar w:fldCharType="end"/>
      </w:r>
      <w:r>
        <w:rPr>
          <w:rFonts w:hint="default" w:ascii="Times New Roman" w:hAnsi="Times New Roman" w:eastAsia="宋体" w:cs="Times New Roman"/>
          <w:color w:val="auto"/>
          <w:szCs w:val="24"/>
        </w:rPr>
        <w:fldChar w:fldCharType="end"/>
      </w:r>
    </w:p>
    <w:p>
      <w:pPr>
        <w:pStyle w:val="21"/>
        <w:tabs>
          <w:tab w:val="right" w:leader="dot" w:pos="8555"/>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_Toc9670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zCs w:val="28"/>
        </w:rPr>
        <w:t>10.1</w:t>
      </w:r>
      <w:r>
        <w:rPr>
          <w:rFonts w:hint="default" w:ascii="Times New Roman" w:hAnsi="Times New Roman" w:eastAsia="宋体" w:cs="Times New Roman"/>
          <w:szCs w:val="28"/>
          <w:lang w:val="en-US" w:eastAsia="zh-CN"/>
        </w:rPr>
        <w:t xml:space="preserve"> </w:t>
      </w:r>
      <w:r>
        <w:rPr>
          <w:rFonts w:hint="default" w:ascii="Times New Roman" w:hAnsi="Times New Roman" w:eastAsia="宋体" w:cs="Times New Roman"/>
          <w:szCs w:val="28"/>
        </w:rPr>
        <w:t>废水监测结果及分析评价</w:t>
      </w:r>
      <w:r>
        <w:tab/>
      </w:r>
      <w:r>
        <w:fldChar w:fldCharType="begin"/>
      </w:r>
      <w:r>
        <w:instrText xml:space="preserve"> PAGEREF _Toc9670 \h </w:instrText>
      </w:r>
      <w:r>
        <w:fldChar w:fldCharType="separate"/>
      </w:r>
      <w:r>
        <w:t>54</w:t>
      </w:r>
      <w:r>
        <w:fldChar w:fldCharType="end"/>
      </w:r>
      <w:r>
        <w:rPr>
          <w:rFonts w:hint="default" w:ascii="Times New Roman" w:hAnsi="Times New Roman" w:eastAsia="宋体" w:cs="Times New Roman"/>
          <w:color w:val="auto"/>
          <w:szCs w:val="24"/>
        </w:rPr>
        <w:fldChar w:fldCharType="end"/>
      </w:r>
    </w:p>
    <w:p>
      <w:pPr>
        <w:pStyle w:val="21"/>
        <w:tabs>
          <w:tab w:val="right" w:leader="dot" w:pos="8555"/>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_Toc15666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zCs w:val="28"/>
        </w:rPr>
        <w:t>10.2</w:t>
      </w:r>
      <w:r>
        <w:rPr>
          <w:rFonts w:hint="default" w:ascii="Times New Roman" w:hAnsi="Times New Roman" w:eastAsia="宋体" w:cs="Times New Roman"/>
          <w:szCs w:val="28"/>
          <w:lang w:val="en-US" w:eastAsia="zh-CN"/>
        </w:rPr>
        <w:t xml:space="preserve"> </w:t>
      </w:r>
      <w:r>
        <w:rPr>
          <w:rFonts w:hint="default" w:ascii="Times New Roman" w:hAnsi="Times New Roman" w:eastAsia="宋体" w:cs="Times New Roman"/>
          <w:szCs w:val="28"/>
        </w:rPr>
        <w:t>废气监测结果及分析评价</w:t>
      </w:r>
      <w:r>
        <w:tab/>
      </w:r>
      <w:r>
        <w:fldChar w:fldCharType="begin"/>
      </w:r>
      <w:r>
        <w:instrText xml:space="preserve"> PAGEREF _Toc15666 \h </w:instrText>
      </w:r>
      <w:r>
        <w:fldChar w:fldCharType="separate"/>
      </w:r>
      <w:r>
        <w:t>59</w:t>
      </w:r>
      <w:r>
        <w:fldChar w:fldCharType="end"/>
      </w:r>
      <w:r>
        <w:rPr>
          <w:rFonts w:hint="default" w:ascii="Times New Roman" w:hAnsi="Times New Roman" w:eastAsia="宋体" w:cs="Times New Roman"/>
          <w:color w:val="auto"/>
          <w:szCs w:val="24"/>
        </w:rPr>
        <w:fldChar w:fldCharType="end"/>
      </w:r>
    </w:p>
    <w:p>
      <w:pPr>
        <w:pStyle w:val="21"/>
        <w:tabs>
          <w:tab w:val="right" w:leader="dot" w:pos="8555"/>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_Toc21521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zCs w:val="28"/>
        </w:rPr>
        <w:t>10.3</w:t>
      </w:r>
      <w:r>
        <w:rPr>
          <w:rFonts w:hint="default" w:ascii="Times New Roman" w:hAnsi="Times New Roman" w:eastAsia="宋体" w:cs="Times New Roman"/>
          <w:szCs w:val="28"/>
          <w:lang w:val="en-US" w:eastAsia="zh-CN"/>
        </w:rPr>
        <w:t xml:space="preserve"> </w:t>
      </w:r>
      <w:r>
        <w:rPr>
          <w:rFonts w:hint="default" w:ascii="Times New Roman" w:hAnsi="Times New Roman" w:eastAsia="宋体" w:cs="Times New Roman"/>
          <w:szCs w:val="28"/>
        </w:rPr>
        <w:t>噪声监测结果及分析评价</w:t>
      </w:r>
      <w:r>
        <w:tab/>
      </w:r>
      <w:r>
        <w:fldChar w:fldCharType="begin"/>
      </w:r>
      <w:r>
        <w:instrText xml:space="preserve"> PAGEREF _Toc21521 \h </w:instrText>
      </w:r>
      <w:r>
        <w:fldChar w:fldCharType="separate"/>
      </w:r>
      <w:r>
        <w:t>72</w:t>
      </w:r>
      <w:r>
        <w:fldChar w:fldCharType="end"/>
      </w:r>
      <w:r>
        <w:rPr>
          <w:rFonts w:hint="default" w:ascii="Times New Roman" w:hAnsi="Times New Roman" w:eastAsia="宋体" w:cs="Times New Roman"/>
          <w:color w:val="auto"/>
          <w:szCs w:val="24"/>
        </w:rPr>
        <w:fldChar w:fldCharType="end"/>
      </w:r>
    </w:p>
    <w:p>
      <w:pPr>
        <w:pStyle w:val="21"/>
        <w:tabs>
          <w:tab w:val="right" w:leader="dot" w:pos="8555"/>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_Toc16763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bCs/>
          <w:szCs w:val="28"/>
          <w:highlight w:val="none"/>
        </w:rPr>
        <w:t>10.</w:t>
      </w:r>
      <w:r>
        <w:rPr>
          <w:rFonts w:hint="default" w:ascii="Times New Roman" w:hAnsi="Times New Roman" w:eastAsia="宋体" w:cs="Times New Roman"/>
          <w:bCs/>
          <w:szCs w:val="28"/>
          <w:highlight w:val="none"/>
          <w:lang w:val="en-US" w:eastAsia="zh-CN"/>
        </w:rPr>
        <w:t xml:space="preserve">4 </w:t>
      </w:r>
      <w:r>
        <w:rPr>
          <w:rFonts w:hint="default" w:ascii="Times New Roman" w:hAnsi="Times New Roman" w:eastAsia="宋体" w:cs="Times New Roman"/>
          <w:bCs/>
          <w:szCs w:val="28"/>
          <w:highlight w:val="none"/>
          <w:lang w:eastAsia="zh-CN"/>
        </w:rPr>
        <w:t>污染物排放总量核算</w:t>
      </w:r>
      <w:r>
        <w:tab/>
      </w:r>
      <w:r>
        <w:fldChar w:fldCharType="begin"/>
      </w:r>
      <w:r>
        <w:instrText xml:space="preserve"> PAGEREF _Toc16763 \h </w:instrText>
      </w:r>
      <w:r>
        <w:fldChar w:fldCharType="separate"/>
      </w:r>
      <w:r>
        <w:t>75</w:t>
      </w:r>
      <w:r>
        <w:fldChar w:fldCharType="end"/>
      </w:r>
      <w:r>
        <w:rPr>
          <w:rFonts w:hint="default" w:ascii="Times New Roman" w:hAnsi="Times New Roman" w:eastAsia="宋体" w:cs="Times New Roman"/>
          <w:color w:val="auto"/>
          <w:szCs w:val="24"/>
        </w:rPr>
        <w:fldChar w:fldCharType="end"/>
      </w:r>
    </w:p>
    <w:p>
      <w:pPr>
        <w:pStyle w:val="19"/>
        <w:tabs>
          <w:tab w:val="right" w:leader="dot" w:pos="8555"/>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_Toc18142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zCs w:val="28"/>
        </w:rPr>
        <w:t>11、 监测结论和建议</w:t>
      </w:r>
      <w:r>
        <w:tab/>
      </w:r>
      <w:r>
        <w:fldChar w:fldCharType="begin"/>
      </w:r>
      <w:r>
        <w:instrText xml:space="preserve"> PAGEREF _Toc18142 \h </w:instrText>
      </w:r>
      <w:r>
        <w:fldChar w:fldCharType="separate"/>
      </w:r>
      <w:r>
        <w:t>77</w:t>
      </w:r>
      <w:r>
        <w:fldChar w:fldCharType="end"/>
      </w:r>
      <w:r>
        <w:rPr>
          <w:rFonts w:hint="default" w:ascii="Times New Roman" w:hAnsi="Times New Roman" w:eastAsia="宋体" w:cs="Times New Roman"/>
          <w:color w:val="auto"/>
          <w:szCs w:val="24"/>
        </w:rPr>
        <w:fldChar w:fldCharType="end"/>
      </w:r>
    </w:p>
    <w:p>
      <w:pPr>
        <w:pStyle w:val="21"/>
        <w:tabs>
          <w:tab w:val="right" w:leader="dot" w:pos="8555"/>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_Toc25282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zCs w:val="28"/>
          <w:lang w:val="en-US" w:eastAsia="zh-CN"/>
        </w:rPr>
        <w:t>11.1 污染物排放监测结果及达标情况</w:t>
      </w:r>
      <w:r>
        <w:tab/>
      </w:r>
      <w:r>
        <w:fldChar w:fldCharType="begin"/>
      </w:r>
      <w:r>
        <w:instrText xml:space="preserve"> PAGEREF _Toc25282 \h </w:instrText>
      </w:r>
      <w:r>
        <w:fldChar w:fldCharType="separate"/>
      </w:r>
      <w:r>
        <w:t>77</w:t>
      </w:r>
      <w:r>
        <w:fldChar w:fldCharType="end"/>
      </w:r>
      <w:r>
        <w:rPr>
          <w:rFonts w:hint="default" w:ascii="Times New Roman" w:hAnsi="Times New Roman" w:eastAsia="宋体" w:cs="Times New Roman"/>
          <w:color w:val="auto"/>
          <w:szCs w:val="24"/>
        </w:rPr>
        <w:fldChar w:fldCharType="end"/>
      </w:r>
    </w:p>
    <w:p>
      <w:pPr>
        <w:pStyle w:val="21"/>
        <w:tabs>
          <w:tab w:val="right" w:leader="dot" w:pos="8555"/>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_Toc3100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zCs w:val="28"/>
          <w:lang w:val="en-US" w:eastAsia="zh-CN"/>
        </w:rPr>
        <w:t>11.2 环保设施污染物去除效果</w:t>
      </w:r>
      <w:r>
        <w:tab/>
      </w:r>
      <w:r>
        <w:fldChar w:fldCharType="begin"/>
      </w:r>
      <w:r>
        <w:instrText xml:space="preserve"> PAGEREF _Toc3100 \h </w:instrText>
      </w:r>
      <w:r>
        <w:fldChar w:fldCharType="separate"/>
      </w:r>
      <w:r>
        <w:t>78</w:t>
      </w:r>
      <w:r>
        <w:fldChar w:fldCharType="end"/>
      </w:r>
      <w:r>
        <w:rPr>
          <w:rFonts w:hint="default" w:ascii="Times New Roman" w:hAnsi="Times New Roman" w:eastAsia="宋体" w:cs="Times New Roman"/>
          <w:color w:val="auto"/>
          <w:szCs w:val="24"/>
        </w:rPr>
        <w:fldChar w:fldCharType="end"/>
      </w:r>
    </w:p>
    <w:p>
      <w:pPr>
        <w:pStyle w:val="21"/>
        <w:tabs>
          <w:tab w:val="right" w:leader="dot" w:pos="8555"/>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_Toc21872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zCs w:val="28"/>
          <w:lang w:val="en-US" w:eastAsia="zh-CN"/>
        </w:rPr>
        <w:t>11.3 固废处置检查情况</w:t>
      </w:r>
      <w:r>
        <w:tab/>
      </w:r>
      <w:r>
        <w:fldChar w:fldCharType="begin"/>
      </w:r>
      <w:r>
        <w:instrText xml:space="preserve"> PAGEREF _Toc21872 \h </w:instrText>
      </w:r>
      <w:r>
        <w:fldChar w:fldCharType="separate"/>
      </w:r>
      <w:r>
        <w:t>78</w:t>
      </w:r>
      <w:r>
        <w:fldChar w:fldCharType="end"/>
      </w:r>
      <w:r>
        <w:rPr>
          <w:rFonts w:hint="default" w:ascii="Times New Roman" w:hAnsi="Times New Roman" w:eastAsia="宋体" w:cs="Times New Roman"/>
          <w:color w:val="auto"/>
          <w:szCs w:val="24"/>
        </w:rPr>
        <w:fldChar w:fldCharType="end"/>
      </w:r>
    </w:p>
    <w:p>
      <w:pPr>
        <w:pStyle w:val="21"/>
        <w:tabs>
          <w:tab w:val="right" w:leader="dot" w:pos="8555"/>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_Toc13307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zCs w:val="28"/>
          <w:lang w:val="en-US" w:eastAsia="zh-CN"/>
        </w:rPr>
        <w:t>11.4 污染物排放总量核算结果及达标情况</w:t>
      </w:r>
      <w:r>
        <w:tab/>
      </w:r>
      <w:r>
        <w:fldChar w:fldCharType="begin"/>
      </w:r>
      <w:r>
        <w:instrText xml:space="preserve"> PAGEREF _Toc13307 \h </w:instrText>
      </w:r>
      <w:r>
        <w:fldChar w:fldCharType="separate"/>
      </w:r>
      <w:r>
        <w:t>78</w:t>
      </w:r>
      <w:r>
        <w:fldChar w:fldCharType="end"/>
      </w:r>
      <w:r>
        <w:rPr>
          <w:rFonts w:hint="default" w:ascii="Times New Roman" w:hAnsi="Times New Roman" w:eastAsia="宋体" w:cs="Times New Roman"/>
          <w:color w:val="auto"/>
          <w:szCs w:val="24"/>
        </w:rPr>
        <w:fldChar w:fldCharType="end"/>
      </w:r>
    </w:p>
    <w:p>
      <w:pPr>
        <w:pStyle w:val="21"/>
        <w:tabs>
          <w:tab w:val="right" w:leader="dot" w:pos="8555"/>
        </w:tabs>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szCs w:val="24"/>
        </w:rPr>
        <w:instrText xml:space="preserve"> HYPERLINK \l _Toc2229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zCs w:val="28"/>
          <w:lang w:val="en-US" w:eastAsia="zh-CN"/>
        </w:rPr>
        <w:t>11.5 建议</w:t>
      </w:r>
      <w:r>
        <w:tab/>
      </w:r>
      <w:r>
        <w:fldChar w:fldCharType="begin"/>
      </w:r>
      <w:r>
        <w:instrText xml:space="preserve"> PAGEREF _Toc2229 \h </w:instrText>
      </w:r>
      <w:r>
        <w:fldChar w:fldCharType="separate"/>
      </w:r>
      <w:r>
        <w:t>78</w:t>
      </w:r>
      <w:r>
        <w:fldChar w:fldCharType="end"/>
      </w:r>
      <w:r>
        <w:rPr>
          <w:rFonts w:hint="default" w:ascii="Times New Roman" w:hAnsi="Times New Roman" w:eastAsia="宋体" w:cs="Times New Roman"/>
          <w:color w:val="auto"/>
          <w:szCs w:val="24"/>
        </w:rPr>
        <w:fldChar w:fldCharType="end"/>
      </w:r>
    </w:p>
    <w:p>
      <w:pPr>
        <w:keepNext w:val="0"/>
        <w:keepLines w:val="0"/>
        <w:pageBreakBefore w:val="0"/>
        <w:widowControl w:val="0"/>
        <w:kinsoku/>
        <w:wordWrap/>
        <w:overflowPunct/>
        <w:topLinePunct w:val="0"/>
        <w:autoSpaceDE w:val="0"/>
        <w:autoSpaceDN w:val="0"/>
        <w:bidi w:val="0"/>
        <w:adjustRightInd/>
        <w:snapToGrid/>
        <w:spacing w:before="0" w:after="0" w:line="240" w:lineRule="auto"/>
        <w:ind w:right="0" w:rightChars="0" w:firstLine="0" w:firstLineChars="0"/>
        <w:jc w:val="left"/>
        <w:textAlignment w:val="auto"/>
        <w:outlineLvl w:val="9"/>
        <w:rPr>
          <w:rFonts w:hint="default" w:ascii="Times New Roman" w:hAnsi="Times New Roman" w:eastAsia="宋体" w:cs="Times New Roman"/>
          <w:color w:val="auto"/>
          <w:sz w:val="24"/>
          <w:szCs w:val="24"/>
        </w:rPr>
        <w:sectPr>
          <w:pgSz w:w="11911" w:h="16838"/>
          <w:pgMar w:top="1463" w:right="1678" w:bottom="1463" w:left="1678" w:header="283" w:footer="884" w:gutter="0"/>
          <w:pgBorders>
            <w:top w:val="none" w:sz="0" w:space="0"/>
            <w:left w:val="none" w:sz="0" w:space="0"/>
            <w:bottom w:val="none" w:sz="0" w:space="0"/>
            <w:right w:val="none" w:sz="0" w:space="0"/>
          </w:pgBorders>
          <w:pgNumType w:fmt="decimal"/>
          <w:cols w:space="425" w:num="1"/>
          <w:rtlGutter w:val="0"/>
          <w:docGrid w:linePitch="312" w:charSpace="0"/>
        </w:sectPr>
      </w:pPr>
      <w:r>
        <w:rPr>
          <w:rFonts w:hint="default" w:ascii="Times New Roman" w:hAnsi="Times New Roman" w:eastAsia="宋体" w:cs="Times New Roman"/>
          <w:color w:val="auto"/>
          <w:szCs w:val="24"/>
        </w:rPr>
        <w:fldChar w:fldCharType="end"/>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jc w:val="both"/>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附件：</w:t>
      </w:r>
    </w:p>
    <w:p>
      <w:pPr>
        <w:keepNext w:val="0"/>
        <w:keepLines w:val="0"/>
        <w:pageBreakBefore w:val="0"/>
        <w:widowControl w:val="0"/>
        <w:numPr>
          <w:ilvl w:val="0"/>
          <w:numId w:val="2"/>
        </w:numPr>
        <w:kinsoku/>
        <w:wordWrap/>
        <w:overflowPunct/>
        <w:topLinePunct w:val="0"/>
        <w:autoSpaceDE w:val="0"/>
        <w:autoSpaceDN w:val="0"/>
        <w:bidi w:val="0"/>
        <w:adjustRightInd/>
        <w:snapToGrid/>
        <w:spacing w:before="0" w:after="0" w:line="360" w:lineRule="auto"/>
        <w:ind w:left="425" w:leftChars="0" w:right="0" w:rightChars="0" w:hanging="425" w:firstLineChars="0"/>
        <w:jc w:val="left"/>
        <w:textAlignment w:val="auto"/>
        <w:outlineLvl w:val="9"/>
        <w:rPr>
          <w:rFonts w:hint="default" w:ascii="Times New Roman" w:hAnsi="Times New Roman" w:eastAsia="宋体" w:cs="Times New Roman"/>
          <w:color w:val="auto"/>
          <w:sz w:val="24"/>
          <w:szCs w:val="24"/>
          <w:lang w:val="en-US" w:eastAsia="zh-CN"/>
        </w:rPr>
      </w:pPr>
      <w:bookmarkStart w:id="0" w:name="OLE_LINK62"/>
      <w:r>
        <w:rPr>
          <w:rFonts w:hint="default" w:ascii="Times New Roman" w:hAnsi="Times New Roman" w:eastAsia="宋体" w:cs="Times New Roman"/>
          <w:color w:val="auto"/>
          <w:sz w:val="24"/>
          <w:szCs w:val="24"/>
          <w:lang w:eastAsia="zh-CN"/>
        </w:rPr>
        <w:t>建设项目</w:t>
      </w:r>
      <w:r>
        <w:rPr>
          <w:rFonts w:hint="default" w:ascii="Times New Roman" w:hAnsi="Times New Roman" w:eastAsia="宋体" w:cs="Times New Roman"/>
          <w:color w:val="auto"/>
          <w:sz w:val="24"/>
          <w:szCs w:val="24"/>
          <w:lang w:val="en-US" w:eastAsia="zh-CN"/>
        </w:rPr>
        <w:t>环保审批意见（张家港保税区管理委员会，张保审批[2019]73号，2019年7月23日）；</w:t>
      </w:r>
    </w:p>
    <w:bookmarkEnd w:id="0"/>
    <w:p>
      <w:pPr>
        <w:keepNext w:val="0"/>
        <w:keepLines w:val="0"/>
        <w:pageBreakBefore w:val="0"/>
        <w:widowControl w:val="0"/>
        <w:numPr>
          <w:ilvl w:val="0"/>
          <w:numId w:val="2"/>
        </w:numPr>
        <w:kinsoku/>
        <w:wordWrap/>
        <w:overflowPunct/>
        <w:topLinePunct w:val="0"/>
        <w:autoSpaceDE w:val="0"/>
        <w:autoSpaceDN w:val="0"/>
        <w:bidi w:val="0"/>
        <w:adjustRightInd/>
        <w:snapToGrid/>
        <w:spacing w:before="0" w:after="0" w:line="360" w:lineRule="auto"/>
        <w:ind w:left="425" w:leftChars="0" w:right="0" w:rightChars="0" w:hanging="425" w:firstLineChars="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泰柯棕化(张家港)有限公司排污许可证；</w:t>
      </w:r>
    </w:p>
    <w:p>
      <w:pPr>
        <w:keepNext w:val="0"/>
        <w:keepLines w:val="0"/>
        <w:pageBreakBefore w:val="0"/>
        <w:widowControl w:val="0"/>
        <w:numPr>
          <w:ilvl w:val="0"/>
          <w:numId w:val="2"/>
        </w:numPr>
        <w:kinsoku/>
        <w:wordWrap/>
        <w:overflowPunct/>
        <w:topLinePunct w:val="0"/>
        <w:autoSpaceDE w:val="0"/>
        <w:autoSpaceDN w:val="0"/>
        <w:bidi w:val="0"/>
        <w:adjustRightInd/>
        <w:snapToGrid/>
        <w:spacing w:before="0" w:after="0" w:line="360" w:lineRule="auto"/>
        <w:ind w:left="425" w:leftChars="0" w:right="0" w:rightChars="0" w:hanging="425" w:firstLineChars="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泰柯棕化(张家港)有限公司应急预案备案表；</w:t>
      </w:r>
    </w:p>
    <w:p>
      <w:pPr>
        <w:keepNext w:val="0"/>
        <w:keepLines w:val="0"/>
        <w:pageBreakBefore w:val="0"/>
        <w:widowControl w:val="0"/>
        <w:numPr>
          <w:ilvl w:val="0"/>
          <w:numId w:val="2"/>
        </w:numPr>
        <w:kinsoku/>
        <w:wordWrap/>
        <w:overflowPunct/>
        <w:topLinePunct w:val="0"/>
        <w:autoSpaceDE w:val="0"/>
        <w:autoSpaceDN w:val="0"/>
        <w:bidi w:val="0"/>
        <w:adjustRightInd/>
        <w:snapToGrid/>
        <w:spacing w:before="0" w:after="0" w:line="360" w:lineRule="auto"/>
        <w:ind w:left="425" w:leftChars="0" w:right="0" w:rightChars="0" w:hanging="425" w:firstLineChars="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泰柯棕化(张家港)有限公司污水接管协议（张家港市保税区胜科水务有限公司）；</w:t>
      </w:r>
    </w:p>
    <w:p>
      <w:pPr>
        <w:keepNext w:val="0"/>
        <w:keepLines w:val="0"/>
        <w:pageBreakBefore w:val="0"/>
        <w:widowControl w:val="0"/>
        <w:numPr>
          <w:ilvl w:val="0"/>
          <w:numId w:val="2"/>
        </w:numPr>
        <w:kinsoku/>
        <w:wordWrap/>
        <w:overflowPunct/>
        <w:topLinePunct w:val="0"/>
        <w:autoSpaceDE w:val="0"/>
        <w:autoSpaceDN w:val="0"/>
        <w:bidi w:val="0"/>
        <w:adjustRightInd/>
        <w:snapToGrid/>
        <w:spacing w:before="0" w:after="0" w:line="360" w:lineRule="auto"/>
        <w:ind w:left="425" w:leftChars="0" w:right="0" w:rightChars="0" w:hanging="425" w:firstLineChars="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《废滤饼危险特性鉴别报告》专家咨询意见；</w:t>
      </w:r>
    </w:p>
    <w:p>
      <w:pPr>
        <w:keepNext w:val="0"/>
        <w:keepLines w:val="0"/>
        <w:pageBreakBefore w:val="0"/>
        <w:widowControl w:val="0"/>
        <w:numPr>
          <w:ilvl w:val="0"/>
          <w:numId w:val="2"/>
        </w:numPr>
        <w:kinsoku/>
        <w:wordWrap/>
        <w:overflowPunct/>
        <w:topLinePunct w:val="0"/>
        <w:autoSpaceDE w:val="0"/>
        <w:autoSpaceDN w:val="0"/>
        <w:bidi w:val="0"/>
        <w:adjustRightInd/>
        <w:snapToGrid/>
        <w:spacing w:before="0" w:after="0" w:line="360" w:lineRule="auto"/>
        <w:ind w:left="425" w:leftChars="0" w:right="0" w:rightChars="0" w:hanging="425" w:firstLineChars="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建设项目固废处置协议及处置单位资质；</w:t>
      </w:r>
    </w:p>
    <w:p>
      <w:pPr>
        <w:keepNext w:val="0"/>
        <w:keepLines w:val="0"/>
        <w:pageBreakBefore w:val="0"/>
        <w:widowControl w:val="0"/>
        <w:numPr>
          <w:ilvl w:val="0"/>
          <w:numId w:val="2"/>
        </w:numPr>
        <w:kinsoku/>
        <w:wordWrap/>
        <w:overflowPunct/>
        <w:topLinePunct w:val="0"/>
        <w:autoSpaceDE w:val="0"/>
        <w:autoSpaceDN w:val="0"/>
        <w:bidi w:val="0"/>
        <w:adjustRightInd/>
        <w:snapToGrid/>
        <w:spacing w:before="0" w:after="0" w:line="360" w:lineRule="auto"/>
        <w:ind w:left="425" w:leftChars="0" w:right="0" w:rightChars="0" w:hanging="425" w:firstLineChars="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项目竣工环保验收监测工况表；</w:t>
      </w:r>
    </w:p>
    <w:p>
      <w:pPr>
        <w:keepNext w:val="0"/>
        <w:keepLines w:val="0"/>
        <w:pageBreakBefore w:val="0"/>
        <w:widowControl w:val="0"/>
        <w:numPr>
          <w:ilvl w:val="0"/>
          <w:numId w:val="2"/>
        </w:numPr>
        <w:kinsoku/>
        <w:wordWrap/>
        <w:overflowPunct/>
        <w:topLinePunct w:val="0"/>
        <w:autoSpaceDE w:val="0"/>
        <w:autoSpaceDN w:val="0"/>
        <w:bidi w:val="0"/>
        <w:adjustRightInd/>
        <w:snapToGrid/>
        <w:spacing w:before="0" w:after="0" w:line="360" w:lineRule="auto"/>
        <w:ind w:left="425" w:leftChars="0" w:right="0" w:rightChars="0" w:hanging="425" w:firstLineChars="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建设项目验收监测建设信息确认表；</w:t>
      </w:r>
    </w:p>
    <w:p>
      <w:pPr>
        <w:keepNext w:val="0"/>
        <w:keepLines w:val="0"/>
        <w:pageBreakBefore w:val="0"/>
        <w:widowControl w:val="0"/>
        <w:numPr>
          <w:ilvl w:val="0"/>
          <w:numId w:val="2"/>
        </w:numPr>
        <w:kinsoku/>
        <w:wordWrap/>
        <w:overflowPunct/>
        <w:topLinePunct w:val="0"/>
        <w:autoSpaceDE w:val="0"/>
        <w:autoSpaceDN w:val="0"/>
        <w:bidi w:val="0"/>
        <w:adjustRightInd/>
        <w:snapToGrid/>
        <w:spacing w:before="0" w:after="0" w:line="360" w:lineRule="auto"/>
        <w:ind w:left="425" w:leftChars="0" w:right="0" w:rightChars="0" w:hanging="425" w:firstLineChars="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以新带老措施落实情况说明；</w:t>
      </w:r>
    </w:p>
    <w:p>
      <w:pPr>
        <w:keepNext w:val="0"/>
        <w:keepLines w:val="0"/>
        <w:pageBreakBefore w:val="0"/>
        <w:widowControl w:val="0"/>
        <w:numPr>
          <w:ilvl w:val="0"/>
          <w:numId w:val="2"/>
        </w:numPr>
        <w:kinsoku/>
        <w:wordWrap/>
        <w:overflowPunct/>
        <w:topLinePunct w:val="0"/>
        <w:autoSpaceDE w:val="0"/>
        <w:autoSpaceDN w:val="0"/>
        <w:bidi w:val="0"/>
        <w:adjustRightInd/>
        <w:snapToGrid/>
        <w:spacing w:before="0" w:after="0" w:line="360" w:lineRule="auto"/>
        <w:ind w:left="425" w:leftChars="0" w:right="0" w:rightChars="0" w:hanging="425" w:firstLineChars="0"/>
        <w:jc w:val="left"/>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《泰柯棕化(张家港)有限公司脂肪酸酯产品结构调整及节能减排技术改造项目一般变动环境影响分析报告》（苏州清泉环保科技有限公司，2021年8月）；</w:t>
      </w:r>
    </w:p>
    <w:p>
      <w:pPr>
        <w:keepNext w:val="0"/>
        <w:keepLines w:val="0"/>
        <w:pageBreakBefore w:val="0"/>
        <w:widowControl w:val="0"/>
        <w:numPr>
          <w:ilvl w:val="0"/>
          <w:numId w:val="2"/>
        </w:numPr>
        <w:kinsoku/>
        <w:wordWrap/>
        <w:overflowPunct/>
        <w:topLinePunct w:val="0"/>
        <w:autoSpaceDE w:val="0"/>
        <w:autoSpaceDN w:val="0"/>
        <w:bidi w:val="0"/>
        <w:adjustRightInd/>
        <w:snapToGrid/>
        <w:spacing w:before="0" w:after="0" w:line="360" w:lineRule="auto"/>
        <w:ind w:left="425" w:leftChars="0" w:right="0" w:rightChars="0" w:hanging="425" w:firstLineChars="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项目验收监测数据报告；</w:t>
      </w:r>
    </w:p>
    <w:p>
      <w:pPr>
        <w:keepNext w:val="0"/>
        <w:keepLines w:val="0"/>
        <w:pageBreakBefore w:val="0"/>
        <w:widowControl w:val="0"/>
        <w:numPr>
          <w:ilvl w:val="0"/>
          <w:numId w:val="2"/>
        </w:numPr>
        <w:kinsoku/>
        <w:wordWrap/>
        <w:overflowPunct/>
        <w:topLinePunct w:val="0"/>
        <w:autoSpaceDE w:val="0"/>
        <w:autoSpaceDN w:val="0"/>
        <w:bidi w:val="0"/>
        <w:adjustRightInd/>
        <w:snapToGrid/>
        <w:spacing w:before="0" w:after="0" w:line="360" w:lineRule="auto"/>
        <w:ind w:left="425" w:leftChars="0" w:right="0" w:rightChars="0" w:hanging="425" w:firstLineChars="0"/>
        <w:jc w:val="left"/>
        <w:textAlignment w:val="auto"/>
        <w:outlineLvl w:val="9"/>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szCs w:val="24"/>
          <w:lang w:val="en-US" w:eastAsia="zh-CN"/>
        </w:rPr>
        <w:t>江苏新锐环境监测有限公司检验检测机构资质认定证书。</w:t>
      </w:r>
    </w:p>
    <w:p>
      <w:pPr>
        <w:pStyle w:val="2"/>
        <w:rPr>
          <w:rFonts w:hint="default" w:ascii="Times New Roman" w:hAnsi="Times New Roman" w:eastAsia="宋体" w:cs="Times New Roman"/>
          <w:color w:val="auto"/>
          <w:highlight w:val="none"/>
          <w:lang w:val="en-US" w:eastAsia="zh-CN"/>
        </w:rPr>
      </w:pPr>
    </w:p>
    <w:p>
      <w:pPr>
        <w:pStyle w:val="2"/>
        <w:rPr>
          <w:rFonts w:hint="default" w:ascii="Times New Roman" w:hAnsi="Times New Roman" w:eastAsia="宋体" w:cs="Times New Roman"/>
          <w:color w:val="auto"/>
          <w:highlight w:val="none"/>
          <w:lang w:val="en-US" w:eastAsia="zh-CN"/>
        </w:rPr>
        <w:sectPr>
          <w:headerReference r:id="rId6" w:type="default"/>
          <w:footerReference r:id="rId7" w:type="default"/>
          <w:pgSz w:w="11911" w:h="16838"/>
          <w:pgMar w:top="1463" w:right="1678" w:bottom="1463" w:left="1678" w:header="283" w:footer="884" w:gutter="0"/>
          <w:pgBorders>
            <w:top w:val="none" w:sz="0" w:space="0"/>
            <w:left w:val="none" w:sz="0" w:space="0"/>
            <w:bottom w:val="none" w:sz="0" w:space="0"/>
            <w:right w:val="none" w:sz="0" w:space="0"/>
          </w:pgBorders>
          <w:pgNumType w:fmt="decimal" w:start="1"/>
          <w:cols w:space="425" w:num="1"/>
          <w:rtlGutter w:val="0"/>
          <w:docGrid w:linePitch="312" w:charSpace="0"/>
        </w:sectPr>
      </w:pPr>
    </w:p>
    <w:p>
      <w:pPr>
        <w:pStyle w:val="3"/>
        <w:ind w:left="0" w:leftChars="0" w:firstLine="0" w:firstLineChars="0"/>
        <w:rPr>
          <w:rFonts w:hint="default" w:ascii="Times New Roman" w:hAnsi="Times New Roman" w:eastAsia="宋体" w:cs="Times New Roman"/>
          <w:color w:val="auto"/>
          <w:lang w:val="en-US" w:eastAsia="en-US"/>
        </w:rPr>
      </w:pPr>
      <w:bookmarkStart w:id="1" w:name="_Toc24335"/>
      <w:bookmarkStart w:id="2" w:name="_Toc11736"/>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en-US"/>
        </w:rPr>
        <w:t>验收项目概况</w:t>
      </w:r>
      <w:bookmarkEnd w:id="1"/>
      <w:bookmarkEnd w:id="2"/>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泰柯棕化（张家港）有限公司（以下简称“泰柯棕化”公司）由马来西亚吉隆坡甲洞集团所属全资子公司——吉隆坡甲洞雄资有限公司与其姊妹公司泰柯市场服务有限公司共同投资</w:t>
      </w:r>
      <w:r>
        <w:rPr>
          <w:rFonts w:hint="default" w:ascii="Times New Roman" w:hAnsi="Times New Roman" w:eastAsia="宋体" w:cs="Times New Roman"/>
          <w:color w:val="auto"/>
          <w:sz w:val="24"/>
          <w:szCs w:val="24"/>
          <w:lang w:val="en-US" w:eastAsia="zh-CN"/>
        </w:rPr>
        <w:t>11500</w:t>
      </w:r>
      <w:r>
        <w:rPr>
          <w:rFonts w:hint="default" w:ascii="Times New Roman" w:hAnsi="Times New Roman" w:eastAsia="宋体" w:cs="Times New Roman"/>
          <w:color w:val="auto"/>
          <w:sz w:val="24"/>
          <w:szCs w:val="24"/>
        </w:rPr>
        <w:t>万美元，于2006年建立</w:t>
      </w:r>
      <w:r>
        <w:rPr>
          <w:rFonts w:hint="default" w:ascii="Times New Roman" w:hAnsi="Times New Roman" w:eastAsia="宋体" w:cs="Times New Roman"/>
          <w:color w:val="auto"/>
          <w:sz w:val="24"/>
          <w:szCs w:val="24"/>
          <w:lang w:eastAsia="zh-CN"/>
        </w:rPr>
        <w:t>，位</w:t>
      </w:r>
      <w:r>
        <w:rPr>
          <w:rFonts w:hint="default" w:ascii="Times New Roman" w:hAnsi="Times New Roman" w:eastAsia="宋体" w:cs="Times New Roman"/>
          <w:color w:val="auto"/>
          <w:sz w:val="24"/>
          <w:szCs w:val="24"/>
        </w:rPr>
        <w:t>于江苏省扬子江国际化学工业园长江路60号</w:t>
      </w:r>
      <w:r>
        <w:rPr>
          <w:rFonts w:hint="default" w:ascii="Times New Roman" w:hAnsi="Times New Roman" w:eastAsia="宋体" w:cs="Times New Roman"/>
          <w:color w:val="auto"/>
          <w:sz w:val="24"/>
          <w:szCs w:val="24"/>
          <w:lang w:eastAsia="zh-CN"/>
        </w:rPr>
        <w:t>，占地近</w:t>
      </w:r>
      <w:r>
        <w:rPr>
          <w:rFonts w:hint="default" w:ascii="Times New Roman" w:hAnsi="Times New Roman" w:eastAsia="宋体" w:cs="Times New Roman"/>
          <w:color w:val="auto"/>
          <w:sz w:val="24"/>
          <w:szCs w:val="24"/>
          <w:lang w:val="en-US" w:eastAsia="zh-CN"/>
        </w:rPr>
        <w:t>350亩，全厂现有职工合计约380人。企业实行四班三运转，年运行7200小时。</w:t>
      </w:r>
      <w:r>
        <w:rPr>
          <w:rFonts w:hint="default" w:ascii="Times New Roman" w:hAnsi="Times New Roman" w:eastAsia="宋体" w:cs="Times New Roman"/>
          <w:color w:val="auto"/>
          <w:sz w:val="24"/>
          <w:szCs w:val="24"/>
        </w:rPr>
        <w:t>目前，泰柯棕化公司主要加工、生产各类等级的表面活性剂(脂肪酸、氢化脂肪酸、硬脂酸、分馏脂肪酸、多元聚合脂肪酸、非离子表面活性剂、苯扎氯铵、苯扎溴铵)、各类助剂(甘油、高档质量皂粒、半透明皂粒)、各类皂粒制品及药用甘油、食品添加剂(三醋酸甘油酯、甘油)、造纸化学品、油田助剂、皮革化学品等。</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泰柯棕化公司结合现有市场情况，充分对现有产品结构进行分析论证，决定淘汰部分生产线(淘汰19000t/a皂粒产品、10000t/a造纸化学品、2500t/a饲料添加剂、2500t/a油田助剂、2000t/a皮革化学品，合计淘汰减产36000t/a各类化学品)，并利用现有厂区设施及技术实力，丰富公司产品结构，实施脂肪酸酯产品结构调整及节能减排技术改造项目，提高企业市场竞争力。</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泰柯棕化于2019年</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eastAsia="zh-CN"/>
        </w:rPr>
        <w:t>月</w:t>
      </w:r>
      <w:r>
        <w:rPr>
          <w:rFonts w:hint="default" w:ascii="Times New Roman" w:hAnsi="Times New Roman" w:eastAsia="宋体" w:cs="Times New Roman"/>
          <w:color w:val="auto"/>
          <w:sz w:val="24"/>
          <w:szCs w:val="24"/>
          <w:lang w:val="en-US" w:eastAsia="zh-CN"/>
        </w:rPr>
        <w:t>委托</w:t>
      </w:r>
      <w:r>
        <w:rPr>
          <w:rFonts w:hint="default" w:ascii="Times New Roman" w:hAnsi="Times New Roman" w:eastAsia="宋体" w:cs="Times New Roman"/>
          <w:color w:val="auto"/>
          <w:sz w:val="24"/>
          <w:szCs w:val="24"/>
          <w:lang w:eastAsia="zh-CN"/>
        </w:rPr>
        <w:t>苏州清泉环保科技有限公司</w:t>
      </w:r>
      <w:r>
        <w:rPr>
          <w:rFonts w:hint="default" w:ascii="Times New Roman" w:hAnsi="Times New Roman" w:eastAsia="宋体" w:cs="Times New Roman"/>
          <w:color w:val="auto"/>
          <w:sz w:val="24"/>
          <w:szCs w:val="24"/>
          <w:lang w:val="en-US" w:eastAsia="zh-CN"/>
        </w:rPr>
        <w:t>编制完成了</w:t>
      </w:r>
      <w:r>
        <w:rPr>
          <w:rFonts w:hint="default" w:ascii="Times New Roman" w:hAnsi="Times New Roman" w:eastAsia="宋体" w:cs="Times New Roman"/>
          <w:color w:val="auto"/>
          <w:sz w:val="24"/>
          <w:szCs w:val="24"/>
          <w:lang w:eastAsia="zh-CN"/>
        </w:rPr>
        <w:t>《泰柯棕化(张家港)有限公司脂肪酸酯产品结构调整及节能减排技术改造项目环境影响报告书》</w:t>
      </w:r>
      <w:r>
        <w:rPr>
          <w:rFonts w:hint="default" w:ascii="Times New Roman" w:hAnsi="Times New Roman" w:eastAsia="宋体" w:cs="Times New Roman"/>
          <w:color w:val="auto"/>
          <w:sz w:val="24"/>
          <w:szCs w:val="24"/>
          <w:lang w:val="en-US" w:eastAsia="zh-CN"/>
        </w:rPr>
        <w:t>（以下简称“《报告书》”），2019年7月23日江苏省张家港保税区管理委员会予以了批复（张保审批[2019]73号），以下简称“《批复》”）</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泰柯棕化(张家港)有限公司脂肪酸酯产品结构调整及节能减排技术改造项目（以下简称“本项目”）于</w:t>
      </w:r>
      <w:r>
        <w:rPr>
          <w:rFonts w:hint="default" w:ascii="Times New Roman" w:hAnsi="Times New Roman" w:eastAsia="宋体" w:cs="Times New Roman"/>
          <w:color w:val="auto"/>
          <w:sz w:val="24"/>
          <w:szCs w:val="24"/>
          <w:lang w:val="en-US" w:eastAsia="zh-CN"/>
        </w:rPr>
        <w:t>2020年1月开工建设，2021年2月建成</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eastAsia="zh-CN"/>
        </w:rPr>
        <w:t>主体工程及配套环保工程均已正常投入使用，满足“三同时”竣工环保验收条件，</w:t>
      </w:r>
      <w:r>
        <w:rPr>
          <w:rFonts w:hint="default" w:ascii="Times New Roman" w:hAnsi="Times New Roman" w:eastAsia="宋体" w:cs="Times New Roman"/>
          <w:color w:val="auto"/>
          <w:sz w:val="24"/>
          <w:szCs w:val="24"/>
        </w:rPr>
        <w:t>根据国家环境保护部国环规环评[2017]4号文《建设项目竣工环境保护验收暂行办法》等法律法规的有关规定，泰柯棕化委托</w:t>
      </w:r>
      <w:r>
        <w:rPr>
          <w:rFonts w:hint="default" w:ascii="Times New Roman" w:hAnsi="Times New Roman" w:eastAsia="宋体" w:cs="Times New Roman"/>
          <w:color w:val="auto"/>
          <w:sz w:val="24"/>
          <w:szCs w:val="24"/>
          <w:lang w:eastAsia="zh-CN"/>
        </w:rPr>
        <w:t>江苏新锐环境监测有限公司</w:t>
      </w:r>
      <w:r>
        <w:rPr>
          <w:rFonts w:hint="default" w:ascii="Times New Roman" w:hAnsi="Times New Roman" w:eastAsia="宋体" w:cs="Times New Roman"/>
          <w:color w:val="auto"/>
          <w:sz w:val="24"/>
          <w:szCs w:val="24"/>
        </w:rPr>
        <w:t>进行</w:t>
      </w:r>
      <w:r>
        <w:rPr>
          <w:rFonts w:hint="default" w:ascii="Times New Roman" w:hAnsi="Times New Roman" w:eastAsia="宋体" w:cs="Times New Roman"/>
          <w:color w:val="auto"/>
          <w:sz w:val="24"/>
          <w:szCs w:val="24"/>
          <w:lang w:eastAsia="zh-CN"/>
        </w:rPr>
        <w:t>脂肪酸酯产品结构调整及节能减排技术改造项目</w:t>
      </w:r>
      <w:r>
        <w:rPr>
          <w:rFonts w:hint="default" w:ascii="Times New Roman" w:hAnsi="Times New Roman" w:eastAsia="宋体" w:cs="Times New Roman"/>
          <w:color w:val="auto"/>
          <w:sz w:val="24"/>
          <w:szCs w:val="24"/>
        </w:rPr>
        <w:t>的环保验收</w:t>
      </w:r>
      <w:r>
        <w:rPr>
          <w:rFonts w:hint="default" w:ascii="Times New Roman" w:hAnsi="Times New Roman" w:eastAsia="宋体" w:cs="Times New Roman"/>
          <w:color w:val="auto"/>
          <w:sz w:val="24"/>
          <w:szCs w:val="24"/>
          <w:lang w:eastAsia="zh-CN"/>
        </w:rPr>
        <w:t>监测</w:t>
      </w:r>
      <w:r>
        <w:rPr>
          <w:rFonts w:hint="default" w:ascii="Times New Roman" w:hAnsi="Times New Roman" w:eastAsia="宋体" w:cs="Times New Roman"/>
          <w:color w:val="auto"/>
          <w:sz w:val="24"/>
          <w:szCs w:val="24"/>
        </w:rPr>
        <w:t>工作。</w:t>
      </w:r>
      <w:r>
        <w:rPr>
          <w:rFonts w:hint="default" w:ascii="Times New Roman" w:hAnsi="Times New Roman" w:eastAsia="宋体" w:cs="Times New Roman"/>
          <w:color w:val="auto"/>
          <w:sz w:val="24"/>
          <w:szCs w:val="24"/>
          <w:lang w:eastAsia="zh-CN"/>
        </w:rPr>
        <w:t>江苏新锐环境监测有限公司</w:t>
      </w:r>
      <w:r>
        <w:rPr>
          <w:rFonts w:hint="default" w:ascii="Times New Roman" w:hAnsi="Times New Roman" w:eastAsia="宋体" w:cs="Times New Roman"/>
          <w:color w:val="auto"/>
          <w:sz w:val="24"/>
          <w:szCs w:val="24"/>
        </w:rPr>
        <w:t>在接受委托后，组织</w:t>
      </w:r>
      <w:r>
        <w:rPr>
          <w:rFonts w:hint="default" w:ascii="Times New Roman" w:hAnsi="Times New Roman" w:eastAsia="宋体" w:cs="Times New Roman"/>
          <w:color w:val="auto"/>
          <w:sz w:val="24"/>
          <w:szCs w:val="24"/>
          <w:lang w:val="en-US" w:eastAsia="zh-CN"/>
        </w:rPr>
        <w:t>了</w:t>
      </w:r>
      <w:r>
        <w:rPr>
          <w:rFonts w:hint="default" w:ascii="Times New Roman" w:hAnsi="Times New Roman" w:eastAsia="宋体" w:cs="Times New Roman"/>
          <w:color w:val="auto"/>
          <w:sz w:val="24"/>
          <w:szCs w:val="24"/>
        </w:rPr>
        <w:t>技术人员对该</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实际建设情况进行了现场勘查，编制了本项目竣工环境保护验收监测方案</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2021年7月21日-22日、7月28日-29日、8月20日-21日分别</w:t>
      </w:r>
      <w:r>
        <w:rPr>
          <w:rFonts w:hint="default" w:ascii="Times New Roman" w:hAnsi="Times New Roman" w:eastAsia="宋体" w:cs="Times New Roman"/>
          <w:color w:val="auto"/>
          <w:sz w:val="24"/>
          <w:szCs w:val="24"/>
          <w:highlight w:val="none"/>
        </w:rPr>
        <w:t>对该</w:t>
      </w:r>
      <w:r>
        <w:rPr>
          <w:rFonts w:hint="default" w:ascii="Times New Roman" w:hAnsi="Times New Roman" w:eastAsia="宋体" w:cs="Times New Roman"/>
          <w:color w:val="auto"/>
          <w:sz w:val="24"/>
          <w:szCs w:val="24"/>
          <w:highlight w:val="none"/>
          <w:lang w:eastAsia="zh-CN"/>
        </w:rPr>
        <w:t>项目在</w:t>
      </w:r>
      <w:r>
        <w:rPr>
          <w:rFonts w:hint="default" w:ascii="Times New Roman" w:hAnsi="Times New Roman" w:eastAsia="宋体" w:cs="Times New Roman"/>
          <w:color w:val="auto"/>
          <w:sz w:val="24"/>
          <w:szCs w:val="24"/>
          <w:highlight w:val="none"/>
        </w:rPr>
        <w:t>异丙醇系列</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异辛醇系列、</w:t>
      </w:r>
      <w:r>
        <w:rPr>
          <w:rFonts w:hint="default" w:ascii="Times New Roman" w:hAnsi="Times New Roman" w:eastAsia="宋体" w:cs="Times New Roman"/>
          <w:color w:val="auto"/>
          <w:sz w:val="24"/>
          <w:szCs w:val="24"/>
          <w:highlight w:val="none"/>
        </w:rPr>
        <w:t>三羟甲基丙烷系列</w:t>
      </w:r>
      <w:r>
        <w:rPr>
          <w:rFonts w:hint="default" w:ascii="Times New Roman" w:hAnsi="Times New Roman" w:eastAsia="宋体" w:cs="Times New Roman"/>
          <w:color w:val="auto"/>
          <w:sz w:val="24"/>
          <w:szCs w:val="24"/>
          <w:highlight w:val="none"/>
          <w:lang w:val="en-US" w:eastAsia="zh-CN"/>
        </w:rPr>
        <w:t>三种工况</w:t>
      </w:r>
      <w:r>
        <w:rPr>
          <w:rFonts w:hint="default" w:ascii="Times New Roman" w:hAnsi="Times New Roman" w:eastAsia="宋体" w:cs="Times New Roman"/>
          <w:color w:val="auto"/>
          <w:sz w:val="24"/>
          <w:szCs w:val="24"/>
          <w:highlight w:val="none"/>
        </w:rPr>
        <w:t>运行时</w:t>
      </w:r>
      <w:r>
        <w:rPr>
          <w:rFonts w:hint="default" w:ascii="Times New Roman" w:hAnsi="Times New Roman" w:eastAsia="宋体" w:cs="Times New Roman"/>
          <w:color w:val="auto"/>
          <w:sz w:val="24"/>
          <w:szCs w:val="24"/>
          <w:highlight w:val="none"/>
          <w:lang w:eastAsia="zh-CN"/>
        </w:rPr>
        <w:t>的</w:t>
      </w:r>
      <w:r>
        <w:rPr>
          <w:rFonts w:hint="default" w:ascii="Times New Roman" w:hAnsi="Times New Roman" w:eastAsia="宋体" w:cs="Times New Roman"/>
          <w:color w:val="auto"/>
          <w:sz w:val="24"/>
          <w:szCs w:val="24"/>
          <w:highlight w:val="none"/>
        </w:rPr>
        <w:t>废气、废水、噪声、固体废物等污染源排放现状和各类环保治理设施的处理能力进行了现场监测及检查，根据现场监</w:t>
      </w:r>
      <w:r>
        <w:rPr>
          <w:rFonts w:hint="default" w:ascii="Times New Roman" w:hAnsi="Times New Roman" w:eastAsia="宋体" w:cs="Times New Roman"/>
          <w:color w:val="auto"/>
          <w:sz w:val="24"/>
          <w:szCs w:val="24"/>
        </w:rPr>
        <w:t>测结果和环境管理检查情况</w:t>
      </w:r>
      <w:r>
        <w:rPr>
          <w:rFonts w:hint="default" w:ascii="Times New Roman" w:hAnsi="Times New Roman" w:eastAsia="宋体" w:cs="Times New Roman"/>
          <w:color w:val="auto"/>
          <w:sz w:val="24"/>
          <w:szCs w:val="24"/>
          <w:lang w:eastAsia="zh-CN"/>
        </w:rPr>
        <w:t>，公司编制了该项目竣工环境保护验收监测报告</w:t>
      </w:r>
      <w:r>
        <w:rPr>
          <w:rFonts w:hint="default" w:ascii="Times New Roman" w:hAnsi="Times New Roman" w:eastAsia="宋体" w:cs="Times New Roman"/>
          <w:color w:val="auto"/>
          <w:sz w:val="24"/>
          <w:szCs w:val="24"/>
        </w:rPr>
        <w:t>，为该项目的</w:t>
      </w:r>
      <w:r>
        <w:rPr>
          <w:rFonts w:hint="default" w:ascii="Times New Roman" w:hAnsi="Times New Roman" w:eastAsia="宋体" w:cs="Times New Roman"/>
          <w:color w:val="auto"/>
          <w:sz w:val="24"/>
          <w:szCs w:val="24"/>
          <w:lang w:eastAsia="zh-CN"/>
        </w:rPr>
        <w:t>竣工环境保护</w:t>
      </w:r>
      <w:r>
        <w:rPr>
          <w:rFonts w:hint="default" w:ascii="Times New Roman" w:hAnsi="Times New Roman" w:eastAsia="宋体" w:cs="Times New Roman"/>
          <w:color w:val="auto"/>
          <w:sz w:val="24"/>
          <w:szCs w:val="24"/>
        </w:rPr>
        <w:t>验收及环境管理提供科学依据。</w:t>
      </w:r>
    </w:p>
    <w:p>
      <w:pPr>
        <w:pStyle w:val="11"/>
        <w:keepNext w:val="0"/>
        <w:keepLines w:val="0"/>
        <w:pageBreakBefore w:val="0"/>
        <w:widowControl w:val="0"/>
        <w:kinsoku/>
        <w:wordWrap/>
        <w:overflowPunct/>
        <w:topLinePunct w:val="0"/>
        <w:autoSpaceDE w:val="0"/>
        <w:autoSpaceDN w:val="0"/>
        <w:bidi w:val="0"/>
        <w:adjustRightInd/>
        <w:snapToGrid/>
        <w:spacing w:before="0" w:after="0" w:line="360" w:lineRule="auto"/>
        <w:ind w:left="811" w:leftChars="0" w:right="1015" w:rightChars="0" w:firstLine="420" w:firstLineChars="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color w:val="auto"/>
          <w:sz w:val="24"/>
          <w:szCs w:val="24"/>
        </w:rPr>
        <w:t>表</w:t>
      </w:r>
      <w:r>
        <w:rPr>
          <w:rFonts w:hint="default" w:ascii="Times New Roman" w:hAnsi="Times New Roman" w:eastAsia="宋体" w:cs="Times New Roman"/>
          <w:b/>
          <w:color w:val="auto"/>
          <w:sz w:val="24"/>
          <w:szCs w:val="24"/>
          <w:lang w:val="en-US" w:eastAsia="zh-CN"/>
        </w:rPr>
        <w:t>1-1</w:t>
      </w:r>
      <w:r>
        <w:rPr>
          <w:rFonts w:hint="default" w:ascii="Times New Roman" w:hAnsi="Times New Roman" w:eastAsia="宋体" w:cs="Times New Roman"/>
          <w:b/>
          <w:color w:val="auto"/>
          <w:sz w:val="24"/>
          <w:szCs w:val="24"/>
        </w:rPr>
        <w:t xml:space="preserve"> </w:t>
      </w:r>
      <w:r>
        <w:rPr>
          <w:rFonts w:hint="default" w:ascii="Times New Roman" w:hAnsi="Times New Roman" w:eastAsia="宋体" w:cs="Times New Roman"/>
          <w:b/>
          <w:bCs/>
          <w:color w:val="auto"/>
          <w:sz w:val="24"/>
          <w:szCs w:val="24"/>
          <w:lang w:val="en-US" w:eastAsia="zh-CN"/>
        </w:rPr>
        <w:t xml:space="preserve"> 项目概况表</w:t>
      </w:r>
    </w:p>
    <w:tbl>
      <w:tblPr>
        <w:tblStyle w:val="23"/>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800"/>
        <w:gridCol w:w="1418"/>
        <w:gridCol w:w="932"/>
        <w:gridCol w:w="344"/>
        <w:gridCol w:w="828"/>
        <w:gridCol w:w="751"/>
        <w:gridCol w:w="156"/>
        <w:gridCol w:w="1507"/>
        <w:gridCol w:w="10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jc w:val="center"/>
        </w:trPr>
        <w:tc>
          <w:tcPr>
            <w:tcW w:w="102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建设项目</w:t>
            </w:r>
          </w:p>
        </w:tc>
        <w:tc>
          <w:tcPr>
            <w:tcW w:w="3973" w:type="pct"/>
            <w:gridSpan w:val="8"/>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泰柯棕化(张家港)有限公司脂肪酸酯产品结构调整及节能减排技术改造项目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jc w:val="center"/>
        </w:trPr>
        <w:tc>
          <w:tcPr>
            <w:tcW w:w="102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建设单位</w:t>
            </w:r>
          </w:p>
        </w:tc>
        <w:tc>
          <w:tcPr>
            <w:tcW w:w="3973" w:type="pct"/>
            <w:gridSpan w:val="8"/>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eastAsia="zh-CN"/>
              </w:rPr>
              <w:t>泰柯棕化(张家港)有限公司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jc w:val="center"/>
        </w:trPr>
        <w:tc>
          <w:tcPr>
            <w:tcW w:w="102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联系人</w:t>
            </w:r>
          </w:p>
        </w:tc>
        <w:tc>
          <w:tcPr>
            <w:tcW w:w="1339" w:type="pct"/>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蒋琪</w:t>
            </w:r>
          </w:p>
        </w:tc>
        <w:tc>
          <w:tcPr>
            <w:tcW w:w="1185" w:type="pct"/>
            <w:gridSpan w:val="4"/>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联系电话</w:t>
            </w:r>
          </w:p>
        </w:tc>
        <w:tc>
          <w:tcPr>
            <w:tcW w:w="1449" w:type="pct"/>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15262323255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jc w:val="center"/>
        </w:trPr>
        <w:tc>
          <w:tcPr>
            <w:tcW w:w="102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建设项目性质</w:t>
            </w:r>
          </w:p>
        </w:tc>
        <w:tc>
          <w:tcPr>
            <w:tcW w:w="1339" w:type="pct"/>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技改</w:t>
            </w:r>
          </w:p>
        </w:tc>
        <w:tc>
          <w:tcPr>
            <w:tcW w:w="1185" w:type="pct"/>
            <w:gridSpan w:val="4"/>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行业类别</w:t>
            </w:r>
          </w:p>
        </w:tc>
        <w:tc>
          <w:tcPr>
            <w:tcW w:w="1449" w:type="pct"/>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C26</w:t>
            </w:r>
            <w:r>
              <w:rPr>
                <w:rFonts w:hint="eastAsia" w:ascii="Times New Roman" w:hAnsi="Times New Roman" w:cs="Times New Roman"/>
                <w:b w:val="0"/>
                <w:bCs w:val="0"/>
                <w:color w:val="auto"/>
                <w:sz w:val="21"/>
                <w:szCs w:val="21"/>
                <w:highlight w:val="none"/>
                <w:lang w:val="en-US" w:eastAsia="zh-CN"/>
              </w:rPr>
              <w:t>62专用化学用品制造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jc w:val="center"/>
        </w:trPr>
        <w:tc>
          <w:tcPr>
            <w:tcW w:w="102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建设地点</w:t>
            </w:r>
          </w:p>
        </w:tc>
        <w:tc>
          <w:tcPr>
            <w:tcW w:w="3973" w:type="pct"/>
            <w:gridSpan w:val="8"/>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snapToGrid w:val="0"/>
                <w:color w:val="auto"/>
                <w:kern w:val="0"/>
                <w:sz w:val="21"/>
                <w:szCs w:val="21"/>
                <w:lang w:eastAsia="zh-CN"/>
              </w:rPr>
            </w:pPr>
            <w:r>
              <w:rPr>
                <w:rFonts w:hint="default" w:ascii="Times New Roman" w:hAnsi="Times New Roman" w:eastAsia="宋体" w:cs="Times New Roman"/>
                <w:b w:val="0"/>
                <w:bCs w:val="0"/>
                <w:snapToGrid w:val="0"/>
                <w:color w:val="auto"/>
                <w:kern w:val="0"/>
                <w:sz w:val="21"/>
                <w:szCs w:val="21"/>
                <w:lang w:eastAsia="zh-CN"/>
              </w:rPr>
              <w:t>江苏省扬子江国际化学工业园</w:t>
            </w:r>
            <w:r>
              <w:rPr>
                <w:rFonts w:hint="eastAsia" w:ascii="Times New Roman" w:hAnsi="Times New Roman" w:cs="Times New Roman"/>
                <w:b w:val="0"/>
                <w:bCs w:val="0"/>
                <w:snapToGrid w:val="0"/>
                <w:color w:val="auto"/>
                <w:kern w:val="0"/>
                <w:sz w:val="21"/>
                <w:szCs w:val="21"/>
                <w:lang w:eastAsia="zh-CN"/>
              </w:rPr>
              <w:t>长江中路60号</w:t>
            </w:r>
            <w:r>
              <w:rPr>
                <w:rFonts w:hint="default" w:ascii="Times New Roman" w:hAnsi="Times New Roman" w:eastAsia="宋体" w:cs="Times New Roman"/>
                <w:b w:val="0"/>
                <w:bCs w:val="0"/>
                <w:snapToGrid w:val="0"/>
                <w:color w:val="auto"/>
                <w:kern w:val="0"/>
                <w:sz w:val="21"/>
                <w:szCs w:val="21"/>
                <w:lang w:eastAsia="zh-CN"/>
              </w:rPr>
              <w:t>（现有厂区内）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jc w:val="center"/>
        </w:trPr>
        <w:tc>
          <w:tcPr>
            <w:tcW w:w="102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设计产能</w:t>
            </w:r>
          </w:p>
        </w:tc>
        <w:tc>
          <w:tcPr>
            <w:tcW w:w="3973" w:type="pct"/>
            <w:gridSpan w:val="8"/>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脂肪酸酯产品25000吨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jc w:val="center"/>
        </w:trPr>
        <w:tc>
          <w:tcPr>
            <w:tcW w:w="102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实际产能</w:t>
            </w:r>
          </w:p>
        </w:tc>
        <w:tc>
          <w:tcPr>
            <w:tcW w:w="3973" w:type="pct"/>
            <w:gridSpan w:val="8"/>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脂肪酸酯产品</w:t>
            </w:r>
            <w:r>
              <w:rPr>
                <w:rFonts w:hint="default" w:ascii="Times New Roman" w:hAnsi="Times New Roman" w:eastAsia="宋体" w:cs="Times New Roman"/>
                <w:b w:val="0"/>
                <w:bCs w:val="0"/>
                <w:color w:val="auto"/>
                <w:sz w:val="21"/>
                <w:szCs w:val="21"/>
                <w:lang w:val="en-US" w:eastAsia="zh-CN"/>
              </w:rPr>
              <w:t>12500</w:t>
            </w:r>
            <w:r>
              <w:rPr>
                <w:rFonts w:hint="default" w:ascii="Times New Roman" w:hAnsi="Times New Roman" w:eastAsia="宋体" w:cs="Times New Roman"/>
                <w:b w:val="0"/>
                <w:bCs w:val="0"/>
                <w:color w:val="auto"/>
                <w:sz w:val="21"/>
                <w:szCs w:val="21"/>
              </w:rPr>
              <w:t>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jc w:val="center"/>
        </w:trPr>
        <w:tc>
          <w:tcPr>
            <w:tcW w:w="102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立项单位</w:t>
            </w:r>
          </w:p>
        </w:tc>
        <w:tc>
          <w:tcPr>
            <w:tcW w:w="1339" w:type="pct"/>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eastAsia="zh-CN"/>
              </w:rPr>
              <w:t>张家港保税区管理委员会</w:t>
            </w:r>
          </w:p>
        </w:tc>
        <w:tc>
          <w:tcPr>
            <w:tcW w:w="668" w:type="pct"/>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立项时间</w:t>
            </w:r>
          </w:p>
        </w:tc>
        <w:tc>
          <w:tcPr>
            <w:tcW w:w="1966" w:type="pct"/>
            <w:gridSpan w:val="4"/>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2019年2月22日/</w:t>
            </w:r>
            <w:r>
              <w:rPr>
                <w:rFonts w:hint="default" w:ascii="Times New Roman" w:hAnsi="Times New Roman" w:eastAsia="宋体" w:cs="Times New Roman"/>
                <w:b w:val="0"/>
                <w:bCs w:val="0"/>
                <w:color w:val="auto"/>
                <w:sz w:val="21"/>
                <w:szCs w:val="21"/>
                <w:lang w:eastAsia="zh-CN"/>
              </w:rPr>
              <w:t>项目代码：2019-320552-26-03-607364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jc w:val="center"/>
        </w:trPr>
        <w:tc>
          <w:tcPr>
            <w:tcW w:w="102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环评编制单位</w:t>
            </w:r>
          </w:p>
        </w:tc>
        <w:tc>
          <w:tcPr>
            <w:tcW w:w="1339" w:type="pct"/>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苏州清泉环保科技有限公司</w:t>
            </w:r>
          </w:p>
        </w:tc>
        <w:tc>
          <w:tcPr>
            <w:tcW w:w="1185" w:type="pct"/>
            <w:gridSpan w:val="4"/>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编制时间</w:t>
            </w:r>
          </w:p>
        </w:tc>
        <w:tc>
          <w:tcPr>
            <w:tcW w:w="1449" w:type="pct"/>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2019年5月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jc w:val="center"/>
        </w:trPr>
        <w:tc>
          <w:tcPr>
            <w:tcW w:w="1026" w:type="pct"/>
            <w:tcBorders>
              <w:bottom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环评审批单位</w:t>
            </w:r>
          </w:p>
        </w:tc>
        <w:tc>
          <w:tcPr>
            <w:tcW w:w="1339" w:type="pct"/>
            <w:gridSpan w:val="2"/>
            <w:tcBorders>
              <w:bottom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eastAsia="zh-CN"/>
              </w:rPr>
              <w:t>张家港保税区管理委员会</w:t>
            </w:r>
          </w:p>
        </w:tc>
        <w:tc>
          <w:tcPr>
            <w:tcW w:w="1185" w:type="pct"/>
            <w:gridSpan w:val="4"/>
            <w:tcBorders>
              <w:bottom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审批文号</w:t>
            </w: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审批时间</w:t>
            </w:r>
          </w:p>
        </w:tc>
        <w:tc>
          <w:tcPr>
            <w:tcW w:w="1449" w:type="pct"/>
            <w:gridSpan w:val="2"/>
            <w:tcBorders>
              <w:bottom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张保审批[2019]73号</w:t>
            </w: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2019年7月23日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jc w:val="center"/>
        </w:trPr>
        <w:tc>
          <w:tcPr>
            <w:tcW w:w="1026" w:type="pct"/>
            <w:tcBorders>
              <w:top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排污许可证</w:t>
            </w:r>
          </w:p>
        </w:tc>
        <w:tc>
          <w:tcPr>
            <w:tcW w:w="3973" w:type="pct"/>
            <w:gridSpan w:val="8"/>
            <w:tcBorders>
              <w:top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 xml:space="preserve">证书编号：91320592757329895M001C </w:t>
            </w: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有效期限：自2021年07月28日至2026年07月27日止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jc w:val="center"/>
        </w:trPr>
        <w:tc>
          <w:tcPr>
            <w:tcW w:w="1026" w:type="pct"/>
            <w:tcBorders>
              <w:bottom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项目开工时间</w:t>
            </w:r>
          </w:p>
        </w:tc>
        <w:tc>
          <w:tcPr>
            <w:tcW w:w="1339" w:type="pct"/>
            <w:gridSpan w:val="2"/>
            <w:tcBorders>
              <w:bottom w:val="single" w:color="auto" w:sz="4" w:space="0"/>
              <w:tl2br w:val="nil"/>
              <w:tr2bl w:val="nil"/>
            </w:tcBorders>
            <w:vAlign w:val="center"/>
          </w:tcPr>
          <w:p>
            <w:pPr>
              <w:spacing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2020年1月</w:t>
            </w:r>
          </w:p>
        </w:tc>
        <w:tc>
          <w:tcPr>
            <w:tcW w:w="1185" w:type="pct"/>
            <w:gridSpan w:val="4"/>
            <w:tcBorders>
              <w:bottom w:val="single" w:color="auto" w:sz="4" w:space="0"/>
              <w:tl2br w:val="nil"/>
              <w:tr2bl w:val="nil"/>
            </w:tcBorders>
            <w:vAlign w:val="center"/>
          </w:tcPr>
          <w:p>
            <w:pPr>
              <w:spacing w:line="240" w:lineRule="auto"/>
              <w:ind w:left="0" w:leftChars="0" w:right="0" w:rightChars="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建成调试时间</w:t>
            </w:r>
          </w:p>
        </w:tc>
        <w:tc>
          <w:tcPr>
            <w:tcW w:w="1449" w:type="pct"/>
            <w:gridSpan w:val="2"/>
            <w:tcBorders>
              <w:bottom w:val="single" w:color="auto" w:sz="4" w:space="0"/>
              <w:tl2br w:val="nil"/>
              <w:tr2bl w:val="nil"/>
            </w:tcBorders>
            <w:vAlign w:val="center"/>
          </w:tcPr>
          <w:p>
            <w:pPr>
              <w:spacing w:line="240" w:lineRule="auto"/>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2021年2月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jc w:val="center"/>
        </w:trPr>
        <w:tc>
          <w:tcPr>
            <w:tcW w:w="1026" w:type="pct"/>
            <w:tcBorders>
              <w:top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验收监测时间</w:t>
            </w:r>
          </w:p>
        </w:tc>
        <w:tc>
          <w:tcPr>
            <w:tcW w:w="3973" w:type="pct"/>
            <w:gridSpan w:val="8"/>
            <w:tcBorders>
              <w:top w:val="single" w:color="auto" w:sz="4" w:space="0"/>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color w:val="auto"/>
                <w:sz w:val="21"/>
                <w:szCs w:val="21"/>
                <w:highlight w:val="none"/>
                <w:lang w:val="en-US" w:eastAsia="zh-CN"/>
              </w:rPr>
              <w:t>2021年7月21日-22日、7月28日-29日、8月20日-21日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jc w:val="center"/>
        </w:trPr>
        <w:tc>
          <w:tcPr>
            <w:tcW w:w="102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占地面积</w:t>
            </w:r>
          </w:p>
        </w:tc>
        <w:tc>
          <w:tcPr>
            <w:tcW w:w="1339" w:type="pct"/>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color w:val="auto"/>
                <w:sz w:val="21"/>
                <w:szCs w:val="21"/>
                <w:lang w:eastAsia="zh-CN"/>
              </w:rPr>
              <w:t>不新增用地</w:t>
            </w:r>
          </w:p>
        </w:tc>
        <w:tc>
          <w:tcPr>
            <w:tcW w:w="1185" w:type="pct"/>
            <w:gridSpan w:val="4"/>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绿化面积</w:t>
            </w:r>
          </w:p>
        </w:tc>
        <w:tc>
          <w:tcPr>
            <w:tcW w:w="1449" w:type="pct"/>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color w:val="auto"/>
                <w:sz w:val="21"/>
                <w:szCs w:val="21"/>
              </w:rPr>
              <w:t>依托</w:t>
            </w:r>
            <w:r>
              <w:rPr>
                <w:rFonts w:hint="default" w:ascii="Times New Roman" w:hAnsi="Times New Roman" w:eastAsia="宋体" w:cs="Times New Roman"/>
                <w:color w:val="auto"/>
                <w:sz w:val="21"/>
                <w:szCs w:val="21"/>
                <w:lang w:eastAsia="zh-CN"/>
              </w:rPr>
              <w:t>原有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jc w:val="center"/>
        </w:trPr>
        <w:tc>
          <w:tcPr>
            <w:tcW w:w="102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项目</w:t>
            </w:r>
            <w:r>
              <w:rPr>
                <w:rFonts w:hint="default" w:ascii="Times New Roman" w:hAnsi="Times New Roman" w:eastAsia="宋体" w:cs="Times New Roman"/>
                <w:b w:val="0"/>
                <w:bCs w:val="0"/>
                <w:color w:val="auto"/>
                <w:sz w:val="21"/>
                <w:szCs w:val="21"/>
              </w:rPr>
              <w:t>总投资</w:t>
            </w:r>
            <w:r>
              <w:rPr>
                <w:rFonts w:hint="default" w:ascii="Times New Roman" w:hAnsi="Times New Roman" w:eastAsia="宋体" w:cs="Times New Roman"/>
                <w:b w:val="0"/>
                <w:bCs w:val="0"/>
                <w:color w:val="auto"/>
                <w:sz w:val="21"/>
                <w:szCs w:val="21"/>
                <w:lang w:eastAsia="zh-CN"/>
              </w:rPr>
              <w:t>概算</w:t>
            </w:r>
          </w:p>
        </w:tc>
        <w:tc>
          <w:tcPr>
            <w:tcW w:w="80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000万</w:t>
            </w:r>
            <w:r>
              <w:rPr>
                <w:rFonts w:hint="default" w:ascii="Times New Roman" w:hAnsi="Times New Roman" w:eastAsia="宋体" w:cs="Times New Roman"/>
                <w:color w:val="auto"/>
                <w:sz w:val="21"/>
                <w:szCs w:val="21"/>
                <w:lang w:eastAsia="zh-CN"/>
              </w:rPr>
              <w:t>美</w:t>
            </w:r>
            <w:r>
              <w:rPr>
                <w:rFonts w:hint="default" w:ascii="Times New Roman" w:hAnsi="Times New Roman" w:eastAsia="宋体" w:cs="Times New Roman"/>
                <w:color w:val="auto"/>
                <w:sz w:val="21"/>
                <w:szCs w:val="21"/>
              </w:rPr>
              <w:t>元</w:t>
            </w:r>
          </w:p>
        </w:tc>
        <w:tc>
          <w:tcPr>
            <w:tcW w:w="727" w:type="pct"/>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环保投资</w:t>
            </w:r>
          </w:p>
        </w:tc>
        <w:tc>
          <w:tcPr>
            <w:tcW w:w="900" w:type="pct"/>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Cs/>
                <w:color w:val="auto"/>
                <w:sz w:val="21"/>
                <w:szCs w:val="21"/>
                <w:lang w:val="en-US" w:eastAsia="zh-CN"/>
              </w:rPr>
              <w:t>200</w:t>
            </w:r>
            <w:r>
              <w:rPr>
                <w:rFonts w:hint="default" w:ascii="Times New Roman" w:hAnsi="Times New Roman" w:eastAsia="宋体" w:cs="Times New Roman"/>
                <w:bCs/>
                <w:color w:val="auto"/>
                <w:sz w:val="21"/>
                <w:szCs w:val="21"/>
              </w:rPr>
              <w:t>万元</w:t>
            </w:r>
          </w:p>
        </w:tc>
        <w:tc>
          <w:tcPr>
            <w:tcW w:w="948" w:type="pct"/>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环保投资</w:t>
            </w: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占总投资比例</w:t>
            </w:r>
          </w:p>
        </w:tc>
        <w:tc>
          <w:tcPr>
            <w:tcW w:w="589"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 w:val="21"/>
                <w:szCs w:val="21"/>
                <w:lang w:eastAsia="zh-CN"/>
              </w:rPr>
              <w:t>约</w:t>
            </w:r>
            <w:r>
              <w:rPr>
                <w:rFonts w:hint="default" w:ascii="Times New Roman" w:hAnsi="Times New Roman" w:eastAsia="宋体" w:cs="Times New Roman"/>
                <w:bCs/>
                <w:color w:val="auto"/>
                <w:sz w:val="21"/>
                <w:szCs w:val="21"/>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jc w:val="center"/>
        </w:trPr>
        <w:tc>
          <w:tcPr>
            <w:tcW w:w="102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实际总投资</w:t>
            </w:r>
          </w:p>
        </w:tc>
        <w:tc>
          <w:tcPr>
            <w:tcW w:w="80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700</w:t>
            </w:r>
            <w:r>
              <w:rPr>
                <w:rFonts w:hint="default" w:ascii="Times New Roman" w:hAnsi="Times New Roman" w:eastAsia="宋体" w:cs="Times New Roman"/>
                <w:color w:val="auto"/>
                <w:sz w:val="21"/>
                <w:szCs w:val="21"/>
              </w:rPr>
              <w:t>万</w:t>
            </w:r>
            <w:r>
              <w:rPr>
                <w:rFonts w:hint="default" w:ascii="Times New Roman" w:hAnsi="Times New Roman" w:eastAsia="宋体" w:cs="Times New Roman"/>
                <w:color w:val="auto"/>
                <w:sz w:val="21"/>
                <w:szCs w:val="21"/>
                <w:lang w:eastAsia="zh-CN"/>
              </w:rPr>
              <w:t>美</w:t>
            </w:r>
            <w:r>
              <w:rPr>
                <w:rFonts w:hint="default" w:ascii="Times New Roman" w:hAnsi="Times New Roman" w:eastAsia="宋体" w:cs="Times New Roman"/>
                <w:color w:val="auto"/>
                <w:sz w:val="21"/>
                <w:szCs w:val="21"/>
              </w:rPr>
              <w:t>元</w:t>
            </w:r>
          </w:p>
        </w:tc>
        <w:tc>
          <w:tcPr>
            <w:tcW w:w="727" w:type="pct"/>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环保投资</w:t>
            </w:r>
          </w:p>
        </w:tc>
        <w:tc>
          <w:tcPr>
            <w:tcW w:w="900" w:type="pct"/>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Cs/>
                <w:color w:val="auto"/>
                <w:sz w:val="21"/>
                <w:szCs w:val="21"/>
                <w:lang w:val="en-US" w:eastAsia="zh-CN"/>
              </w:rPr>
              <w:t>140</w:t>
            </w:r>
            <w:r>
              <w:rPr>
                <w:rFonts w:hint="default" w:ascii="Times New Roman" w:hAnsi="Times New Roman" w:eastAsia="宋体" w:cs="Times New Roman"/>
                <w:bCs/>
                <w:color w:val="auto"/>
                <w:sz w:val="21"/>
                <w:szCs w:val="21"/>
              </w:rPr>
              <w:t>万元</w:t>
            </w:r>
          </w:p>
        </w:tc>
        <w:tc>
          <w:tcPr>
            <w:tcW w:w="948" w:type="pct"/>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环保投资</w:t>
            </w:r>
          </w:p>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占总投资比例</w:t>
            </w:r>
          </w:p>
        </w:tc>
        <w:tc>
          <w:tcPr>
            <w:tcW w:w="589"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lang w:eastAsia="zh-CN"/>
              </w:rPr>
              <w:t>约</w:t>
            </w:r>
            <w:r>
              <w:rPr>
                <w:rFonts w:hint="default" w:ascii="Times New Roman" w:hAnsi="Times New Roman" w:eastAsia="宋体" w:cs="Times New Roman"/>
                <w:bCs/>
                <w:color w:val="auto"/>
                <w:sz w:val="21"/>
                <w:szCs w:val="21"/>
                <w:lang w:val="en-US" w:eastAsia="zh-CN"/>
              </w:rPr>
              <w:t>3%</w:t>
            </w:r>
          </w:p>
        </w:tc>
      </w:tr>
    </w:tbl>
    <w:p>
      <w:pPr>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color w:val="auto"/>
          <w:sz w:val="18"/>
          <w:szCs w:val="18"/>
          <w:lang w:val="en-US" w:eastAsia="zh-CN"/>
        </w:rPr>
        <w:sectPr>
          <w:headerReference r:id="rId8" w:type="default"/>
          <w:footerReference r:id="rId9" w:type="default"/>
          <w:pgSz w:w="11911" w:h="16838"/>
          <w:pgMar w:top="1463" w:right="1678" w:bottom="1463" w:left="1678" w:header="907" w:footer="884" w:gutter="0"/>
          <w:pgBorders>
            <w:top w:val="none" w:sz="0" w:space="0"/>
            <w:left w:val="none" w:sz="0" w:space="0"/>
            <w:bottom w:val="none" w:sz="0" w:space="0"/>
            <w:right w:val="none" w:sz="0" w:space="0"/>
          </w:pgBorders>
          <w:pgNumType w:fmt="decimal" w:start="1"/>
          <w:cols w:space="0" w:num="1"/>
          <w:rtlGutter w:val="0"/>
          <w:docGrid w:type="lines" w:linePitch="0" w:charSpace="0"/>
        </w:sectPr>
      </w:pPr>
      <w:bookmarkStart w:id="3" w:name="_Toc25664"/>
    </w:p>
    <w:p>
      <w:pPr>
        <w:pStyle w:val="3"/>
        <w:keepNext w:val="0"/>
        <w:keepLines w:val="0"/>
        <w:pageBreakBefore w:val="0"/>
        <w:widowControl w:val="0"/>
        <w:kinsoku/>
        <w:wordWrap/>
        <w:overflowPunct/>
        <w:topLinePunct w:val="0"/>
        <w:autoSpaceDE w:val="0"/>
        <w:autoSpaceDN w:val="0"/>
        <w:bidi w:val="0"/>
        <w:spacing w:line="360" w:lineRule="auto"/>
        <w:ind w:left="0" w:leftChars="0" w:firstLine="0" w:firstLineChars="0"/>
        <w:textAlignment w:val="auto"/>
        <w:rPr>
          <w:rFonts w:hint="default" w:ascii="Times New Roman" w:hAnsi="Times New Roman" w:eastAsia="宋体" w:cs="Times New Roman"/>
          <w:color w:val="auto"/>
          <w:sz w:val="28"/>
          <w:szCs w:val="28"/>
          <w:lang w:val="en-US" w:eastAsia="en-US"/>
        </w:rPr>
      </w:pPr>
      <w:bookmarkStart w:id="4" w:name="_Toc761"/>
      <w:r>
        <w:rPr>
          <w:rFonts w:hint="default" w:ascii="Times New Roman" w:hAnsi="Times New Roman" w:eastAsia="宋体" w:cs="Times New Roman"/>
          <w:color w:val="auto"/>
          <w:sz w:val="28"/>
          <w:szCs w:val="28"/>
          <w:lang w:val="en-US" w:eastAsia="zh-CN"/>
        </w:rPr>
        <w:t>2、</w:t>
      </w:r>
      <w:r>
        <w:rPr>
          <w:rFonts w:hint="default" w:ascii="Times New Roman" w:hAnsi="Times New Roman" w:eastAsia="宋体" w:cs="Times New Roman"/>
          <w:color w:val="auto"/>
          <w:sz w:val="28"/>
          <w:szCs w:val="28"/>
          <w:lang w:val="en-US" w:eastAsia="en-US"/>
        </w:rPr>
        <w:t>验收依据</w:t>
      </w:r>
      <w:bookmarkEnd w:id="3"/>
      <w:bookmarkEnd w:id="4"/>
    </w:p>
    <w:p>
      <w:pPr>
        <w:keepNext w:val="0"/>
        <w:keepLines w:val="0"/>
        <w:pageBreakBefore w:val="0"/>
        <w:widowControl w:val="0"/>
        <w:numPr>
          <w:ilvl w:val="0"/>
          <w:numId w:val="3"/>
        </w:numPr>
        <w:kinsoku/>
        <w:wordWrap/>
        <w:overflowPunct/>
        <w:topLinePunct w:val="0"/>
        <w:autoSpaceDE w:val="0"/>
        <w:autoSpaceDN w:val="0"/>
        <w:bidi w:val="0"/>
        <w:adjustRightInd w:val="0"/>
        <w:snapToGrid w:val="0"/>
        <w:spacing w:line="360" w:lineRule="auto"/>
        <w:ind w:left="425" w:leftChars="0" w:hanging="425" w:firstLineChars="0"/>
        <w:jc w:val="both"/>
        <w:textAlignment w:val="auto"/>
        <w:rPr>
          <w:rFonts w:hint="default" w:ascii="Times New Roman" w:hAnsi="Times New Roman" w:eastAsia="宋体" w:cs="Times New Roman"/>
          <w:color w:val="auto"/>
          <w:sz w:val="24"/>
          <w:szCs w:val="24"/>
          <w:lang w:eastAsia="zh-CN"/>
        </w:rPr>
      </w:pPr>
      <w:bookmarkStart w:id="5" w:name="_Toc6916"/>
      <w:r>
        <w:rPr>
          <w:rFonts w:hint="default" w:ascii="Times New Roman" w:hAnsi="Times New Roman" w:eastAsia="宋体" w:cs="Times New Roman"/>
          <w:color w:val="auto"/>
          <w:sz w:val="24"/>
          <w:szCs w:val="24"/>
          <w:lang w:eastAsia="zh-CN"/>
        </w:rPr>
        <w:t>《建设项目环境保护管理条例》（中华人民共和国国务院令第682号，2017年7月16日）；</w:t>
      </w:r>
    </w:p>
    <w:p>
      <w:pPr>
        <w:keepNext w:val="0"/>
        <w:keepLines w:val="0"/>
        <w:pageBreakBefore w:val="0"/>
        <w:widowControl w:val="0"/>
        <w:numPr>
          <w:ilvl w:val="0"/>
          <w:numId w:val="3"/>
        </w:numPr>
        <w:kinsoku/>
        <w:wordWrap/>
        <w:overflowPunct/>
        <w:topLinePunct w:val="0"/>
        <w:autoSpaceDE w:val="0"/>
        <w:autoSpaceDN w:val="0"/>
        <w:bidi w:val="0"/>
        <w:adjustRightInd w:val="0"/>
        <w:snapToGrid w:val="0"/>
        <w:spacing w:line="360" w:lineRule="auto"/>
        <w:ind w:left="425" w:leftChars="0" w:hanging="425" w:firstLineChars="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《排污许可管理条例》（中华人民共和国国务院令第736号，2021年3月1日施行）；</w:t>
      </w:r>
    </w:p>
    <w:p>
      <w:pPr>
        <w:keepNext w:val="0"/>
        <w:keepLines w:val="0"/>
        <w:pageBreakBefore w:val="0"/>
        <w:widowControl w:val="0"/>
        <w:numPr>
          <w:ilvl w:val="0"/>
          <w:numId w:val="3"/>
        </w:numPr>
        <w:kinsoku/>
        <w:wordWrap/>
        <w:overflowPunct/>
        <w:topLinePunct w:val="0"/>
        <w:autoSpaceDE w:val="0"/>
        <w:autoSpaceDN w:val="0"/>
        <w:bidi w:val="0"/>
        <w:adjustRightInd w:val="0"/>
        <w:snapToGrid w:val="0"/>
        <w:spacing w:line="360" w:lineRule="auto"/>
        <w:ind w:left="425" w:leftChars="0" w:hanging="425" w:firstLineChars="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《建设项目竣工环境保护验收暂行办法》（环境保护部 国环规环评[2017]4号，2017年11月20日）；</w:t>
      </w:r>
    </w:p>
    <w:p>
      <w:pPr>
        <w:keepNext w:val="0"/>
        <w:keepLines w:val="0"/>
        <w:pageBreakBefore w:val="0"/>
        <w:widowControl w:val="0"/>
        <w:numPr>
          <w:ilvl w:val="0"/>
          <w:numId w:val="3"/>
        </w:numPr>
        <w:kinsoku/>
        <w:wordWrap/>
        <w:overflowPunct/>
        <w:topLinePunct w:val="0"/>
        <w:autoSpaceDE w:val="0"/>
        <w:autoSpaceDN w:val="0"/>
        <w:bidi w:val="0"/>
        <w:adjustRightInd w:val="0"/>
        <w:snapToGrid w:val="0"/>
        <w:spacing w:line="360" w:lineRule="auto"/>
        <w:ind w:left="425" w:leftChars="0" w:hanging="425" w:firstLineChars="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《关于建设项目竣工环境保护验收有关事项的通知》（江苏省环保厅 苏环办[2018]34号，2018年1月26日）；</w:t>
      </w:r>
    </w:p>
    <w:p>
      <w:pPr>
        <w:keepNext w:val="0"/>
        <w:keepLines w:val="0"/>
        <w:pageBreakBefore w:val="0"/>
        <w:widowControl w:val="0"/>
        <w:numPr>
          <w:ilvl w:val="0"/>
          <w:numId w:val="3"/>
        </w:numPr>
        <w:kinsoku/>
        <w:wordWrap/>
        <w:overflowPunct/>
        <w:topLinePunct w:val="0"/>
        <w:autoSpaceDE w:val="0"/>
        <w:autoSpaceDN w:val="0"/>
        <w:bidi w:val="0"/>
        <w:adjustRightInd w:val="0"/>
        <w:snapToGrid w:val="0"/>
        <w:spacing w:line="360" w:lineRule="auto"/>
        <w:ind w:left="425" w:leftChars="0" w:hanging="425" w:firstLineChars="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《建设项目竣工环境保护验收技术指南 污染影响类 》（生态环境部 公告[2018]第9号，2018年5月16日）；</w:t>
      </w:r>
    </w:p>
    <w:p>
      <w:pPr>
        <w:keepNext w:val="0"/>
        <w:keepLines w:val="0"/>
        <w:pageBreakBefore w:val="0"/>
        <w:widowControl w:val="0"/>
        <w:numPr>
          <w:ilvl w:val="0"/>
          <w:numId w:val="3"/>
        </w:numPr>
        <w:kinsoku/>
        <w:wordWrap/>
        <w:overflowPunct/>
        <w:topLinePunct w:val="0"/>
        <w:autoSpaceDE w:val="0"/>
        <w:autoSpaceDN w:val="0"/>
        <w:bidi w:val="0"/>
        <w:adjustRightInd w:val="0"/>
        <w:snapToGrid w:val="0"/>
        <w:spacing w:line="360" w:lineRule="auto"/>
        <w:ind w:left="425" w:leftChars="0" w:hanging="425" w:firstLineChars="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《污染影响类建设项目重大变动清单（试行）》（生态环境部 环办环评函[2020]688号）；</w:t>
      </w:r>
    </w:p>
    <w:p>
      <w:pPr>
        <w:keepNext w:val="0"/>
        <w:keepLines w:val="0"/>
        <w:pageBreakBefore w:val="0"/>
        <w:widowControl w:val="0"/>
        <w:numPr>
          <w:ilvl w:val="0"/>
          <w:numId w:val="3"/>
        </w:numPr>
        <w:kinsoku/>
        <w:wordWrap/>
        <w:overflowPunct/>
        <w:topLinePunct w:val="0"/>
        <w:autoSpaceDE w:val="0"/>
        <w:autoSpaceDN w:val="0"/>
        <w:bidi w:val="0"/>
        <w:adjustRightInd w:val="0"/>
        <w:snapToGrid w:val="0"/>
        <w:spacing w:line="360" w:lineRule="auto"/>
        <w:ind w:left="425" w:leftChars="0" w:hanging="425" w:firstLineChars="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《省生态环境厅关于加强涉变动项目环评与排污许可管理衔接的通知》（江苏省生态环境厅，苏环办[2021]122号，2021年4月2日）；</w:t>
      </w:r>
    </w:p>
    <w:p>
      <w:pPr>
        <w:keepNext w:val="0"/>
        <w:keepLines w:val="0"/>
        <w:pageBreakBefore w:val="0"/>
        <w:widowControl w:val="0"/>
        <w:numPr>
          <w:ilvl w:val="0"/>
          <w:numId w:val="3"/>
        </w:numPr>
        <w:kinsoku/>
        <w:wordWrap/>
        <w:overflowPunct/>
        <w:topLinePunct w:val="0"/>
        <w:autoSpaceDE w:val="0"/>
        <w:autoSpaceDN w:val="0"/>
        <w:bidi w:val="0"/>
        <w:adjustRightInd w:val="0"/>
        <w:snapToGrid w:val="0"/>
        <w:spacing w:line="360" w:lineRule="auto"/>
        <w:ind w:left="425" w:leftChars="0" w:hanging="425" w:firstLineChars="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《一般工业固体废物贮存和填埋污染控制标准》（GB 18599-2020）；</w:t>
      </w:r>
    </w:p>
    <w:p>
      <w:pPr>
        <w:keepNext w:val="0"/>
        <w:keepLines w:val="0"/>
        <w:pageBreakBefore w:val="0"/>
        <w:widowControl w:val="0"/>
        <w:numPr>
          <w:ilvl w:val="0"/>
          <w:numId w:val="3"/>
        </w:numPr>
        <w:kinsoku/>
        <w:wordWrap/>
        <w:overflowPunct/>
        <w:topLinePunct w:val="0"/>
        <w:autoSpaceDE w:val="0"/>
        <w:autoSpaceDN w:val="0"/>
        <w:bidi w:val="0"/>
        <w:adjustRightInd w:val="0"/>
        <w:snapToGrid w:val="0"/>
        <w:spacing w:line="360" w:lineRule="auto"/>
        <w:ind w:left="425" w:leftChars="0" w:hanging="425" w:firstLineChars="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《危险废物贮存污染控制标准》（GB18597-2001）2013年修订；</w:t>
      </w:r>
    </w:p>
    <w:p>
      <w:pPr>
        <w:keepNext w:val="0"/>
        <w:keepLines w:val="0"/>
        <w:pageBreakBefore w:val="0"/>
        <w:widowControl w:val="0"/>
        <w:numPr>
          <w:ilvl w:val="0"/>
          <w:numId w:val="3"/>
        </w:numPr>
        <w:kinsoku/>
        <w:wordWrap/>
        <w:overflowPunct/>
        <w:topLinePunct w:val="0"/>
        <w:autoSpaceDE w:val="0"/>
        <w:autoSpaceDN w:val="0"/>
        <w:bidi w:val="0"/>
        <w:adjustRightInd w:val="0"/>
        <w:snapToGrid w:val="0"/>
        <w:spacing w:line="360" w:lineRule="auto"/>
        <w:ind w:left="425" w:leftChars="0" w:hanging="425" w:firstLineChars="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《国家危险废物名录（2021年版）》（生态环境部、国家发展和改革委员会、公安部、交通运输部、国家卫生健康委员会 部令第15号，自2021年1月1日实施）；</w:t>
      </w:r>
    </w:p>
    <w:p>
      <w:pPr>
        <w:keepNext w:val="0"/>
        <w:keepLines w:val="0"/>
        <w:pageBreakBefore w:val="0"/>
        <w:widowControl w:val="0"/>
        <w:numPr>
          <w:ilvl w:val="0"/>
          <w:numId w:val="3"/>
        </w:numPr>
        <w:kinsoku/>
        <w:wordWrap/>
        <w:overflowPunct/>
        <w:topLinePunct w:val="0"/>
        <w:autoSpaceDE w:val="0"/>
        <w:autoSpaceDN w:val="0"/>
        <w:bidi w:val="0"/>
        <w:adjustRightInd w:val="0"/>
        <w:snapToGrid w:val="0"/>
        <w:spacing w:line="360" w:lineRule="auto"/>
        <w:ind w:left="425" w:leftChars="0" w:hanging="425" w:firstLineChars="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关于做好《国家危险废物名录》（2021版）实施后危险废物环境管理衔接工作的通知</w:t>
      </w:r>
      <w:r>
        <w:rPr>
          <w:rFonts w:hint="default" w:ascii="Times New Roman" w:hAnsi="Times New Roman" w:eastAsia="宋体" w:cs="Times New Roman"/>
          <w:color w:val="auto"/>
          <w:sz w:val="24"/>
          <w:szCs w:val="24"/>
          <w:lang w:val="en-US" w:eastAsia="zh-CN"/>
        </w:rPr>
        <w:t>,（江苏省生态环境厅，</w:t>
      </w:r>
      <w:r>
        <w:rPr>
          <w:rFonts w:hint="default" w:ascii="Times New Roman" w:hAnsi="Times New Roman" w:eastAsia="宋体" w:cs="Times New Roman"/>
          <w:color w:val="auto"/>
          <w:sz w:val="24"/>
          <w:szCs w:val="24"/>
          <w:lang w:eastAsia="zh-CN"/>
        </w:rPr>
        <w:t>苏环办</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2021</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22号，20</w:t>
      </w:r>
      <w:r>
        <w:rPr>
          <w:rFonts w:hint="default" w:ascii="Times New Roman" w:hAnsi="Times New Roman" w:eastAsia="宋体" w:cs="Times New Roman"/>
          <w:color w:val="auto"/>
          <w:sz w:val="24"/>
          <w:szCs w:val="24"/>
          <w:lang w:val="en-US" w:eastAsia="zh-CN"/>
        </w:rPr>
        <w:t>21</w:t>
      </w:r>
      <w:r>
        <w:rPr>
          <w:rFonts w:hint="default" w:ascii="Times New Roman" w:hAnsi="Times New Roman" w:eastAsia="宋体" w:cs="Times New Roman"/>
          <w:color w:val="auto"/>
          <w:sz w:val="24"/>
          <w:szCs w:val="24"/>
          <w:lang w:eastAsia="zh-CN"/>
        </w:rPr>
        <w:t>年</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月2</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eastAsia="zh-CN"/>
        </w:rPr>
        <w:t>日</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numPr>
          <w:ilvl w:val="0"/>
          <w:numId w:val="3"/>
        </w:numPr>
        <w:kinsoku/>
        <w:wordWrap/>
        <w:overflowPunct/>
        <w:topLinePunct w:val="0"/>
        <w:autoSpaceDE w:val="0"/>
        <w:autoSpaceDN w:val="0"/>
        <w:bidi w:val="0"/>
        <w:adjustRightInd w:val="0"/>
        <w:snapToGrid w:val="0"/>
        <w:spacing w:line="360" w:lineRule="auto"/>
        <w:ind w:left="425" w:leftChars="0" w:hanging="425" w:firstLineChars="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《泰柯棕化(张家港)有限公司脂肪酸酯产品结构调整及节能减排技术改造项目环境影响报告书》（苏州清泉环保科技有限公司，2019年5月）；</w:t>
      </w:r>
    </w:p>
    <w:p>
      <w:pPr>
        <w:keepNext w:val="0"/>
        <w:keepLines w:val="0"/>
        <w:pageBreakBefore w:val="0"/>
        <w:widowControl w:val="0"/>
        <w:numPr>
          <w:ilvl w:val="0"/>
          <w:numId w:val="3"/>
        </w:numPr>
        <w:kinsoku/>
        <w:wordWrap/>
        <w:overflowPunct/>
        <w:topLinePunct w:val="0"/>
        <w:autoSpaceDE w:val="0"/>
        <w:autoSpaceDN w:val="0"/>
        <w:bidi w:val="0"/>
        <w:adjustRightInd w:val="0"/>
        <w:snapToGrid w:val="0"/>
        <w:spacing w:line="360" w:lineRule="auto"/>
        <w:ind w:left="425" w:leftChars="0" w:hanging="425" w:firstLineChars="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《关于泰柯棕化(张家港)有限公司脂肪酸酯产品结构调整及节能减排技术改造项目环境影响报告书的审批意见》（张家港保税区管理委员会，张保审批[2019]73号，2019年7月3日）。</w:t>
      </w:r>
    </w:p>
    <w:p>
      <w:pPr>
        <w:keepNext w:val="0"/>
        <w:keepLines w:val="0"/>
        <w:pageBreakBefore w:val="0"/>
        <w:widowControl w:val="0"/>
        <w:kinsoku/>
        <w:wordWrap/>
        <w:overflowPunct/>
        <w:topLinePunct w:val="0"/>
        <w:autoSpaceDE w:val="0"/>
        <w:autoSpaceDN w:val="0"/>
        <w:bidi w:val="0"/>
        <w:adjustRightInd w:val="0"/>
        <w:snapToGrid w:val="0"/>
        <w:spacing w:before="0" w:after="0" w:line="336" w:lineRule="auto"/>
        <w:ind w:left="0" w:leftChars="0" w:right="0" w:rightChars="0" w:firstLine="0" w:firstLineChars="0"/>
        <w:jc w:val="left"/>
        <w:textAlignment w:val="auto"/>
        <w:rPr>
          <w:rFonts w:hint="default" w:ascii="Times New Roman" w:hAnsi="Times New Roman" w:eastAsia="宋体" w:cs="Times New Roman"/>
          <w:color w:val="auto"/>
          <w:sz w:val="24"/>
          <w:szCs w:val="24"/>
          <w:lang w:val="en-US" w:eastAsia="zh-CN"/>
        </w:rPr>
        <w:sectPr>
          <w:pgSz w:w="11911" w:h="16838"/>
          <w:pgMar w:top="1463" w:right="1678" w:bottom="1463" w:left="1678" w:header="907" w:footer="884" w:gutter="0"/>
          <w:pgBorders>
            <w:top w:val="none" w:sz="0" w:space="0"/>
            <w:left w:val="none" w:sz="0" w:space="0"/>
            <w:bottom w:val="none" w:sz="0" w:space="0"/>
            <w:right w:val="none" w:sz="0" w:space="0"/>
          </w:pgBorders>
          <w:pgNumType w:fmt="decimal"/>
          <w:cols w:space="0" w:num="1"/>
          <w:rtlGutter w:val="0"/>
          <w:docGrid w:type="lines" w:linePitch="0" w:charSpace="0"/>
        </w:sectPr>
      </w:pPr>
    </w:p>
    <w:p>
      <w:pPr>
        <w:pStyle w:val="3"/>
        <w:keepNext w:val="0"/>
        <w:keepLines w:val="0"/>
        <w:pageBreakBefore w:val="0"/>
        <w:widowControl w:val="0"/>
        <w:kinsoku/>
        <w:wordWrap/>
        <w:overflowPunct/>
        <w:topLinePunct w:val="0"/>
        <w:autoSpaceDE w:val="0"/>
        <w:autoSpaceDN w:val="0"/>
        <w:bidi w:val="0"/>
        <w:spacing w:line="360" w:lineRule="auto"/>
        <w:ind w:left="0" w:leftChars="0" w:firstLine="0" w:firstLineChars="0"/>
        <w:textAlignment w:val="auto"/>
        <w:rPr>
          <w:rFonts w:hint="default" w:ascii="Times New Roman" w:hAnsi="Times New Roman" w:eastAsia="宋体" w:cs="Times New Roman"/>
          <w:color w:val="auto"/>
          <w:sz w:val="28"/>
          <w:szCs w:val="28"/>
          <w:lang w:val="en-US" w:eastAsia="en-US"/>
        </w:rPr>
      </w:pPr>
      <w:bookmarkStart w:id="6" w:name="_Toc15344"/>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sz w:val="28"/>
          <w:szCs w:val="28"/>
          <w:lang w:val="en-US" w:eastAsia="zh-CN"/>
        </w:rPr>
        <w:t>、</w:t>
      </w:r>
      <w:r>
        <w:rPr>
          <w:rFonts w:hint="default" w:ascii="Times New Roman" w:hAnsi="Times New Roman" w:eastAsia="宋体" w:cs="Times New Roman"/>
          <w:color w:val="auto"/>
          <w:sz w:val="28"/>
          <w:szCs w:val="28"/>
          <w:lang w:val="en-US" w:eastAsia="en-US"/>
        </w:rPr>
        <w:t>工程建设情况</w:t>
      </w:r>
      <w:bookmarkEnd w:id="5"/>
      <w:bookmarkEnd w:id="6"/>
    </w:p>
    <w:p>
      <w:pPr>
        <w:pStyle w:val="4"/>
        <w:keepNext w:val="0"/>
        <w:keepLines w:val="0"/>
        <w:pageBreakBefore w:val="0"/>
        <w:widowControl w:val="0"/>
        <w:kinsoku/>
        <w:wordWrap/>
        <w:overflowPunct/>
        <w:topLinePunct w:val="0"/>
        <w:autoSpaceDE w:val="0"/>
        <w:autoSpaceDN w:val="0"/>
        <w:bidi w:val="0"/>
        <w:snapToGrid/>
        <w:spacing w:line="360" w:lineRule="auto"/>
        <w:ind w:left="0" w:leftChars="0" w:firstLine="0" w:firstLineChars="0"/>
        <w:textAlignment w:val="auto"/>
        <w:rPr>
          <w:rFonts w:hint="default" w:ascii="Times New Roman" w:hAnsi="Times New Roman" w:eastAsia="宋体" w:cs="Times New Roman"/>
          <w:b/>
          <w:color w:val="auto"/>
          <w:sz w:val="28"/>
          <w:szCs w:val="28"/>
        </w:rPr>
      </w:pPr>
      <w:bookmarkStart w:id="7" w:name="_Toc25834"/>
      <w:bookmarkStart w:id="8" w:name="_Toc23008"/>
      <w:r>
        <w:rPr>
          <w:rFonts w:hint="default" w:ascii="Times New Roman" w:hAnsi="Times New Roman" w:eastAsia="宋体" w:cs="Times New Roman"/>
          <w:b/>
          <w:color w:val="auto"/>
          <w:sz w:val="28"/>
          <w:szCs w:val="28"/>
          <w:lang w:val="en-US" w:eastAsia="zh-CN"/>
        </w:rPr>
        <w:t xml:space="preserve">3.1 </w:t>
      </w:r>
      <w:r>
        <w:rPr>
          <w:rFonts w:hint="default" w:ascii="Times New Roman" w:hAnsi="Times New Roman" w:eastAsia="宋体" w:cs="Times New Roman"/>
          <w:b/>
          <w:color w:val="auto"/>
          <w:sz w:val="28"/>
          <w:szCs w:val="28"/>
        </w:rPr>
        <w:t>地理位置及平面布置</w:t>
      </w:r>
      <w:bookmarkEnd w:id="7"/>
      <w:bookmarkEnd w:id="8"/>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地理位置：本项目位于江苏省扬子江国际化学工业园</w:t>
      </w:r>
      <w:r>
        <w:rPr>
          <w:rFonts w:hint="eastAsia" w:ascii="Times New Roman" w:hAnsi="Times New Roman" w:cs="Times New Roman"/>
          <w:color w:val="auto"/>
          <w:sz w:val="24"/>
          <w:szCs w:val="24"/>
          <w:lang w:eastAsia="zh-CN"/>
        </w:rPr>
        <w:t>长江中路60号</w:t>
      </w:r>
      <w:r>
        <w:rPr>
          <w:rFonts w:hint="default" w:ascii="Times New Roman" w:hAnsi="Times New Roman" w:eastAsia="宋体" w:cs="Times New Roman"/>
          <w:color w:val="auto"/>
          <w:sz w:val="24"/>
          <w:szCs w:val="24"/>
          <w:lang w:eastAsia="zh-CN"/>
        </w:rPr>
        <w:t>（北纬 31.976346°，东经 120.467567°），地理位置见图</w:t>
      </w:r>
      <w:r>
        <w:rPr>
          <w:rFonts w:hint="default" w:ascii="Times New Roman" w:hAnsi="Times New Roman" w:eastAsia="宋体" w:cs="Times New Roman"/>
          <w:color w:val="auto"/>
          <w:sz w:val="24"/>
          <w:szCs w:val="24"/>
          <w:lang w:val="en-US" w:eastAsia="zh-CN"/>
        </w:rPr>
        <w:t>3.1-1</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项目周围环境情况：</w:t>
      </w:r>
      <w:r>
        <w:rPr>
          <w:rFonts w:hint="default" w:ascii="Times New Roman" w:hAnsi="Times New Roman" w:eastAsia="宋体" w:cs="Times New Roman"/>
          <w:color w:val="auto"/>
          <w:sz w:val="24"/>
          <w:szCs w:val="24"/>
          <w:lang w:eastAsia="zh-CN"/>
        </w:rPr>
        <w:t>本项目位于江苏省扬子江国际化学工业园</w:t>
      </w:r>
      <w:r>
        <w:rPr>
          <w:rFonts w:hint="eastAsia" w:ascii="Times New Roman" w:hAnsi="Times New Roman" w:cs="Times New Roman"/>
          <w:color w:val="auto"/>
          <w:sz w:val="24"/>
          <w:szCs w:val="24"/>
          <w:lang w:eastAsia="zh-CN"/>
        </w:rPr>
        <w:t>长江中路60号</w:t>
      </w:r>
      <w:r>
        <w:rPr>
          <w:rFonts w:hint="default" w:ascii="Times New Roman" w:hAnsi="Times New Roman" w:eastAsia="宋体" w:cs="Times New Roman"/>
          <w:color w:val="auto"/>
          <w:sz w:val="24"/>
          <w:szCs w:val="24"/>
          <w:lang w:eastAsia="zh-CN"/>
        </w:rPr>
        <w:t>（现有厂区内），南侧为东海粮油预留地，东面为陶氏化工，北侧隔南海路为张家港迪爱生化工有限公司；东侧隔长江路为佐敦涂料（张家港）有限公司。项目周围500m范围内无居民等环境敏感点，其厂界周围状况见图</w:t>
      </w:r>
      <w:r>
        <w:rPr>
          <w:rFonts w:hint="default" w:ascii="Times New Roman" w:hAnsi="Times New Roman" w:eastAsia="宋体" w:cs="Times New Roman"/>
          <w:color w:val="auto"/>
          <w:sz w:val="24"/>
          <w:szCs w:val="24"/>
          <w:lang w:val="en-US" w:eastAsia="zh-CN"/>
        </w:rPr>
        <w:t>3.1-2，厂区平面布置图见图3.1-3</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right="0" w:rightChars="0"/>
        <w:jc w:val="center"/>
        <w:textAlignment w:val="auto"/>
        <w:outlineLvl w:val="9"/>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表3-</w:t>
      </w:r>
      <w:r>
        <w:rPr>
          <w:rFonts w:hint="default" w:ascii="Times New Roman" w:hAnsi="Times New Roman" w:eastAsia="宋体" w:cs="Times New Roman"/>
          <w:b/>
          <w:color w:val="auto"/>
          <w:sz w:val="24"/>
          <w:szCs w:val="24"/>
          <w:lang w:val="en-US" w:eastAsia="zh-CN"/>
        </w:rPr>
        <w:t xml:space="preserve">1  </w:t>
      </w:r>
      <w:r>
        <w:rPr>
          <w:rFonts w:hint="default" w:ascii="Times New Roman" w:hAnsi="Times New Roman" w:eastAsia="宋体" w:cs="Times New Roman"/>
          <w:b/>
          <w:color w:val="auto"/>
          <w:sz w:val="24"/>
          <w:szCs w:val="24"/>
        </w:rPr>
        <w:t>建设内容表</w:t>
      </w:r>
    </w:p>
    <w:tbl>
      <w:tblPr>
        <w:tblStyle w:val="23"/>
        <w:tblW w:w="87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348"/>
        <w:gridCol w:w="4570"/>
        <w:gridCol w:w="2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序</w:t>
            </w:r>
            <w:r>
              <w:rPr>
                <w:rFonts w:hint="default" w:ascii="Times New Roman" w:hAnsi="Times New Roman" w:eastAsia="宋体" w:cs="Times New Roman"/>
                <w:b/>
                <w:bCs/>
                <w:color w:val="auto"/>
                <w:sz w:val="21"/>
                <w:szCs w:val="21"/>
                <w:lang w:eastAsia="zh-CN"/>
              </w:rPr>
              <w:t>号</w:t>
            </w:r>
          </w:p>
        </w:tc>
        <w:tc>
          <w:tcPr>
            <w:tcW w:w="134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类型</w:t>
            </w:r>
          </w:p>
        </w:tc>
        <w:tc>
          <w:tcPr>
            <w:tcW w:w="457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环评/审批项目内容</w:t>
            </w:r>
          </w:p>
        </w:tc>
        <w:tc>
          <w:tcPr>
            <w:tcW w:w="219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实际建设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w:t>
            </w:r>
          </w:p>
        </w:tc>
        <w:tc>
          <w:tcPr>
            <w:tcW w:w="134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地理位置</w:t>
            </w:r>
          </w:p>
        </w:tc>
        <w:tc>
          <w:tcPr>
            <w:tcW w:w="457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江苏省扬子江国际化学工业园</w:t>
            </w:r>
            <w:r>
              <w:rPr>
                <w:rFonts w:hint="eastAsia" w:ascii="Times New Roman" w:hAnsi="Times New Roman" w:cs="Times New Roman"/>
                <w:color w:val="auto"/>
                <w:sz w:val="21"/>
                <w:szCs w:val="21"/>
                <w:lang w:eastAsia="zh-CN"/>
              </w:rPr>
              <w:t>长江中路60号</w:t>
            </w:r>
          </w:p>
        </w:tc>
        <w:tc>
          <w:tcPr>
            <w:tcW w:w="219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34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卫生防护距离</w:t>
            </w:r>
          </w:p>
        </w:tc>
        <w:tc>
          <w:tcPr>
            <w:tcW w:w="457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在保留现有卫生防护距离的基础上，增加以改建项目边界起设置100米卫生防护距离</w:t>
            </w:r>
          </w:p>
        </w:tc>
        <w:tc>
          <w:tcPr>
            <w:tcW w:w="219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卫生防护距离内无环境敏感目标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34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投资</w:t>
            </w:r>
          </w:p>
        </w:tc>
        <w:tc>
          <w:tcPr>
            <w:tcW w:w="457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总投资为</w:t>
            </w:r>
            <w:r>
              <w:rPr>
                <w:rFonts w:hint="default" w:ascii="Times New Roman" w:hAnsi="Times New Roman" w:eastAsia="宋体" w:cs="Times New Roman"/>
                <w:color w:val="auto"/>
                <w:sz w:val="21"/>
                <w:szCs w:val="21"/>
                <w:lang w:val="en-US" w:eastAsia="zh-CN"/>
              </w:rPr>
              <w:t>1000</w:t>
            </w:r>
            <w:r>
              <w:rPr>
                <w:rFonts w:hint="default" w:ascii="Times New Roman" w:hAnsi="Times New Roman" w:eastAsia="宋体" w:cs="Times New Roman"/>
                <w:color w:val="auto"/>
                <w:sz w:val="21"/>
                <w:szCs w:val="21"/>
                <w:lang w:eastAsia="zh-CN"/>
              </w:rPr>
              <w:t>万美元，环保投资</w:t>
            </w:r>
            <w:r>
              <w:rPr>
                <w:rFonts w:hint="default" w:ascii="Times New Roman" w:hAnsi="Times New Roman" w:eastAsia="宋体" w:cs="Times New Roman"/>
                <w:color w:val="auto"/>
                <w:sz w:val="21"/>
                <w:szCs w:val="21"/>
                <w:lang w:val="en-US" w:eastAsia="zh-CN"/>
              </w:rPr>
              <w:t>200</w:t>
            </w:r>
            <w:r>
              <w:rPr>
                <w:rFonts w:hint="default" w:ascii="Times New Roman" w:hAnsi="Times New Roman" w:eastAsia="宋体" w:cs="Times New Roman"/>
                <w:color w:val="auto"/>
                <w:sz w:val="21"/>
                <w:szCs w:val="21"/>
                <w:lang w:eastAsia="zh-CN"/>
              </w:rPr>
              <w:t>万元，环保投资越占总投资的</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eastAsia="zh-CN"/>
              </w:rPr>
              <w:t>%</w:t>
            </w:r>
          </w:p>
        </w:tc>
        <w:tc>
          <w:tcPr>
            <w:tcW w:w="219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实际总投资为</w:t>
            </w:r>
            <w:r>
              <w:rPr>
                <w:rFonts w:hint="default" w:ascii="Times New Roman" w:hAnsi="Times New Roman" w:eastAsia="宋体" w:cs="Times New Roman"/>
                <w:color w:val="auto"/>
                <w:sz w:val="21"/>
                <w:szCs w:val="21"/>
                <w:lang w:val="en-US" w:eastAsia="zh-CN"/>
              </w:rPr>
              <w:t>700</w:t>
            </w:r>
            <w:r>
              <w:rPr>
                <w:rFonts w:hint="default" w:ascii="Times New Roman" w:hAnsi="Times New Roman" w:eastAsia="宋体" w:cs="Times New Roman"/>
                <w:color w:val="auto"/>
                <w:sz w:val="21"/>
                <w:szCs w:val="21"/>
                <w:lang w:eastAsia="zh-CN"/>
              </w:rPr>
              <w:t>万美元，环保投资</w:t>
            </w:r>
            <w:r>
              <w:rPr>
                <w:rFonts w:hint="default" w:ascii="Times New Roman" w:hAnsi="Times New Roman" w:eastAsia="宋体" w:cs="Times New Roman"/>
                <w:color w:val="auto"/>
                <w:sz w:val="21"/>
                <w:szCs w:val="21"/>
                <w:lang w:val="en-US" w:eastAsia="zh-CN"/>
              </w:rPr>
              <w:t>140</w:t>
            </w:r>
            <w:r>
              <w:rPr>
                <w:rFonts w:hint="default" w:ascii="Times New Roman" w:hAnsi="Times New Roman" w:eastAsia="宋体" w:cs="Times New Roman"/>
                <w:color w:val="auto"/>
                <w:sz w:val="21"/>
                <w:szCs w:val="21"/>
                <w:lang w:eastAsia="zh-CN"/>
              </w:rPr>
              <w:t>万元，环保投资越占总投资的</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34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定员与生产制度</w:t>
            </w:r>
          </w:p>
        </w:tc>
        <w:tc>
          <w:tcPr>
            <w:tcW w:w="457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本项目计划定员15人，在厂内停产项目配员中调剂，不新增招聘员工；生产装置每天运行24小时，年工作300天，年生产7200小时</w:t>
            </w:r>
          </w:p>
        </w:tc>
        <w:tc>
          <w:tcPr>
            <w:tcW w:w="219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34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占地面积</w:t>
            </w:r>
          </w:p>
        </w:tc>
        <w:tc>
          <w:tcPr>
            <w:tcW w:w="457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本项目不新增用地，在现有厂区内改建</w:t>
            </w:r>
          </w:p>
        </w:tc>
        <w:tc>
          <w:tcPr>
            <w:tcW w:w="219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同环评</w:t>
            </w:r>
          </w:p>
        </w:tc>
      </w:tr>
    </w:tbl>
    <w:p>
      <w:pPr>
        <w:rPr>
          <w:rFonts w:hint="default" w:ascii="Times New Roman" w:hAnsi="Times New Roman" w:eastAsia="宋体" w:cs="Times New Roman"/>
          <w:b/>
          <w:color w:val="auto"/>
          <w:sz w:val="24"/>
          <w:szCs w:val="24"/>
          <w:lang w:val="en-US" w:eastAsia="zh-CN"/>
        </w:rPr>
        <w:sectPr>
          <w:pgSz w:w="11911" w:h="16838"/>
          <w:pgMar w:top="1463" w:right="1678" w:bottom="1463" w:left="1678" w:header="907" w:footer="884" w:gutter="0"/>
          <w:pgBorders>
            <w:top w:val="none" w:sz="0" w:space="0"/>
            <w:left w:val="none" w:sz="0" w:space="0"/>
            <w:bottom w:val="none" w:sz="0" w:space="0"/>
            <w:right w:val="none" w:sz="0" w:space="0"/>
          </w:pgBorders>
          <w:pgNumType w:fmt="decimal"/>
          <w:cols w:space="0" w:num="1"/>
          <w:rtlGutter w:val="0"/>
          <w:docGrid w:type="lines" w:linePitch="0" w:charSpace="0"/>
        </w:sectPr>
      </w:pPr>
    </w:p>
    <w:tbl>
      <w:tblPr>
        <w:tblStyle w:val="24"/>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28" w:type="dxa"/>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0"/>
                <w:sz w:val="28"/>
                <w:szCs w:val="28"/>
              </w:rPr>
              <mc:AlternateContent>
                <mc:Choice Requires="wps">
                  <w:drawing>
                    <wp:anchor distT="0" distB="0" distL="114300" distR="114300" simplePos="0" relativeHeight="251662336" behindDoc="0" locked="0" layoutInCell="1" allowOverlap="1">
                      <wp:simplePos x="0" y="0"/>
                      <wp:positionH relativeFrom="column">
                        <wp:posOffset>3143885</wp:posOffset>
                      </wp:positionH>
                      <wp:positionV relativeFrom="paragraph">
                        <wp:posOffset>1229995</wp:posOffset>
                      </wp:positionV>
                      <wp:extent cx="1028700" cy="297180"/>
                      <wp:effectExtent l="4445" t="4445" r="929005" b="860425"/>
                      <wp:wrapNone/>
                      <wp:docPr id="6476" name="AutoShape 6284"/>
                      <wp:cNvGraphicFramePr/>
                      <a:graphic xmlns:a="http://schemas.openxmlformats.org/drawingml/2006/main">
                        <a:graphicData uri="http://schemas.microsoft.com/office/word/2010/wordprocessingShape">
                          <wps:wsp>
                            <wps:cNvSpPr>
                              <a:spLocks noChangeArrowheads="1"/>
                            </wps:cNvSpPr>
                            <wps:spPr bwMode="auto">
                              <a:xfrm>
                                <a:off x="0" y="0"/>
                                <a:ext cx="1028700" cy="297180"/>
                              </a:xfrm>
                              <a:prstGeom prst="wedgeRoundRectCallout">
                                <a:avLst>
                                  <a:gd name="adj1" fmla="val 135308"/>
                                  <a:gd name="adj2" fmla="val 331196"/>
                                  <a:gd name="adj3" fmla="val 16667"/>
                                </a:avLst>
                              </a:prstGeom>
                              <a:solidFill>
                                <a:srgbClr val="FFFF00">
                                  <a:alpha val="60001"/>
                                </a:srgbClr>
                              </a:solidFill>
                              <a:ln w="3175">
                                <a:solidFill>
                                  <a:srgbClr val="000000"/>
                                </a:solidFill>
                                <a:miter lim="800000"/>
                              </a:ln>
                            </wps:spPr>
                            <wps:txbx>
                              <w:txbxContent>
                                <w:p>
                                  <w:pPr>
                                    <w:snapToGrid w:val="0"/>
                                    <w:spacing w:line="240" w:lineRule="exact"/>
                                    <w:rPr>
                                      <w:b/>
                                      <w:sz w:val="21"/>
                                      <w:szCs w:val="21"/>
                                    </w:rPr>
                                  </w:pPr>
                                  <w:r>
                                    <w:rPr>
                                      <w:rFonts w:hint="eastAsia"/>
                                      <w:b/>
                                      <w:sz w:val="21"/>
                                      <w:szCs w:val="21"/>
                                    </w:rPr>
                                    <w:t>项目所在地</w:t>
                                  </w:r>
                                </w:p>
                              </w:txbxContent>
                            </wps:txbx>
                            <wps:bodyPr rot="0" vert="horz" wrap="square" lIns="91440" tIns="45720" rIns="91440" bIns="45720" anchor="t" anchorCtr="0" upright="1">
                              <a:noAutofit/>
                            </wps:bodyPr>
                          </wps:wsp>
                        </a:graphicData>
                      </a:graphic>
                    </wp:anchor>
                  </w:drawing>
                </mc:Choice>
                <mc:Fallback>
                  <w:pict>
                    <v:shape id="AutoShape 6284" o:spid="_x0000_s1026" o:spt="62" type="#_x0000_t62" style="position:absolute;left:0pt;margin-left:247.55pt;margin-top:96.85pt;height:23.4pt;width:81pt;z-index:251662336;mso-width-relative:page;mso-height-relative:page;" fillcolor="#FFFF00" filled="t" stroked="t" coordsize="21600,21600" o:gfxdata="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PdsY6vdAAAACwEAAA8AAAAA&#10;AAAAAQAgAAAAIgAAAGRycy9kb3ducmV2LnhtbFBLAQIUABQAAAAIAIdO4kCh+J5AgQIAACwFAAAO&#10;AAAAAAAAAAEAIAAAACwBAABkcnMvZTJvRG9jLnhtbFBLBQYAAAAABgAGAFkBAAAfBgAAAAA=&#10;" adj="40027,82338,14400">
                      <v:fill on="t" opacity="39322f" focussize="0,0"/>
                      <v:stroke weight="0.25pt" color="#000000" miterlimit="8" joinstyle="miter"/>
                      <v:imagedata o:title=""/>
                      <o:lock v:ext="edit" aspectratio="f"/>
                      <v:textbox>
                        <w:txbxContent>
                          <w:p>
                            <w:pPr>
                              <w:snapToGrid w:val="0"/>
                              <w:spacing w:line="240" w:lineRule="exact"/>
                              <w:rPr>
                                <w:b/>
                                <w:sz w:val="21"/>
                                <w:szCs w:val="21"/>
                              </w:rPr>
                            </w:pPr>
                            <w:r>
                              <w:rPr>
                                <w:rFonts w:hint="eastAsia"/>
                                <w:b/>
                                <w:sz w:val="21"/>
                                <w:szCs w:val="21"/>
                              </w:rPr>
                              <w:t>项目所在地</w:t>
                            </w:r>
                          </w:p>
                        </w:txbxContent>
                      </v:textbox>
                    </v:shape>
                  </w:pict>
                </mc:Fallback>
              </mc:AlternateContent>
            </w:r>
            <w:r>
              <w:rPr>
                <w:rFonts w:hint="default" w:ascii="Times New Roman" w:hAnsi="Times New Roman" w:eastAsia="宋体" w:cs="Times New Roman"/>
                <w:color w:val="auto"/>
                <w:kern w:val="0"/>
                <w:sz w:val="28"/>
                <w:szCs w:val="28"/>
              </w:rPr>
              <mc:AlternateContent>
                <mc:Choice Requires="wps">
                  <w:drawing>
                    <wp:anchor distT="0" distB="0" distL="114300" distR="114300" simplePos="0" relativeHeight="251663360" behindDoc="0" locked="0" layoutInCell="1" allowOverlap="1">
                      <wp:simplePos x="0" y="0"/>
                      <wp:positionH relativeFrom="column">
                        <wp:posOffset>4998720</wp:posOffset>
                      </wp:positionH>
                      <wp:positionV relativeFrom="paragraph">
                        <wp:posOffset>2274570</wp:posOffset>
                      </wp:positionV>
                      <wp:extent cx="144145" cy="136525"/>
                      <wp:effectExtent l="24765" t="25400" r="40640" b="28575"/>
                      <wp:wrapNone/>
                      <wp:docPr id="6482" name="AutoShape 6283"/>
                      <wp:cNvGraphicFramePr/>
                      <a:graphic xmlns:a="http://schemas.openxmlformats.org/drawingml/2006/main">
                        <a:graphicData uri="http://schemas.microsoft.com/office/word/2010/wordprocessingShape">
                          <wps:wsp>
                            <wps:cNvSpPr>
                              <a:spLocks noChangeArrowheads="1"/>
                            </wps:cNvSpPr>
                            <wps:spPr bwMode="auto">
                              <a:xfrm>
                                <a:off x="0" y="0"/>
                                <a:ext cx="144145" cy="136525"/>
                              </a:xfrm>
                              <a:prstGeom prst="star5">
                                <a:avLst/>
                              </a:prstGeom>
                              <a:solidFill>
                                <a:srgbClr val="FF0000"/>
                              </a:solidFill>
                              <a:ln w="15875">
                                <a:solidFill>
                                  <a:srgbClr val="000000"/>
                                </a:solidFill>
                                <a:miter lim="800000"/>
                                <a:tailEnd type="none" w="sm" len="lg"/>
                              </a:ln>
                            </wps:spPr>
                            <wps:bodyPr rot="0" vert="horz" wrap="square" lIns="91440" tIns="45720" rIns="91440" bIns="45720" anchor="t" anchorCtr="0" upright="1">
                              <a:noAutofit/>
                            </wps:bodyPr>
                          </wps:wsp>
                        </a:graphicData>
                      </a:graphic>
                    </wp:anchor>
                  </w:drawing>
                </mc:Choice>
                <mc:Fallback>
                  <w:pict>
                    <v:shape id="AutoShape 6283" o:spid="_x0000_s1026" style="position:absolute;left:0pt;margin-left:393.6pt;margin-top:179.1pt;height:10.75pt;width:11.35pt;z-index:251663360;mso-width-relative:page;mso-height-relative:page;" fillcolor="#FF0000" filled="t" stroked="t" coordsize="144145,136525" o:gfxdata="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5wEGi2QAAAAsBAAAPAAAAAAAAAAEAIAAA&#10;ACIAAABkcnMvZG93bnJldi54bWxQSwECFAAUAAAACACHTuJAl9/ho0QCAAChBAAADgAAAAAAAAAB&#10;ACAAAAAoAQAAZHJzL2Uyb0RvYy54bWxQSwUGAAAAAAYABgBZAQAA3gUAAAAA&#10;" path="m0,52147l55058,52148,72072,0,89086,52148,144144,52147,99601,84376,116615,136524,72072,104295,27529,136524,44543,84376xe">
                      <v:path o:connectlocs="72072,0;0,52147;27529,136524;116615,136524;144144,52147" o:connectangles="247,164,82,82,0"/>
                      <v:fill on="t" focussize="0,0"/>
                      <v:stroke weight="1.25pt" color="#000000" miterlimit="8" joinstyle="miter" endarrowwidth="narrow" endarrowlength="long"/>
                      <v:imagedata o:title=""/>
                      <o:lock v:ext="edit" aspectratio="f"/>
                    </v:shape>
                  </w:pict>
                </mc:Fallback>
              </mc:AlternateContent>
            </w:r>
            <w:r>
              <w:rPr>
                <w:rFonts w:hint="default" w:ascii="Times New Roman" w:hAnsi="Times New Roman" w:eastAsia="宋体" w:cs="Times New Roman"/>
                <w:color w:val="auto"/>
                <w:kern w:val="0"/>
                <w:sz w:val="28"/>
                <w:szCs w:val="28"/>
              </w:rPr>
              <mc:AlternateContent>
                <mc:Choice Requires="wpg">
                  <w:drawing>
                    <wp:anchor distT="0" distB="0" distL="114300" distR="114300" simplePos="0" relativeHeight="251665408" behindDoc="0" locked="0" layoutInCell="1" allowOverlap="1">
                      <wp:simplePos x="0" y="0"/>
                      <wp:positionH relativeFrom="column">
                        <wp:posOffset>7245350</wp:posOffset>
                      </wp:positionH>
                      <wp:positionV relativeFrom="paragraph">
                        <wp:posOffset>4302760</wp:posOffset>
                      </wp:positionV>
                      <wp:extent cx="1943735" cy="478790"/>
                      <wp:effectExtent l="0" t="0" r="0" b="22860"/>
                      <wp:wrapNone/>
                      <wp:docPr id="7234" name="组合 7234"/>
                      <wp:cNvGraphicFramePr/>
                      <a:graphic xmlns:a="http://schemas.openxmlformats.org/drawingml/2006/main">
                        <a:graphicData uri="http://schemas.microsoft.com/office/word/2010/wordprocessingGroup">
                          <wpg:wgp>
                            <wpg:cNvGrpSpPr/>
                            <wpg:grpSpPr>
                              <a:xfrm>
                                <a:off x="0" y="0"/>
                                <a:ext cx="1943735" cy="478790"/>
                                <a:chOff x="1887" y="2438"/>
                                <a:chExt cx="1875" cy="749"/>
                              </a:xfrm>
                            </wpg:grpSpPr>
                            <wps:wsp>
                              <wps:cNvPr id="7235" name="矩形 1863"/>
                              <wps:cNvSpPr>
                                <a:spLocks noChangeArrowheads="1"/>
                              </wps:cNvSpPr>
                              <wps:spPr bwMode="auto">
                                <a:xfrm>
                                  <a:off x="1993" y="3074"/>
                                  <a:ext cx="510" cy="102"/>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7238" name="矩形 1864"/>
                              <wps:cNvSpPr>
                                <a:spLocks noChangeArrowheads="1"/>
                              </wps:cNvSpPr>
                              <wps:spPr bwMode="auto">
                                <a:xfrm>
                                  <a:off x="2504" y="3078"/>
                                  <a:ext cx="510" cy="109"/>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7239" name="矩形 1865"/>
                              <wps:cNvSpPr>
                                <a:spLocks noChangeArrowheads="1"/>
                              </wps:cNvSpPr>
                              <wps:spPr bwMode="auto">
                                <a:xfrm>
                                  <a:off x="1887" y="2438"/>
                                  <a:ext cx="1875" cy="624"/>
                                </a:xfrm>
                                <a:prstGeom prst="rect">
                                  <a:avLst/>
                                </a:prstGeom>
                                <a:noFill/>
                                <a:ln>
                                  <a:noFill/>
                                </a:ln>
                              </wps:spPr>
                              <wps:txbx>
                                <w:txbxContent>
                                  <w:p>
                                    <w:pPr>
                                      <w:rPr>
                                        <w:b/>
                                        <w:sz w:val="18"/>
                                        <w:szCs w:val="18"/>
                                      </w:rPr>
                                    </w:pPr>
                                    <w:r>
                                      <w:rPr>
                                        <w:rFonts w:hint="eastAsia"/>
                                        <w:b/>
                                        <w:sz w:val="18"/>
                                        <w:szCs w:val="18"/>
                                      </w:rPr>
                                      <w:t>0      1000     2000m</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570.5pt;margin-top:338.8pt;height:37.7pt;width:153.05pt;z-index:251665408;mso-width-relative:page;mso-height-relative:page;" coordorigin="1887,2438" coordsize="1875,749" o:gfxdata="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">
                      <o:lock v:ext="edit" aspectratio="f"/>
                      <v:rect id="矩形 1863" o:spid="_x0000_s1026" o:spt="1" style="position:absolute;left:1993;top:3074;height:102;width:510;" fillcolor="#000000" filled="t" stroked="t" coordsize="21600,21600" o:gfxdata="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H4yG/&#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rect>
                      <v:rect id="矩形 1864" o:spid="_x0000_s1026" o:spt="1" style="position:absolute;left:2504;top:3078;height:109;width:510;" fillcolor="#FFFFFF" filled="t" stroked="t" coordsize="21600,21600" o:gfxdata="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WnOF7sAAADd&#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rect id="矩形 1865" o:spid="_x0000_s1026" o:spt="1" style="position:absolute;left:1887;top:2438;height:624;width:1875;" filled="f" stroked="f" coordsize="21600,21600" o:gfxdata="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KILP&#10;wAAAAN0AAAAPAAAAAAAAAAEAIAAAACIAAABkcnMvZG93bnJldi54bWxQSwECFAAUAAAACACHTuJA&#10;My8FnjsAAAA5AAAAEAAAAAAAAAABACAAAAAPAQAAZHJzL3NoYXBleG1sLnhtbFBLBQYAAAAABgAG&#10;AFsBAAC5AwAAAAA=&#10;">
                        <v:fill on="f" focussize="0,0"/>
                        <v:stroke on="f"/>
                        <v:imagedata o:title=""/>
                        <o:lock v:ext="edit" aspectratio="f"/>
                        <v:textbox>
                          <w:txbxContent>
                            <w:p>
                              <w:pPr>
                                <w:rPr>
                                  <w:b/>
                                  <w:sz w:val="18"/>
                                  <w:szCs w:val="18"/>
                                </w:rPr>
                              </w:pPr>
                              <w:r>
                                <w:rPr>
                                  <w:rFonts w:hint="eastAsia"/>
                                  <w:b/>
                                  <w:sz w:val="18"/>
                                  <w:szCs w:val="18"/>
                                </w:rPr>
                                <w:t>0      1000     2000m</w:t>
                              </w:r>
                            </w:p>
                          </w:txbxContent>
                        </v:textbox>
                      </v:rect>
                    </v:group>
                  </w:pict>
                </mc:Fallback>
              </mc:AlternateContent>
            </w:r>
            <w:r>
              <w:rPr>
                <w:rFonts w:hint="default" w:ascii="Times New Roman" w:hAnsi="Times New Roman" w:eastAsia="宋体" w:cs="Times New Roman"/>
                <w:color w:val="auto"/>
              </w:rPr>
              <w:drawing>
                <wp:inline distT="0" distB="0" distL="0" distR="0">
                  <wp:extent cx="8578850" cy="4863465"/>
                  <wp:effectExtent l="0" t="0" r="12700" b="133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2"/>
                          <a:srcRect l="8472" t="8889" r="13917" b="8149"/>
                          <a:stretch>
                            <a:fillRect/>
                          </a:stretch>
                        </pic:blipFill>
                        <pic:spPr>
                          <a:xfrm>
                            <a:off x="0" y="0"/>
                            <a:ext cx="8582350" cy="4863465"/>
                          </a:xfrm>
                          <a:prstGeom prst="rect">
                            <a:avLst/>
                          </a:prstGeom>
                          <a:ln>
                            <a:noFill/>
                          </a:ln>
                        </pic:spPr>
                      </pic:pic>
                    </a:graphicData>
                  </a:graphic>
                </wp:inline>
              </w:drawing>
            </w:r>
            <w:r>
              <w:rPr>
                <w:rFonts w:hint="default" w:ascii="Times New Roman" w:hAnsi="Times New Roman" w:eastAsia="宋体" w:cs="Times New Roman"/>
                <w:color w:val="auto"/>
                <w:kern w:val="0"/>
                <w:sz w:val="28"/>
                <w:szCs w:val="28"/>
              </w:rPr>
              <w:drawing>
                <wp:anchor distT="0" distB="0" distL="114300" distR="114300" simplePos="0" relativeHeight="251664384" behindDoc="0" locked="0" layoutInCell="1" allowOverlap="1">
                  <wp:simplePos x="0" y="0"/>
                  <wp:positionH relativeFrom="column">
                    <wp:posOffset>8037830</wp:posOffset>
                  </wp:positionH>
                  <wp:positionV relativeFrom="paragraph">
                    <wp:posOffset>5080</wp:posOffset>
                  </wp:positionV>
                  <wp:extent cx="662305" cy="761365"/>
                  <wp:effectExtent l="0" t="0" r="4445" b="635"/>
                  <wp:wrapNone/>
                  <wp:docPr id="6924" name="图片 6924" descr="张家港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4" name="图片 6924" descr="张家港风玫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62305" cy="761365"/>
                          </a:xfrm>
                          <a:prstGeom prst="rect">
                            <a:avLst/>
                          </a:prstGeom>
                          <a:noFill/>
                          <a:ln>
                            <a:noFill/>
                          </a:ln>
                        </pic:spPr>
                      </pic:pic>
                    </a:graphicData>
                  </a:graphic>
                </wp:anchor>
              </w:drawing>
            </w:r>
          </w:p>
          <w:p>
            <w:pPr>
              <w:pStyle w:val="2"/>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sz w:val="24"/>
                <w:szCs w:val="24"/>
                <w:lang w:eastAsia="zh-CN"/>
              </w:rPr>
              <w:t>图</w:t>
            </w:r>
            <w:r>
              <w:rPr>
                <w:rFonts w:hint="default" w:ascii="Times New Roman" w:hAnsi="Times New Roman" w:eastAsia="宋体" w:cs="Times New Roman"/>
                <w:b/>
                <w:bCs/>
                <w:color w:val="auto"/>
                <w:sz w:val="24"/>
                <w:szCs w:val="24"/>
                <w:lang w:val="en-US" w:eastAsia="zh-CN"/>
              </w:rPr>
              <w:t xml:space="preserve">3.1-1  </w:t>
            </w:r>
            <w:r>
              <w:rPr>
                <w:rFonts w:hint="default" w:ascii="Times New Roman" w:hAnsi="Times New Roman" w:eastAsia="宋体" w:cs="Times New Roman"/>
                <w:b/>
                <w:bCs/>
                <w:color w:val="auto"/>
                <w:sz w:val="24"/>
                <w:szCs w:val="24"/>
                <w:lang w:eastAsia="zh-CN"/>
              </w:rPr>
              <w:t>地理位置图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28" w:type="dxa"/>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drawing>
                <wp:inline distT="0" distB="0" distL="0" distR="0">
                  <wp:extent cx="6148070" cy="4929505"/>
                  <wp:effectExtent l="0" t="0" r="5080" b="4445"/>
                  <wp:docPr id="2972" name="图片 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 name="图片 2972"/>
                          <pic:cNvPicPr>
                            <a:picLocks noChangeAspect="1" noChangeArrowheads="1"/>
                          </pic:cNvPicPr>
                        </pic:nvPicPr>
                        <pic:blipFill>
                          <a:blip r:embed="rId14" cstate="print">
                            <a:extLst>
                              <a:ext uri="{28A0092B-C50C-407E-A947-70E740481C1C}">
                                <a14:useLocalDpi xmlns:a14="http://schemas.microsoft.com/office/drawing/2010/main" val="0"/>
                              </a:ext>
                            </a:extLst>
                          </a:blip>
                          <a:srcRect l="49837" t="33502" r="22324" b="14369"/>
                          <a:stretch>
                            <a:fillRect/>
                          </a:stretch>
                        </pic:blipFill>
                        <pic:spPr>
                          <a:xfrm>
                            <a:off x="0" y="0"/>
                            <a:ext cx="6158661" cy="4929505"/>
                          </a:xfrm>
                          <a:prstGeom prst="rect">
                            <a:avLst/>
                          </a:prstGeom>
                          <a:noFill/>
                          <a:ln>
                            <a:noFill/>
                          </a:ln>
                        </pic:spPr>
                      </pic:pic>
                    </a:graphicData>
                  </a:graphic>
                </wp:inline>
              </w:drawing>
            </w:r>
          </w:p>
          <w:p>
            <w:pPr>
              <w:pStyle w:val="2"/>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sz w:val="24"/>
                <w:szCs w:val="24"/>
                <w:lang w:eastAsia="zh-CN"/>
              </w:rPr>
              <w:t>图</w:t>
            </w:r>
            <w:r>
              <w:rPr>
                <w:rFonts w:hint="default" w:ascii="Times New Roman" w:hAnsi="Times New Roman" w:eastAsia="宋体" w:cs="Times New Roman"/>
                <w:b/>
                <w:bCs/>
                <w:color w:val="auto"/>
                <w:sz w:val="24"/>
                <w:szCs w:val="24"/>
                <w:lang w:val="en-US" w:eastAsia="zh-CN"/>
              </w:rPr>
              <w:t xml:space="preserve">3.1-2  </w:t>
            </w:r>
            <w:r>
              <w:rPr>
                <w:rFonts w:hint="default" w:ascii="Times New Roman" w:hAnsi="Times New Roman" w:eastAsia="宋体" w:cs="Times New Roman"/>
                <w:b/>
                <w:bCs/>
                <w:color w:val="auto"/>
                <w:sz w:val="24"/>
                <w:szCs w:val="24"/>
                <w:lang w:eastAsia="zh-CN"/>
              </w:rPr>
              <w:t>厂界周围状况图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28" w:type="dxa"/>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rPr>
              <mc:AlternateContent>
                <mc:Choice Requires="wps">
                  <w:drawing>
                    <wp:anchor distT="0" distB="0" distL="114300" distR="114300" simplePos="0" relativeHeight="251667456" behindDoc="0" locked="0" layoutInCell="1" allowOverlap="1">
                      <wp:simplePos x="0" y="0"/>
                      <wp:positionH relativeFrom="column">
                        <wp:posOffset>1997075</wp:posOffset>
                      </wp:positionH>
                      <wp:positionV relativeFrom="paragraph">
                        <wp:posOffset>1049020</wp:posOffset>
                      </wp:positionV>
                      <wp:extent cx="914400" cy="914400"/>
                      <wp:effectExtent l="0" t="0" r="0" b="0"/>
                      <wp:wrapNone/>
                      <wp:docPr id="10" name="文本框 10"/>
                      <wp:cNvGraphicFramePr/>
                      <a:graphic xmlns:a="http://schemas.openxmlformats.org/drawingml/2006/main">
                        <a:graphicData uri="http://schemas.microsoft.com/office/word/2010/wordprocessingShape">
                          <wps:wsp>
                            <wps:cNvSpPr txBox="1"/>
                            <wps:spPr>
                              <a:xfrm>
                                <a:off x="3168650" y="2270760"/>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color w:val="FF0000"/>
                                      <w:sz w:val="18"/>
                                      <w:szCs w:val="18"/>
                                      <w:lang w:eastAsia="zh-CN"/>
                                    </w:rPr>
                                  </w:pPr>
                                  <w:r>
                                    <w:rPr>
                                      <w:rFonts w:hint="eastAsia"/>
                                      <w:color w:val="FF0000"/>
                                      <w:sz w:val="18"/>
                                      <w:szCs w:val="18"/>
                                      <w:lang w:eastAsia="zh-CN"/>
                                    </w:rPr>
                                    <w:t>不再建设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5pt;margin-top:82.6pt;height:72pt;width:72pt;z-index:251667456;mso-width-relative:page;mso-height-relative:page;" filled="f" stroked="f" coordsize="21600,21600" o:gfxdata="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z9H3O2wAAAAsBAAAPAAAAAAAAAAEAIAAAACIA&#10;AABkcnMvZG93bnJldi54bWxQSwECFAAUAAAACACHTuJADHa2Jj8CAABzBAAADgAAAAAAAAABACAA&#10;AAAqAQAAZHJzL2Uyb0RvYy54bWxQSwUGAAAAAAYABgBZAQAA2wUAAAAA&#10;">
                      <v:fill on="f" focussize="0,0"/>
                      <v:stroke on="f" weight="0.5pt"/>
                      <v:imagedata o:title=""/>
                      <o:lock v:ext="edit" aspectratio="f"/>
                      <v:textbox>
                        <w:txbxContent>
                          <w:p>
                            <w:pPr>
                              <w:rPr>
                                <w:rFonts w:hint="eastAsia" w:eastAsia="宋体"/>
                                <w:color w:val="FF0000"/>
                                <w:sz w:val="18"/>
                                <w:szCs w:val="18"/>
                                <w:lang w:eastAsia="zh-CN"/>
                              </w:rPr>
                            </w:pPr>
                            <w:r>
                              <w:rPr>
                                <w:rFonts w:hint="eastAsia"/>
                                <w:color w:val="FF0000"/>
                                <w:sz w:val="18"/>
                                <w:szCs w:val="18"/>
                                <w:lang w:eastAsia="zh-CN"/>
                              </w:rPr>
                              <w:t>不再建设</w:t>
                            </w: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66432" behindDoc="0" locked="0" layoutInCell="1" allowOverlap="1">
                      <wp:simplePos x="0" y="0"/>
                      <wp:positionH relativeFrom="column">
                        <wp:posOffset>2543175</wp:posOffset>
                      </wp:positionH>
                      <wp:positionV relativeFrom="paragraph">
                        <wp:posOffset>1073150</wp:posOffset>
                      </wp:positionV>
                      <wp:extent cx="657860" cy="209550"/>
                      <wp:effectExtent l="9525" t="9525" r="18415" b="9525"/>
                      <wp:wrapNone/>
                      <wp:docPr id="9" name="文本框 9"/>
                      <wp:cNvGraphicFramePr/>
                      <a:graphic xmlns:a="http://schemas.openxmlformats.org/drawingml/2006/main">
                        <a:graphicData uri="http://schemas.microsoft.com/office/word/2010/wordprocessingShape">
                          <wps:wsp>
                            <wps:cNvSpPr txBox="1"/>
                            <wps:spPr>
                              <a:xfrm>
                                <a:off x="3472180" y="2138680"/>
                                <a:ext cx="657860" cy="209550"/>
                              </a:xfrm>
                              <a:prstGeom prst="rect">
                                <a:avLst/>
                              </a:prstGeom>
                              <a:noFill/>
                              <a:ln w="19050">
                                <a:solidFill>
                                  <a:srgbClr val="FF0000"/>
                                </a:solidFill>
                                <a:prstDash val="sysDash"/>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0.25pt;margin-top:84.5pt;height:16.5pt;width:51.8pt;z-index:251666432;mso-width-relative:page;mso-height-relative:page;" filled="f" stroked="t" coordsize="21600,21600" o:gfxdata="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CqV2F9kAAAALAQAADwAAAAAAAAABACAAAAAiAAAAZHJzL2Rvd25yZXYueG1sUEsB&#10;AhQAFAAAAAgAh07iQBOAaVRmAgAAtgQAAA4AAAAAAAAAAQAgAAAAKAEAAGRycy9lMm9Eb2MueG1s&#10;UEsFBgAAAAAGAAYAWQEAAAAGAAAAAA==&#10;">
                      <v:fill on="f" focussize="0,0"/>
                      <v:stroke weight="1.5pt" color="#FF0000 [3204]" joinstyle="round" dashstyle="3 1"/>
                      <v:imagedata o:title=""/>
                      <o:lock v:ext="edit" aspectratio="f"/>
                      <v:textbox>
                        <w:txbxContent>
                          <w:p/>
                        </w:txbxContent>
                      </v:textbox>
                    </v:shape>
                  </w:pict>
                </mc:Fallback>
              </mc:AlternateContent>
            </w:r>
            <w:r>
              <w:rPr>
                <w:rFonts w:hint="default" w:ascii="Times New Roman" w:hAnsi="Times New Roman" w:eastAsia="宋体" w:cs="Times New Roman"/>
                <w:color w:val="auto"/>
              </w:rPr>
              <w:drawing>
                <wp:inline distT="0" distB="0" distL="0" distR="0">
                  <wp:extent cx="8777605" cy="5116830"/>
                  <wp:effectExtent l="0" t="0" r="4445" b="7620"/>
                  <wp:docPr id="2968" name="图片 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8" name="图片 2968"/>
                          <pic:cNvPicPr>
                            <a:picLocks noChangeAspect="1" noChangeArrowheads="1"/>
                          </pic:cNvPicPr>
                        </pic:nvPicPr>
                        <pic:blipFill>
                          <a:blip r:embed="rId15" cstate="print">
                            <a:extLst>
                              <a:ext uri="{28A0092B-C50C-407E-A947-70E740481C1C}">
                                <a14:useLocalDpi xmlns:a14="http://schemas.microsoft.com/office/drawing/2010/main" val="0"/>
                              </a:ext>
                            </a:extLst>
                          </a:blip>
                          <a:srcRect l="22901" t="35626" r="46142" b="11692"/>
                          <a:stretch>
                            <a:fillRect/>
                          </a:stretch>
                        </pic:blipFill>
                        <pic:spPr>
                          <a:xfrm>
                            <a:off x="0" y="0"/>
                            <a:ext cx="8777605" cy="5116830"/>
                          </a:xfrm>
                          <a:prstGeom prst="rect">
                            <a:avLst/>
                          </a:prstGeom>
                          <a:noFill/>
                          <a:ln>
                            <a:noFill/>
                          </a:ln>
                        </pic:spPr>
                      </pic:pic>
                    </a:graphicData>
                  </a:graphic>
                </wp:inline>
              </w:drawing>
            </w:r>
          </w:p>
          <w:p>
            <w:pPr>
              <w:pStyle w:val="2"/>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sz w:val="24"/>
                <w:szCs w:val="24"/>
                <w:lang w:eastAsia="zh-CN"/>
              </w:rPr>
              <w:t>图</w:t>
            </w:r>
            <w:r>
              <w:rPr>
                <w:rFonts w:hint="default" w:ascii="Times New Roman" w:hAnsi="Times New Roman" w:eastAsia="宋体" w:cs="Times New Roman"/>
                <w:b/>
                <w:bCs/>
                <w:color w:val="auto"/>
                <w:sz w:val="24"/>
                <w:szCs w:val="24"/>
                <w:lang w:val="en-US" w:eastAsia="zh-CN"/>
              </w:rPr>
              <w:t>3.1-3  项目</w:t>
            </w:r>
            <w:r>
              <w:rPr>
                <w:rFonts w:hint="default" w:ascii="Times New Roman" w:hAnsi="Times New Roman" w:eastAsia="宋体" w:cs="Times New Roman"/>
                <w:b/>
                <w:bCs/>
                <w:color w:val="auto"/>
                <w:sz w:val="24"/>
                <w:szCs w:val="24"/>
                <w:lang w:eastAsia="zh-CN"/>
              </w:rPr>
              <w:t>平面布置图</w:t>
            </w:r>
          </w:p>
        </w:tc>
      </w:tr>
    </w:tbl>
    <w:p>
      <w:pPr>
        <w:rPr>
          <w:rFonts w:hint="default" w:ascii="Times New Roman" w:hAnsi="Times New Roman" w:eastAsia="宋体" w:cs="Times New Roman"/>
          <w:b/>
          <w:color w:val="auto"/>
          <w:sz w:val="24"/>
          <w:szCs w:val="24"/>
          <w:lang w:val="en-US" w:eastAsia="zh-CN"/>
        </w:rPr>
        <w:sectPr>
          <w:pgSz w:w="16838" w:h="11911" w:orient="landscape"/>
          <w:pgMar w:top="1678" w:right="1463" w:bottom="1678" w:left="1463" w:header="907" w:footer="884" w:gutter="0"/>
          <w:pgBorders>
            <w:top w:val="none" w:sz="0" w:space="0"/>
            <w:left w:val="none" w:sz="0" w:space="0"/>
            <w:bottom w:val="none" w:sz="0" w:space="0"/>
            <w:right w:val="none" w:sz="0" w:space="0"/>
          </w:pgBorders>
          <w:pgNumType w:fmt="decimal"/>
          <w:cols w:space="0" w:num="1"/>
          <w:rtlGutter w:val="0"/>
          <w:docGrid w:type="lines" w:linePitch="0" w:charSpace="0"/>
        </w:sectPr>
      </w:pPr>
    </w:p>
    <w:p>
      <w:pPr>
        <w:pStyle w:val="4"/>
        <w:bidi w:val="0"/>
        <w:ind w:left="0" w:leftChars="0" w:firstLine="0" w:firstLineChars="0"/>
        <w:rPr>
          <w:rFonts w:hint="default" w:ascii="Times New Roman" w:hAnsi="Times New Roman" w:eastAsia="宋体" w:cs="Times New Roman"/>
          <w:b/>
          <w:color w:val="auto"/>
          <w:sz w:val="28"/>
          <w:szCs w:val="28"/>
        </w:rPr>
      </w:pPr>
      <w:bookmarkStart w:id="9" w:name="_Toc14218"/>
      <w:r>
        <w:rPr>
          <w:rFonts w:hint="default" w:ascii="Times New Roman" w:hAnsi="Times New Roman" w:eastAsia="宋体" w:cs="Times New Roman"/>
          <w:color w:val="auto"/>
          <w:sz w:val="28"/>
          <w:szCs w:val="28"/>
        </w:rPr>
        <w:fldChar w:fldCharType="begin"/>
      </w:r>
      <w:r>
        <w:rPr>
          <w:rFonts w:hint="default" w:ascii="Times New Roman" w:hAnsi="Times New Roman" w:eastAsia="宋体" w:cs="Times New Roman"/>
          <w:color w:val="auto"/>
          <w:sz w:val="28"/>
          <w:szCs w:val="28"/>
        </w:rPr>
        <w:instrText xml:space="preserve"> HYPERLINK \l _Toc23853 </w:instrText>
      </w:r>
      <w:r>
        <w:rPr>
          <w:rFonts w:hint="default" w:ascii="Times New Roman" w:hAnsi="Times New Roman" w:eastAsia="宋体" w:cs="Times New Roman"/>
          <w:color w:val="auto"/>
          <w:sz w:val="28"/>
          <w:szCs w:val="28"/>
        </w:rPr>
        <w:fldChar w:fldCharType="separate"/>
      </w:r>
      <w:r>
        <w:rPr>
          <w:rFonts w:hint="default" w:ascii="Times New Roman" w:hAnsi="Times New Roman" w:eastAsia="宋体" w:cs="Times New Roman"/>
          <w:b/>
          <w:color w:val="auto"/>
          <w:sz w:val="28"/>
          <w:szCs w:val="28"/>
          <w:lang w:val="en-US" w:eastAsia="zh-CN"/>
        </w:rPr>
        <w:t xml:space="preserve">3.2 </w:t>
      </w:r>
      <w:r>
        <w:rPr>
          <w:rFonts w:hint="default" w:ascii="Times New Roman" w:hAnsi="Times New Roman" w:eastAsia="宋体" w:cs="Times New Roman"/>
          <w:b/>
          <w:color w:val="auto"/>
          <w:sz w:val="28"/>
          <w:szCs w:val="28"/>
          <w:lang w:eastAsia="zh-CN"/>
        </w:rPr>
        <w:t>建设内容</w:t>
      </w:r>
      <w:bookmarkEnd w:id="9"/>
    </w:p>
    <w:p>
      <w:pPr>
        <w:pStyle w:val="7"/>
        <w:keepNext w:val="0"/>
        <w:keepLines w:val="0"/>
        <w:pageBreakBefore w:val="0"/>
        <w:widowControl/>
        <w:numPr>
          <w:ilvl w:val="0"/>
          <w:numId w:val="0"/>
        </w:numPr>
        <w:kinsoku/>
        <w:wordWrap/>
        <w:overflowPunct/>
        <w:topLinePunct w:val="0"/>
        <w:autoSpaceDE w:val="0"/>
        <w:autoSpaceDN w:val="0"/>
        <w:bidi w:val="0"/>
        <w:adjustRightInd w:val="0"/>
        <w:snapToGrid w:val="0"/>
        <w:spacing w:before="249" w:beforeLines="50" w:after="249" w:afterLines="50" w:line="360" w:lineRule="auto"/>
        <w:ind w:right="0" w:rightChars="0"/>
        <w:textAlignment w:val="auto"/>
        <w:outlineLvl w:val="4"/>
        <w:rPr>
          <w:rFonts w:hint="default" w:ascii="Times New Roman" w:hAnsi="Times New Roman" w:eastAsia="宋体" w:cs="Times New Roman"/>
          <w:b/>
          <w:bCs/>
          <w:color w:val="auto"/>
          <w:sz w:val="24"/>
          <w:szCs w:val="24"/>
          <w:lang w:val="en-US" w:eastAsia="en-US" w:bidi="ar-SA"/>
        </w:rPr>
      </w:pPr>
      <w:r>
        <w:rPr>
          <w:rFonts w:hint="default" w:ascii="Times New Roman" w:hAnsi="Times New Roman" w:eastAsia="宋体" w:cs="Times New Roman"/>
          <w:color w:val="auto"/>
          <w:sz w:val="28"/>
          <w:szCs w:val="28"/>
        </w:rPr>
        <w:fldChar w:fldCharType="end"/>
      </w:r>
      <w:r>
        <w:rPr>
          <w:rFonts w:hint="default" w:ascii="Times New Roman" w:hAnsi="Times New Roman" w:eastAsia="宋体" w:cs="Times New Roman"/>
          <w:b/>
          <w:bCs/>
          <w:color w:val="auto"/>
          <w:sz w:val="24"/>
          <w:szCs w:val="24"/>
          <w:lang w:val="en-US" w:eastAsia="zh-CN" w:bidi="ar-SA"/>
        </w:rPr>
        <w:t xml:space="preserve">3.2.1 </w:t>
      </w:r>
      <w:r>
        <w:rPr>
          <w:rFonts w:hint="default" w:ascii="Times New Roman" w:hAnsi="Times New Roman" w:eastAsia="宋体" w:cs="Times New Roman"/>
          <w:b/>
          <w:bCs/>
          <w:color w:val="auto"/>
          <w:sz w:val="24"/>
          <w:szCs w:val="24"/>
          <w:lang w:val="en-US" w:eastAsia="en-US" w:bidi="ar-SA"/>
        </w:rPr>
        <w:t>主体工程与产品方案</w:t>
      </w:r>
    </w:p>
    <w:p>
      <w:pPr>
        <w:pStyle w:val="82"/>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zh-CN"/>
        </w:rPr>
        <w:t>主体工程及产品方案见表</w:t>
      </w:r>
      <w:r>
        <w:rPr>
          <w:rFonts w:hint="default" w:ascii="Times New Roman" w:hAnsi="Times New Roman" w:eastAsia="宋体" w:cs="Times New Roman"/>
          <w:color w:val="auto"/>
          <w:sz w:val="24"/>
          <w:szCs w:val="24"/>
          <w:lang w:val="en-US" w:eastAsia="zh-CN"/>
        </w:rPr>
        <w:t>3.2-1</w:t>
      </w:r>
      <w:r>
        <w:rPr>
          <w:rFonts w:hint="default" w:ascii="Times New Roman" w:hAnsi="Times New Roman" w:eastAsia="宋体" w:cs="Times New Roman"/>
          <w:color w:val="auto"/>
          <w:sz w:val="24"/>
          <w:szCs w:val="24"/>
          <w:lang w:val="zh-CN"/>
        </w:rPr>
        <w:t>。</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right="0" w:rightChars="0"/>
        <w:jc w:val="center"/>
        <w:textAlignment w:val="auto"/>
        <w:outlineLvl w:val="9"/>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表3</w:t>
      </w:r>
      <w:r>
        <w:rPr>
          <w:rFonts w:hint="default" w:ascii="Times New Roman" w:hAnsi="Times New Roman" w:eastAsia="宋体" w:cs="Times New Roman"/>
          <w:b/>
          <w:color w:val="auto"/>
          <w:sz w:val="24"/>
          <w:szCs w:val="24"/>
          <w:lang w:val="en-US" w:eastAsia="zh-CN"/>
        </w:rPr>
        <w:t xml:space="preserve">.2-1  </w:t>
      </w:r>
      <w:r>
        <w:rPr>
          <w:rFonts w:hint="default" w:ascii="Times New Roman" w:hAnsi="Times New Roman" w:eastAsia="宋体" w:cs="Times New Roman"/>
          <w:b/>
          <w:color w:val="auto"/>
          <w:sz w:val="24"/>
          <w:szCs w:val="24"/>
        </w:rPr>
        <w:t>项目主要建设内容</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02"/>
        <w:gridCol w:w="1147"/>
        <w:gridCol w:w="959"/>
        <w:gridCol w:w="2478"/>
        <w:gridCol w:w="1209"/>
        <w:gridCol w:w="780"/>
        <w:gridCol w:w="1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34" w:type="pct"/>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666" w:type="pct"/>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工程名称</w:t>
            </w:r>
          </w:p>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（车间或生产线）</w:t>
            </w:r>
          </w:p>
        </w:tc>
        <w:tc>
          <w:tcPr>
            <w:tcW w:w="1995" w:type="pct"/>
            <w:gridSpan w:val="2"/>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产品名称</w:t>
            </w:r>
          </w:p>
        </w:tc>
        <w:tc>
          <w:tcPr>
            <w:tcW w:w="702" w:type="pct"/>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设计生产能力（吨/年）</w:t>
            </w:r>
          </w:p>
        </w:tc>
        <w:tc>
          <w:tcPr>
            <w:tcW w:w="453" w:type="pct"/>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设计年运行时数</w:t>
            </w:r>
          </w:p>
        </w:tc>
        <w:tc>
          <w:tcPr>
            <w:tcW w:w="947" w:type="pct"/>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实际建设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34"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66" w:type="pct"/>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生产装置</w:t>
            </w:r>
          </w:p>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（1套）</w:t>
            </w:r>
          </w:p>
        </w:tc>
        <w:tc>
          <w:tcPr>
            <w:tcW w:w="557" w:type="pct"/>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zh-CN" w:eastAsia="zh-CN"/>
              </w:rPr>
              <w:t>异丙醇系列</w:t>
            </w:r>
          </w:p>
        </w:tc>
        <w:tc>
          <w:tcPr>
            <w:tcW w:w="1438"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月桂酸异丙酯</w:t>
            </w:r>
          </w:p>
        </w:tc>
        <w:tc>
          <w:tcPr>
            <w:tcW w:w="702"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2700</w:t>
            </w:r>
          </w:p>
        </w:tc>
        <w:tc>
          <w:tcPr>
            <w:tcW w:w="453" w:type="pct"/>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2400h</w:t>
            </w:r>
          </w:p>
        </w:tc>
        <w:tc>
          <w:tcPr>
            <w:tcW w:w="947" w:type="pct"/>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生产能</w:t>
            </w:r>
            <w:r>
              <w:rPr>
                <w:rFonts w:hint="default" w:ascii="Times New Roman" w:hAnsi="Times New Roman" w:eastAsia="宋体" w:cs="Times New Roman"/>
                <w:color w:val="auto"/>
                <w:sz w:val="21"/>
                <w:szCs w:val="21"/>
                <w:lang w:eastAsia="zh-CN"/>
              </w:rPr>
              <w:t>力同环评</w:t>
            </w:r>
            <w:r>
              <w:rPr>
                <w:rFonts w:hint="eastAsia" w:ascii="Times New Roman" w:hAnsi="Times New Roman" w:eastAsia="宋体" w:cs="Times New Roman"/>
                <w:color w:val="auto"/>
                <w:sz w:val="21"/>
                <w:szCs w:val="21"/>
                <w:lang w:eastAsia="zh-CN"/>
              </w:rPr>
              <w:t>，年运行时数</w:t>
            </w:r>
            <w:r>
              <w:rPr>
                <w:rFonts w:hint="eastAsia" w:ascii="Times New Roman" w:hAnsi="Times New Roman" w:eastAsia="宋体" w:cs="Times New Roman"/>
                <w:color w:val="auto"/>
                <w:sz w:val="21"/>
                <w:szCs w:val="21"/>
                <w:lang w:val="en-US" w:eastAsia="zh-CN"/>
              </w:rPr>
              <w:t>5100h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34"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666"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557"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438"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肉豆蔻酸异丙酯</w:t>
            </w:r>
          </w:p>
        </w:tc>
        <w:tc>
          <w:tcPr>
            <w:tcW w:w="702"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2300</w:t>
            </w:r>
          </w:p>
        </w:tc>
        <w:tc>
          <w:tcPr>
            <w:tcW w:w="453"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947"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34"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666"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557"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438"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棕榈酸异丙酯</w:t>
            </w:r>
          </w:p>
        </w:tc>
        <w:tc>
          <w:tcPr>
            <w:tcW w:w="702"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453"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947"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34"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666"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557" w:type="pct"/>
            <w:vMerge w:val="restart"/>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异辛醇系列</w:t>
            </w:r>
          </w:p>
        </w:tc>
        <w:tc>
          <w:tcPr>
            <w:tcW w:w="1438"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棕榈酸异辛酯</w:t>
            </w:r>
          </w:p>
        </w:tc>
        <w:tc>
          <w:tcPr>
            <w:tcW w:w="702"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1600</w:t>
            </w:r>
          </w:p>
        </w:tc>
        <w:tc>
          <w:tcPr>
            <w:tcW w:w="453" w:type="pct"/>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7200h</w:t>
            </w:r>
          </w:p>
        </w:tc>
        <w:tc>
          <w:tcPr>
            <w:tcW w:w="947"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34"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666"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557"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438"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油酸异辛酯</w:t>
            </w:r>
          </w:p>
        </w:tc>
        <w:tc>
          <w:tcPr>
            <w:tcW w:w="702"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600</w:t>
            </w:r>
          </w:p>
        </w:tc>
        <w:tc>
          <w:tcPr>
            <w:tcW w:w="453"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947"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34"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666"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557"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438"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硬脂酸异辛酯</w:t>
            </w:r>
          </w:p>
        </w:tc>
        <w:tc>
          <w:tcPr>
            <w:tcW w:w="702"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453"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947"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34"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666"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557" w:type="pct"/>
            <w:vMerge w:val="restart"/>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三羟甲基丙烷</w:t>
            </w:r>
            <w:r>
              <w:rPr>
                <w:rFonts w:hint="eastAsia" w:ascii="Times New Roman" w:hAnsi="Times New Roman" w:cs="Times New Roman"/>
                <w:color w:val="auto"/>
                <w:sz w:val="21"/>
                <w:szCs w:val="21"/>
                <w:lang w:eastAsia="zh-CN"/>
              </w:rPr>
              <w:t>系列</w:t>
            </w:r>
          </w:p>
        </w:tc>
        <w:tc>
          <w:tcPr>
            <w:tcW w:w="1438"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三羟甲基丙烷三油酸酯</w:t>
            </w:r>
          </w:p>
        </w:tc>
        <w:tc>
          <w:tcPr>
            <w:tcW w:w="702"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3500</w:t>
            </w:r>
          </w:p>
        </w:tc>
        <w:tc>
          <w:tcPr>
            <w:tcW w:w="453"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947"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34"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666"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557"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438"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三羟甲基丙烷三椰油酸酯</w:t>
            </w:r>
          </w:p>
        </w:tc>
        <w:tc>
          <w:tcPr>
            <w:tcW w:w="702"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800</w:t>
            </w:r>
          </w:p>
        </w:tc>
        <w:tc>
          <w:tcPr>
            <w:tcW w:w="453"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947"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34"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666"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557"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438"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三羟甲基丙烷辛葵酸酯</w:t>
            </w:r>
          </w:p>
        </w:tc>
        <w:tc>
          <w:tcPr>
            <w:tcW w:w="702"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453"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947"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34"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666"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557"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438"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辛葵酸三甘油酯</w:t>
            </w:r>
          </w:p>
        </w:tc>
        <w:tc>
          <w:tcPr>
            <w:tcW w:w="702"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12500</w:t>
            </w:r>
          </w:p>
        </w:tc>
        <w:tc>
          <w:tcPr>
            <w:tcW w:w="453"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94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取消生产，不在本次验收范围内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896" w:type="pct"/>
            <w:gridSpan w:val="4"/>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1155" w:type="pct"/>
            <w:gridSpan w:val="2"/>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脂肪酸酯产品25000吨</w:t>
            </w:r>
          </w:p>
        </w:tc>
        <w:tc>
          <w:tcPr>
            <w:tcW w:w="94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eastAsia="zh-CN"/>
              </w:rPr>
              <w:t>产能减少</w:t>
            </w:r>
            <w:r>
              <w:rPr>
                <w:rFonts w:hint="eastAsia" w:ascii="Times New Roman" w:hAnsi="Times New Roman" w:cs="Times New Roman"/>
                <w:color w:val="auto"/>
                <w:sz w:val="21"/>
                <w:szCs w:val="21"/>
                <w:lang w:val="en-US" w:eastAsia="zh-CN"/>
              </w:rPr>
              <w:t>50%，</w:t>
            </w:r>
            <w:r>
              <w:rPr>
                <w:rFonts w:hint="default" w:ascii="Times New Roman" w:hAnsi="Times New Roman" w:eastAsia="宋体" w:cs="Times New Roman"/>
                <w:color w:val="auto"/>
                <w:sz w:val="21"/>
                <w:szCs w:val="21"/>
              </w:rPr>
              <w:t>脂肪酸酯产品</w:t>
            </w:r>
            <w:r>
              <w:rPr>
                <w:rFonts w:hint="default" w:ascii="Times New Roman" w:hAnsi="Times New Roman" w:eastAsia="宋体" w:cs="Times New Roman"/>
                <w:color w:val="auto"/>
                <w:sz w:val="21"/>
                <w:szCs w:val="21"/>
                <w:lang w:val="en-US" w:eastAsia="zh-CN"/>
              </w:rPr>
              <w:t>125</w:t>
            </w:r>
            <w:r>
              <w:rPr>
                <w:rFonts w:hint="default" w:ascii="Times New Roman" w:hAnsi="Times New Roman" w:eastAsia="宋体" w:cs="Times New Roman"/>
                <w:color w:val="auto"/>
                <w:sz w:val="21"/>
                <w:szCs w:val="21"/>
              </w:rPr>
              <w:t>00吨</w:t>
            </w:r>
          </w:p>
        </w:tc>
      </w:tr>
    </w:tbl>
    <w:p>
      <w:pPr>
        <w:keepNext w:val="0"/>
        <w:keepLines w:val="0"/>
        <w:pageBreakBefore w:val="0"/>
        <w:widowControl w:val="0"/>
        <w:numPr>
          <w:ilvl w:val="0"/>
          <w:numId w:val="0"/>
        </w:numPr>
        <w:shd w:val="clear"/>
        <w:kinsoku/>
        <w:wordWrap/>
        <w:overflowPunct/>
        <w:topLinePunct w:val="0"/>
        <w:autoSpaceDE w:val="0"/>
        <w:autoSpaceDN w:val="0"/>
        <w:bidi w:val="0"/>
        <w:adjustRightInd/>
        <w:snapToGrid/>
        <w:spacing w:after="0" w:line="360" w:lineRule="auto"/>
        <w:ind w:right="0" w:rightChars="0" w:firstLine="420" w:firstLineChars="200"/>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b w:val="0"/>
          <w:bCs w:val="0"/>
          <w:color w:val="auto"/>
          <w:sz w:val="21"/>
          <w:szCs w:val="21"/>
          <w:lang w:val="en-US" w:eastAsia="zh-CN" w:bidi="ar-SA"/>
        </w:rPr>
        <w:t>注：1、</w:t>
      </w:r>
      <w:r>
        <w:rPr>
          <w:rFonts w:hint="default" w:ascii="Times New Roman" w:hAnsi="Times New Roman" w:eastAsia="宋体" w:cs="Times New Roman"/>
          <w:color w:val="auto"/>
          <w:sz w:val="21"/>
          <w:szCs w:val="21"/>
          <w:lang w:val="en-US" w:eastAsia="zh-CN"/>
        </w:rPr>
        <w:t>环评设计建设两套生产装置，</w:t>
      </w:r>
      <w:r>
        <w:rPr>
          <w:rFonts w:hint="eastAsia" w:ascii="Times New Roman" w:hAnsi="Times New Roman" w:eastAsia="宋体" w:cs="Times New Roman"/>
          <w:color w:val="auto"/>
          <w:sz w:val="21"/>
          <w:szCs w:val="21"/>
          <w:lang w:val="en-US" w:eastAsia="zh-CN"/>
        </w:rPr>
        <w:t>后因市场原因，实际建设过程中取消了辛亏酸三甘油酯产品（设计产能12500吨，产能占比50%）的投产计划，即总产能由</w:t>
      </w:r>
      <w:r>
        <w:rPr>
          <w:rFonts w:hint="default" w:ascii="Times New Roman" w:hAnsi="Times New Roman" w:eastAsia="宋体" w:cs="Times New Roman"/>
          <w:color w:val="auto"/>
          <w:sz w:val="21"/>
          <w:szCs w:val="21"/>
          <w:lang w:val="en-US" w:eastAsia="zh-CN"/>
        </w:rPr>
        <w:t>年产脂肪酸酯产品25000吨</w:t>
      </w:r>
      <w:r>
        <w:rPr>
          <w:rFonts w:hint="eastAsia" w:ascii="Times New Roman" w:hAnsi="Times New Roman" w:eastAsia="宋体" w:cs="Times New Roman"/>
          <w:color w:val="auto"/>
          <w:sz w:val="21"/>
          <w:szCs w:val="21"/>
          <w:lang w:val="en-US" w:eastAsia="zh-CN"/>
        </w:rPr>
        <w:t>降为12500吨，原设计的两套生产装置</w:t>
      </w:r>
      <w:r>
        <w:rPr>
          <w:rFonts w:hint="eastAsia" w:ascii="Times New Roman" w:hAnsi="Times New Roman" w:cs="Times New Roman"/>
          <w:color w:val="auto"/>
          <w:sz w:val="21"/>
          <w:szCs w:val="21"/>
          <w:lang w:val="en-US" w:eastAsia="zh-CN"/>
        </w:rPr>
        <w:t>实际建设</w:t>
      </w:r>
      <w:r>
        <w:rPr>
          <w:rFonts w:hint="eastAsia" w:ascii="Times New Roman" w:hAnsi="Times New Roman" w:eastAsia="宋体" w:cs="Times New Roman"/>
          <w:color w:val="auto"/>
          <w:sz w:val="21"/>
          <w:szCs w:val="21"/>
          <w:lang w:val="en-US" w:eastAsia="zh-CN"/>
        </w:rPr>
        <w:t>一套</w:t>
      </w:r>
      <w:r>
        <w:rPr>
          <w:rFonts w:hint="eastAsia" w:ascii="Times New Roman" w:hAnsi="Times New Roman" w:cs="Times New Roman"/>
          <w:color w:val="auto"/>
          <w:sz w:val="21"/>
          <w:szCs w:val="21"/>
          <w:lang w:val="en-US" w:eastAsia="zh-CN"/>
        </w:rPr>
        <w:t>。</w:t>
      </w:r>
    </w:p>
    <w:p>
      <w:pPr>
        <w:keepNext w:val="0"/>
        <w:keepLines w:val="0"/>
        <w:pageBreakBefore w:val="0"/>
        <w:widowControl w:val="0"/>
        <w:numPr>
          <w:ilvl w:val="0"/>
          <w:numId w:val="0"/>
        </w:numPr>
        <w:shd w:val="clear"/>
        <w:kinsoku/>
        <w:wordWrap/>
        <w:overflowPunct/>
        <w:topLinePunct w:val="0"/>
        <w:autoSpaceDE w:val="0"/>
        <w:autoSpaceDN w:val="0"/>
        <w:bidi w:val="0"/>
        <w:adjustRightInd/>
        <w:snapToGrid/>
        <w:spacing w:after="0" w:line="360" w:lineRule="auto"/>
        <w:ind w:right="0" w:rightChars="0" w:firstLine="420" w:firstLineChars="20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w:t>
      </w:r>
      <w:r>
        <w:rPr>
          <w:rFonts w:hint="eastAsia" w:ascii="Times New Roman" w:hAnsi="Times New Roman" w:eastAsia="宋体" w:cs="Times New Roman"/>
          <w:color w:val="auto"/>
          <w:sz w:val="21"/>
          <w:szCs w:val="21"/>
          <w:lang w:val="zh-CN" w:eastAsia="zh-CN"/>
        </w:rPr>
        <w:t>按照环评设计的产能对每种产品所需生产时间进行计算，异丙醇系列产品</w:t>
      </w:r>
      <w:r>
        <w:rPr>
          <w:rFonts w:hint="eastAsia" w:ascii="Times New Roman" w:hAnsi="Times New Roman" w:eastAsia="宋体" w:cs="Times New Roman"/>
          <w:color w:val="auto"/>
          <w:sz w:val="21"/>
          <w:szCs w:val="21"/>
          <w:lang w:val="en-US" w:eastAsia="zh-CN"/>
        </w:rPr>
        <w:t>5400t/a的产能需要约2400h生产时间，其他两个系列产品合计产能为7100t/a，需要生产时间为2700h，综上，三种系列产品合计需要5100h年生产时间方能达到12500t/a的总生产产能</w:t>
      </w:r>
      <w:r>
        <w:rPr>
          <w:rFonts w:hint="eastAsia" w:ascii="Times New Roman" w:hAnsi="Times New Roman"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本项目生产所需时间计算情况见表10-1。</w:t>
      </w:r>
    </w:p>
    <w:p>
      <w:pPr>
        <w:pStyle w:val="7"/>
        <w:keepNext w:val="0"/>
        <w:keepLines w:val="0"/>
        <w:pageBreakBefore w:val="0"/>
        <w:widowControl/>
        <w:numPr>
          <w:ilvl w:val="0"/>
          <w:numId w:val="0"/>
        </w:numPr>
        <w:kinsoku/>
        <w:wordWrap/>
        <w:overflowPunct/>
        <w:topLinePunct w:val="0"/>
        <w:autoSpaceDE w:val="0"/>
        <w:autoSpaceDN w:val="0"/>
        <w:bidi w:val="0"/>
        <w:adjustRightInd w:val="0"/>
        <w:snapToGrid w:val="0"/>
        <w:spacing w:before="249" w:beforeLines="50" w:after="249" w:afterLines="50" w:line="360" w:lineRule="auto"/>
        <w:ind w:right="0" w:rightChars="0"/>
        <w:textAlignment w:val="auto"/>
        <w:outlineLvl w:val="4"/>
        <w:rPr>
          <w:rFonts w:hint="default" w:ascii="Times New Roman" w:hAnsi="Times New Roman" w:eastAsia="宋体" w:cs="Times New Roman"/>
          <w:b/>
          <w:bCs/>
          <w:color w:val="auto"/>
          <w:sz w:val="24"/>
          <w:szCs w:val="24"/>
          <w:lang w:val="en-US" w:eastAsia="en-US" w:bidi="ar-SA"/>
        </w:rPr>
      </w:pPr>
      <w:r>
        <w:rPr>
          <w:rFonts w:hint="default" w:ascii="Times New Roman" w:hAnsi="Times New Roman" w:eastAsia="宋体" w:cs="Times New Roman"/>
          <w:b/>
          <w:bCs/>
          <w:color w:val="auto"/>
          <w:sz w:val="24"/>
          <w:szCs w:val="24"/>
          <w:lang w:val="en-US" w:eastAsia="zh-CN" w:bidi="ar-SA"/>
        </w:rPr>
        <w:t xml:space="preserve">3.2.2 </w:t>
      </w:r>
      <w:r>
        <w:rPr>
          <w:rFonts w:hint="default" w:ascii="Times New Roman" w:hAnsi="Times New Roman" w:eastAsia="宋体" w:cs="Times New Roman"/>
          <w:b/>
          <w:bCs/>
          <w:color w:val="auto"/>
          <w:sz w:val="24"/>
          <w:szCs w:val="24"/>
          <w:lang w:val="en-US" w:eastAsia="en-US" w:bidi="ar-SA"/>
        </w:rPr>
        <w:t>公用及辅助工程</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right="0" w:rightChars="0"/>
        <w:jc w:val="center"/>
        <w:textAlignment w:val="auto"/>
        <w:outlineLvl w:val="9"/>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表3</w:t>
      </w:r>
      <w:r>
        <w:rPr>
          <w:rFonts w:hint="default" w:ascii="Times New Roman" w:hAnsi="Times New Roman" w:eastAsia="宋体" w:cs="Times New Roman"/>
          <w:b/>
          <w:color w:val="auto"/>
          <w:sz w:val="24"/>
          <w:szCs w:val="24"/>
          <w:highlight w:val="none"/>
          <w:lang w:val="en-US" w:eastAsia="zh-CN"/>
        </w:rPr>
        <w:t>.2-2</w:t>
      </w:r>
      <w:r>
        <w:rPr>
          <w:rFonts w:hint="default" w:ascii="Times New Roman" w:hAnsi="Times New Roman" w:eastAsia="宋体" w:cs="Times New Roman"/>
          <w:b/>
          <w:color w:val="auto"/>
          <w:sz w:val="24"/>
          <w:szCs w:val="24"/>
          <w:highlight w:val="none"/>
        </w:rPr>
        <w:t xml:space="preserve">  </w:t>
      </w:r>
      <w:r>
        <w:rPr>
          <w:rFonts w:hint="default" w:ascii="Times New Roman" w:hAnsi="Times New Roman" w:eastAsia="宋体" w:cs="Times New Roman"/>
          <w:b/>
          <w:color w:val="auto"/>
          <w:sz w:val="24"/>
          <w:szCs w:val="24"/>
          <w:highlight w:val="none"/>
          <w:lang w:eastAsia="zh-CN"/>
        </w:rPr>
        <w:t>本项目</w:t>
      </w:r>
      <w:r>
        <w:rPr>
          <w:rFonts w:hint="default" w:ascii="Times New Roman" w:hAnsi="Times New Roman" w:eastAsia="宋体" w:cs="Times New Roman"/>
          <w:b/>
          <w:color w:val="auto"/>
          <w:sz w:val="24"/>
          <w:szCs w:val="24"/>
          <w:highlight w:val="none"/>
        </w:rPr>
        <w:t>公辅及环保工程建设情况</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60"/>
        <w:gridCol w:w="338"/>
        <w:gridCol w:w="1009"/>
        <w:gridCol w:w="2409"/>
        <w:gridCol w:w="2246"/>
        <w:gridCol w:w="2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blHeader/>
        </w:trPr>
        <w:tc>
          <w:tcPr>
            <w:tcW w:w="209" w:type="pct"/>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工程</w:t>
            </w:r>
          </w:p>
        </w:tc>
        <w:tc>
          <w:tcPr>
            <w:tcW w:w="782" w:type="pct"/>
            <w:gridSpan w:val="2"/>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建设名称</w:t>
            </w:r>
          </w:p>
        </w:tc>
        <w:tc>
          <w:tcPr>
            <w:tcW w:w="1399" w:type="pct"/>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目前能力</w:t>
            </w:r>
          </w:p>
        </w:tc>
        <w:tc>
          <w:tcPr>
            <w:tcW w:w="1304" w:type="pct"/>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本次扩建项目</w:t>
            </w:r>
          </w:p>
        </w:tc>
        <w:tc>
          <w:tcPr>
            <w:tcW w:w="1304" w:type="pct"/>
            <w:noWrap w:val="0"/>
            <w:vAlign w:val="center"/>
          </w:tcPr>
          <w:p>
            <w:pPr>
              <w:spacing w:line="24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实际建设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09" w:type="pct"/>
            <w:vMerge w:val="restar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贮运</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w:t>
            </w:r>
          </w:p>
        </w:tc>
        <w:tc>
          <w:tcPr>
            <w:tcW w:w="782" w:type="pct"/>
            <w:gridSpan w:val="2"/>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固体原料仓库</w:t>
            </w:r>
          </w:p>
        </w:tc>
        <w:tc>
          <w:tcPr>
            <w:tcW w:w="1399" w:type="pct"/>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仓库一座，丁类，1728m</w:t>
            </w:r>
            <w:r>
              <w:rPr>
                <w:rFonts w:hint="default" w:ascii="Times New Roman" w:hAnsi="Times New Roman" w:eastAsia="宋体" w:cs="Times New Roman"/>
                <w:color w:val="auto"/>
                <w:sz w:val="21"/>
                <w:szCs w:val="21"/>
                <w:vertAlign w:val="superscript"/>
              </w:rPr>
              <w:t>2</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依托现有仓库</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09" w:type="pct"/>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782" w:type="pct"/>
            <w:gridSpan w:val="2"/>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产品仓库</w:t>
            </w:r>
          </w:p>
        </w:tc>
        <w:tc>
          <w:tcPr>
            <w:tcW w:w="1399" w:type="pct"/>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产品仓库六间，丙类，21660m</w:t>
            </w:r>
            <w:r>
              <w:rPr>
                <w:rFonts w:hint="default" w:ascii="Times New Roman" w:hAnsi="Times New Roman" w:eastAsia="宋体" w:cs="Times New Roman"/>
                <w:color w:val="auto"/>
                <w:sz w:val="21"/>
                <w:szCs w:val="21"/>
                <w:vertAlign w:val="superscript"/>
              </w:rPr>
              <w:t>2</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不涉及</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原有项目，本项目不涉及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09" w:type="pct"/>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782" w:type="pct"/>
            <w:gridSpan w:val="2"/>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原料罐区</w:t>
            </w:r>
          </w:p>
        </w:tc>
        <w:tc>
          <w:tcPr>
            <w:tcW w:w="1399" w:type="pct"/>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原料罐区3个，丙类，14425m</w:t>
            </w:r>
            <w:r>
              <w:rPr>
                <w:rFonts w:hint="default" w:ascii="Times New Roman" w:hAnsi="Times New Roman" w:eastAsia="宋体" w:cs="Times New Roman"/>
                <w:color w:val="auto"/>
                <w:sz w:val="21"/>
                <w:szCs w:val="21"/>
                <w:highlight w:val="none"/>
                <w:vertAlign w:val="superscript"/>
              </w:rPr>
              <w:t>2</w:t>
            </w:r>
          </w:p>
        </w:tc>
        <w:tc>
          <w:tcPr>
            <w:tcW w:w="1304" w:type="pct"/>
            <w:vMerge w:val="restar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新建两个罐区（包含原料、中间品和产品储罐）具体见表3.2.2-4和表3.2.5-1</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09" w:type="pct"/>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782" w:type="pct"/>
            <w:gridSpan w:val="2"/>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中间品罐区</w:t>
            </w:r>
          </w:p>
        </w:tc>
        <w:tc>
          <w:tcPr>
            <w:tcW w:w="1399" w:type="pct"/>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中间品罐区两处，丙类，7292m</w:t>
            </w:r>
            <w:r>
              <w:rPr>
                <w:rFonts w:hint="default" w:ascii="Times New Roman" w:hAnsi="Times New Roman" w:eastAsia="宋体" w:cs="Times New Roman"/>
                <w:color w:val="auto"/>
                <w:sz w:val="21"/>
                <w:szCs w:val="21"/>
                <w:highlight w:val="none"/>
                <w:vertAlign w:val="superscript"/>
              </w:rPr>
              <w:t>2</w:t>
            </w:r>
          </w:p>
        </w:tc>
        <w:tc>
          <w:tcPr>
            <w:tcW w:w="1304" w:type="pct"/>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09" w:type="pct"/>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782" w:type="pct"/>
            <w:gridSpan w:val="2"/>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产品罐区</w:t>
            </w:r>
          </w:p>
        </w:tc>
        <w:tc>
          <w:tcPr>
            <w:tcW w:w="1399" w:type="pct"/>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产品罐区三个，丙类，11620m</w:t>
            </w:r>
            <w:r>
              <w:rPr>
                <w:rFonts w:hint="default" w:ascii="Times New Roman" w:hAnsi="Times New Roman" w:eastAsia="宋体" w:cs="Times New Roman"/>
                <w:color w:val="auto"/>
                <w:sz w:val="21"/>
                <w:szCs w:val="21"/>
                <w:highlight w:val="none"/>
                <w:vertAlign w:val="superscript"/>
              </w:rPr>
              <w:t>2</w:t>
            </w:r>
          </w:p>
        </w:tc>
        <w:tc>
          <w:tcPr>
            <w:tcW w:w="1304" w:type="pct"/>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09" w:type="pct"/>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782" w:type="pct"/>
            <w:gridSpan w:val="2"/>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危化品仓库</w:t>
            </w:r>
          </w:p>
        </w:tc>
        <w:tc>
          <w:tcPr>
            <w:tcW w:w="1399" w:type="pct"/>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乙类，120 m</w:t>
            </w:r>
            <w:r>
              <w:rPr>
                <w:rFonts w:hint="default" w:ascii="Times New Roman" w:hAnsi="Times New Roman" w:eastAsia="宋体" w:cs="Times New Roman"/>
                <w:color w:val="auto"/>
                <w:sz w:val="21"/>
                <w:szCs w:val="21"/>
                <w:vertAlign w:val="superscript"/>
              </w:rPr>
              <w:t>2</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09" w:type="pct"/>
            <w:vMerge w:val="restar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公用</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w:t>
            </w:r>
          </w:p>
        </w:tc>
        <w:tc>
          <w:tcPr>
            <w:tcW w:w="782" w:type="pct"/>
            <w:gridSpan w:val="2"/>
            <w:vMerge w:val="restart"/>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供水系统</w:t>
            </w:r>
          </w:p>
        </w:tc>
        <w:tc>
          <w:tcPr>
            <w:tcW w:w="1399" w:type="pct"/>
            <w:noWrap w:val="0"/>
            <w:tcMar>
              <w:top w:w="15" w:type="dxa"/>
              <w:left w:w="0" w:type="dxa"/>
              <w:bottom w:w="0" w:type="dxa"/>
              <w:right w:w="0" w:type="dxa"/>
            </w:tcMar>
            <w:vAlign w:val="center"/>
          </w:tcPr>
          <w:p>
            <w:pPr>
              <w:spacing w:line="240" w:lineRule="auto"/>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管径为DN100，水压为0.3MPa，自来水管网总供水320893.5t/a</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依托厂内现有自来水供水管网，新增用水32600t/a</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09" w:type="pct"/>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782" w:type="pct"/>
            <w:gridSpan w:val="2"/>
            <w:vMerge w:val="continue"/>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rPr>
            </w:pPr>
          </w:p>
        </w:tc>
        <w:tc>
          <w:tcPr>
            <w:tcW w:w="1399" w:type="pct"/>
            <w:noWrap w:val="0"/>
            <w:tcMar>
              <w:top w:w="15" w:type="dxa"/>
              <w:left w:w="0" w:type="dxa"/>
              <w:bottom w:w="0" w:type="dxa"/>
              <w:right w:w="0"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胜科水务回用中水60700t/a</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原有项目，本项目不涉及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09" w:type="pct"/>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782" w:type="pct"/>
            <w:gridSpan w:val="2"/>
            <w:vMerge w:val="continue"/>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rPr>
            </w:pPr>
          </w:p>
        </w:tc>
        <w:tc>
          <w:tcPr>
            <w:tcW w:w="1399" w:type="pct"/>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净水站2座，总制备能力30t/h</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不涉及</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原有项目，本项目不涉及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09" w:type="pct"/>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782" w:type="pct"/>
            <w:gridSpan w:val="2"/>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冷却水系统</w:t>
            </w:r>
          </w:p>
        </w:tc>
        <w:tc>
          <w:tcPr>
            <w:tcW w:w="1399" w:type="pct"/>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冷却塔3台，循环量5369t/h</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新建冷却塔2座，循环量为450t/h*2</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09" w:type="pct"/>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782" w:type="pct"/>
            <w:gridSpan w:val="2"/>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供电系统</w:t>
            </w:r>
          </w:p>
        </w:tc>
        <w:tc>
          <w:tcPr>
            <w:tcW w:w="1399" w:type="pct"/>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5台变压器，</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2台35/0.4KV变压器，</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3台2000kVA变压器</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新建配电房一间</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09" w:type="pct"/>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782" w:type="pct"/>
            <w:gridSpan w:val="2"/>
            <w:vMerge w:val="restart"/>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供热系统</w:t>
            </w:r>
          </w:p>
        </w:tc>
        <w:tc>
          <w:tcPr>
            <w:tcW w:w="1399" w:type="pct"/>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共用管道蒸汽316258t/a</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新增使用管道蒸汽33500t/a</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09" w:type="pct"/>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782" w:type="pct"/>
            <w:gridSpan w:val="2"/>
            <w:vMerge w:val="continue"/>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rPr>
            </w:pPr>
          </w:p>
        </w:tc>
        <w:tc>
          <w:tcPr>
            <w:tcW w:w="1399" w:type="pct"/>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锅炉7台（6用1备）</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不涉及</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09" w:type="pct"/>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782" w:type="pct"/>
            <w:gridSpan w:val="2"/>
            <w:vMerge w:val="continue"/>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rPr>
            </w:pPr>
          </w:p>
        </w:tc>
        <w:tc>
          <w:tcPr>
            <w:tcW w:w="1399" w:type="pct"/>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天然气4112万Nm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不新增天然气用量</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09" w:type="pct"/>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782" w:type="pct"/>
            <w:gridSpan w:val="2"/>
            <w:vMerge w:val="continue"/>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rPr>
            </w:pPr>
          </w:p>
        </w:tc>
        <w:tc>
          <w:tcPr>
            <w:tcW w:w="1399" w:type="pct"/>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氮气42.16万Nm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新增使用氮气31.5万Nm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09" w:type="pct"/>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782" w:type="pct"/>
            <w:gridSpan w:val="2"/>
            <w:vMerge w:val="continue"/>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rPr>
            </w:pPr>
          </w:p>
        </w:tc>
        <w:tc>
          <w:tcPr>
            <w:tcW w:w="1399" w:type="pct"/>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氢气稳压罐1个（80m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压力为2MPa，氢气483.6万Nm³/a</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不涉及氢气使用</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09" w:type="pct"/>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782" w:type="pct"/>
            <w:gridSpan w:val="2"/>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消防系统</w:t>
            </w:r>
          </w:p>
        </w:tc>
        <w:tc>
          <w:tcPr>
            <w:tcW w:w="1399" w:type="pct"/>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消防泵房1间，消防水罐2个</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依托现有消防泵房和消防水罐，新增室外消防栓若干</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09" w:type="pct"/>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782" w:type="pct"/>
            <w:gridSpan w:val="2"/>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绿化</w:t>
            </w:r>
          </w:p>
        </w:tc>
        <w:tc>
          <w:tcPr>
            <w:tcW w:w="1399" w:type="pct"/>
            <w:noWrap w:val="0"/>
            <w:tcMar>
              <w:top w:w="15" w:type="dxa"/>
              <w:left w:w="0" w:type="dxa"/>
              <w:bottom w:w="0" w:type="dxa"/>
              <w:right w:w="0"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绿化面积70600 m</w:t>
            </w:r>
            <w:r>
              <w:rPr>
                <w:rFonts w:hint="default" w:ascii="Times New Roman" w:hAnsi="Times New Roman" w:eastAsia="宋体" w:cs="Times New Roman"/>
                <w:color w:val="auto"/>
                <w:sz w:val="21"/>
                <w:szCs w:val="21"/>
                <w:vertAlign w:val="superscript"/>
              </w:rPr>
              <w:t>2</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依托现有全厂绿化，不新增</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09" w:type="pct"/>
            <w:vMerge w:val="restar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环保工程</w:t>
            </w:r>
          </w:p>
        </w:tc>
        <w:tc>
          <w:tcPr>
            <w:tcW w:w="196" w:type="pct"/>
            <w:vMerge w:val="restart"/>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586"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造粒粉尘</w:t>
            </w:r>
          </w:p>
        </w:tc>
        <w:tc>
          <w:tcPr>
            <w:tcW w:w="1399" w:type="pct"/>
            <w:noWrap w:val="0"/>
            <w:tcMar>
              <w:top w:w="15"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旋风除尘一套，1根28m排气筒，</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两级旋风除尘两套，1根33m排气筒</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304" w:type="pct"/>
            <w:vMerge w:val="restart"/>
            <w:noWrap w:val="0"/>
            <w:vAlign w:val="center"/>
          </w:tcPr>
          <w:p>
            <w:pPr>
              <w:spacing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原有项目，本项目不涉及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09" w:type="pct"/>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196" w:type="pct"/>
            <w:vMerge w:val="continue"/>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rPr>
            </w:pPr>
          </w:p>
        </w:tc>
        <w:tc>
          <w:tcPr>
            <w:tcW w:w="586"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缩合尾气</w:t>
            </w:r>
          </w:p>
        </w:tc>
        <w:tc>
          <w:tcPr>
            <w:tcW w:w="1399" w:type="pct"/>
            <w:noWrap w:val="0"/>
            <w:tcMar>
              <w:top w:w="15"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催化燃烧装置1套，1根25m排气筒</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304" w:type="pct"/>
            <w:vMerge w:val="continue"/>
            <w:noWrap w:val="0"/>
            <w:vAlign w:val="center"/>
          </w:tcPr>
          <w:p>
            <w:pPr>
              <w:spacing w:line="240" w:lineRule="auto"/>
              <w:ind w:left="0" w:leftChars="0" w:right="0" w:right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09" w:type="pct"/>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196" w:type="pct"/>
            <w:vMerge w:val="continue"/>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rPr>
            </w:pPr>
          </w:p>
        </w:tc>
        <w:tc>
          <w:tcPr>
            <w:tcW w:w="586"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投料粉尘</w:t>
            </w:r>
          </w:p>
        </w:tc>
        <w:tc>
          <w:tcPr>
            <w:tcW w:w="1399" w:type="pct"/>
            <w:noWrap w:val="0"/>
            <w:tcMar>
              <w:top w:w="15"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布袋除尘装置1套，1根20m排气筒</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304" w:type="pct"/>
            <w:vMerge w:val="continue"/>
            <w:noWrap w:val="0"/>
            <w:vAlign w:val="center"/>
          </w:tcPr>
          <w:p>
            <w:pPr>
              <w:spacing w:line="240" w:lineRule="auto"/>
              <w:ind w:left="0" w:leftChars="0" w:right="0" w:right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09" w:type="pct"/>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196" w:type="pct"/>
            <w:vMerge w:val="continue"/>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rPr>
            </w:pPr>
          </w:p>
        </w:tc>
        <w:tc>
          <w:tcPr>
            <w:tcW w:w="586"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锅炉废气</w:t>
            </w:r>
          </w:p>
        </w:tc>
        <w:tc>
          <w:tcPr>
            <w:tcW w:w="1399" w:type="pct"/>
            <w:noWrap w:val="0"/>
            <w:tcMar>
              <w:top w:w="15"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25m排气筒3根，35m排气筒3根</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304" w:type="pct"/>
            <w:vMerge w:val="continue"/>
            <w:noWrap w:val="0"/>
            <w:vAlign w:val="center"/>
          </w:tcPr>
          <w:p>
            <w:pPr>
              <w:spacing w:line="240" w:lineRule="auto"/>
              <w:ind w:left="0" w:leftChars="0" w:right="0" w:right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09" w:type="pct"/>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196" w:type="pct"/>
            <w:vMerge w:val="continue"/>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rPr>
            </w:pPr>
          </w:p>
        </w:tc>
        <w:tc>
          <w:tcPr>
            <w:tcW w:w="586"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三甘酯</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工艺尾气</w:t>
            </w:r>
          </w:p>
        </w:tc>
        <w:tc>
          <w:tcPr>
            <w:tcW w:w="1399" w:type="pct"/>
            <w:noWrap w:val="0"/>
            <w:tcMar>
              <w:top w:w="15"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冷冻装置1台，两级冷凝装置1套，真空冷凝系统2套，吸收塔1座，活性炭吸附装置1套，1根15m排气筒</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304" w:type="pct"/>
            <w:vMerge w:val="continue"/>
            <w:noWrap w:val="0"/>
            <w:vAlign w:val="center"/>
          </w:tcPr>
          <w:p>
            <w:pPr>
              <w:spacing w:line="240" w:lineRule="auto"/>
              <w:ind w:left="0" w:leftChars="0" w:right="0" w:right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09" w:type="pct"/>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196" w:type="pct"/>
            <w:vMerge w:val="continue"/>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rPr>
            </w:pPr>
          </w:p>
        </w:tc>
        <w:tc>
          <w:tcPr>
            <w:tcW w:w="586"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一期延伸项目废气</w:t>
            </w:r>
          </w:p>
        </w:tc>
        <w:tc>
          <w:tcPr>
            <w:tcW w:w="1399" w:type="pct"/>
            <w:noWrap w:val="0"/>
            <w:tcMar>
              <w:top w:w="15"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布袋除尘器1套，活性炭吸附装置2套，2根15m排气筒</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304" w:type="pct"/>
            <w:vMerge w:val="continue"/>
            <w:noWrap w:val="0"/>
            <w:vAlign w:val="center"/>
          </w:tcPr>
          <w:p>
            <w:pPr>
              <w:spacing w:line="240" w:lineRule="auto"/>
              <w:ind w:left="0" w:leftChars="0" w:right="0" w:rightChars="0"/>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09" w:type="pct"/>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196" w:type="pct"/>
            <w:vMerge w:val="continue"/>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rPr>
            </w:pPr>
          </w:p>
        </w:tc>
        <w:tc>
          <w:tcPr>
            <w:tcW w:w="586"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本项目生产过程的废气</w:t>
            </w:r>
          </w:p>
        </w:tc>
        <w:tc>
          <w:tcPr>
            <w:tcW w:w="1399" w:type="pct"/>
            <w:noWrap w:val="0"/>
            <w:tcMar>
              <w:top w:w="15" w:type="dxa"/>
              <w:left w:w="0" w:type="dxa"/>
              <w:bottom w:w="0" w:type="dxa"/>
              <w:right w:w="0"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304"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投料粉尘：经密闭管道风机收集进入袋除尘器处理后，15m排气筒排放；</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清釜及工艺废气经真空系统收集进入两级冷凝+热井吸收后的尾气再经活性炭吸附处理后，15m排气筒排放；</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异丙醇储罐配置冷凝回收+活性炭吸附后无组织排放。</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合计新增1套布袋除尘器、3套活性炭吸附装置、2套两级冷凝+热井吸收装置、3根15m排气筒。</w:t>
            </w:r>
          </w:p>
        </w:tc>
        <w:tc>
          <w:tcPr>
            <w:tcW w:w="1304"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投料粉尘：排气筒</w:t>
            </w:r>
            <w:r>
              <w:rPr>
                <w:rFonts w:hint="default" w:ascii="Times New Roman" w:hAnsi="Times New Roman" w:eastAsia="宋体" w:cs="Times New Roman"/>
                <w:color w:val="auto"/>
                <w:sz w:val="21"/>
                <w:szCs w:val="21"/>
                <w:lang w:val="en-US" w:eastAsia="zh-CN"/>
              </w:rPr>
              <w:t>43m，其他同环评；</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丙类装置</w:t>
            </w:r>
            <w:r>
              <w:rPr>
                <w:rFonts w:hint="eastAsia" w:ascii="Times New Roman" w:hAnsi="Times New Roman" w:cs="Times New Roman"/>
                <w:color w:val="auto"/>
                <w:sz w:val="21"/>
                <w:szCs w:val="21"/>
                <w:lang w:val="en-US" w:eastAsia="zh-CN"/>
              </w:rPr>
              <w:t>不再</w:t>
            </w:r>
            <w:r>
              <w:rPr>
                <w:rFonts w:hint="default" w:ascii="Times New Roman" w:hAnsi="Times New Roman" w:eastAsia="宋体" w:cs="Times New Roman"/>
                <w:color w:val="auto"/>
                <w:sz w:val="21"/>
                <w:szCs w:val="21"/>
                <w:lang w:eastAsia="zh-CN"/>
              </w:rPr>
              <w:t>建设，故该套装置配套的</w:t>
            </w:r>
            <w:r>
              <w:rPr>
                <w:rFonts w:hint="default" w:ascii="Times New Roman" w:hAnsi="Times New Roman" w:eastAsia="宋体" w:cs="Times New Roman"/>
                <w:color w:val="auto"/>
                <w:sz w:val="21"/>
                <w:szCs w:val="21"/>
                <w:lang w:val="en-US" w:eastAsia="zh-CN"/>
              </w:rPr>
              <w:t>1套</w:t>
            </w:r>
            <w:r>
              <w:rPr>
                <w:rFonts w:hint="default" w:ascii="Times New Roman" w:hAnsi="Times New Roman" w:eastAsia="宋体" w:cs="Times New Roman"/>
                <w:color w:val="auto"/>
                <w:sz w:val="21"/>
                <w:szCs w:val="21"/>
              </w:rPr>
              <w:t>两级冷凝+热井吸收</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活性炭吸附</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15m排气筒</w:t>
            </w:r>
            <w:r>
              <w:rPr>
                <w:rFonts w:hint="default" w:ascii="Times New Roman" w:hAnsi="Times New Roman" w:eastAsia="宋体" w:cs="Times New Roman"/>
                <w:color w:val="auto"/>
                <w:sz w:val="21"/>
                <w:szCs w:val="21"/>
                <w:lang w:eastAsia="zh-CN"/>
              </w:rPr>
              <w:t>未建设；</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甲类装置</w:t>
            </w:r>
            <w:r>
              <w:rPr>
                <w:rFonts w:hint="default" w:ascii="Times New Roman" w:hAnsi="Times New Roman" w:eastAsia="宋体" w:cs="Times New Roman"/>
                <w:color w:val="auto"/>
                <w:sz w:val="21"/>
                <w:szCs w:val="21"/>
              </w:rPr>
              <w:t>清釜及工艺废气经真空系统收集进入两级级冷凝+热井吸收后的尾气再经活性炭吸附处理后，</w:t>
            </w:r>
            <w:r>
              <w:rPr>
                <w:rFonts w:hint="default"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rPr>
              <w:t>m排气筒排放</w:t>
            </w:r>
            <w:r>
              <w:rPr>
                <w:rFonts w:hint="default" w:ascii="Times New Roman" w:hAnsi="Times New Roman" w:eastAsia="宋体" w:cs="Times New Roman"/>
                <w:color w:val="auto"/>
                <w:sz w:val="21"/>
                <w:szCs w:val="21"/>
                <w:lang w:eastAsia="zh-CN"/>
              </w:rPr>
              <w:t>；</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其他同环评。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09" w:type="pct"/>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196" w:type="pct"/>
            <w:vMerge w:val="restart"/>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586"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生产废水</w:t>
            </w:r>
          </w:p>
        </w:tc>
        <w:tc>
          <w:tcPr>
            <w:tcW w:w="1399" w:type="pct"/>
            <w:noWrap w:val="0"/>
            <w:tcMar>
              <w:top w:w="15" w:type="dxa"/>
              <w:left w:w="0" w:type="dxa"/>
              <w:bottom w:w="0" w:type="dxa"/>
              <w:right w:w="0"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238653.3m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/h，经厂内污水处理站预处理后接管</w:t>
            </w:r>
          </w:p>
        </w:tc>
        <w:tc>
          <w:tcPr>
            <w:tcW w:w="1304"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本项目拟产生废水10378t/a，经厂内预处理后接管排放；通过以新带老措施，技改后全厂废水排放量不增加</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09" w:type="pct"/>
            <w:vMerge w:val="continue"/>
            <w:shd w:val="clear" w:color="auto" w:fill="auto"/>
            <w:noWrap w:val="0"/>
            <w:vAlign w:val="center"/>
          </w:tcPr>
          <w:p>
            <w:pPr>
              <w:spacing w:line="240" w:lineRule="auto"/>
              <w:jc w:val="center"/>
              <w:rPr>
                <w:rFonts w:hint="default" w:ascii="Times New Roman" w:hAnsi="Times New Roman" w:eastAsia="宋体" w:cs="Times New Roman"/>
                <w:color w:val="auto"/>
                <w:sz w:val="21"/>
                <w:szCs w:val="21"/>
              </w:rPr>
            </w:pPr>
          </w:p>
        </w:tc>
        <w:tc>
          <w:tcPr>
            <w:tcW w:w="196" w:type="pct"/>
            <w:vMerge w:val="continue"/>
            <w:shd w:val="clear" w:color="auto" w:fill="auto"/>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rPr>
            </w:pPr>
          </w:p>
        </w:tc>
        <w:tc>
          <w:tcPr>
            <w:tcW w:w="586" w:type="pct"/>
            <w:shd w:val="clear" w:color="auto" w:fill="auto"/>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p>
        </w:tc>
        <w:tc>
          <w:tcPr>
            <w:tcW w:w="1399" w:type="pct"/>
            <w:shd w:val="clear" w:color="auto" w:fill="auto"/>
            <w:noWrap w:val="0"/>
            <w:tcMar>
              <w:top w:w="15" w:type="dxa"/>
              <w:left w:w="0" w:type="dxa"/>
              <w:bottom w:w="0" w:type="dxa"/>
              <w:right w:w="0"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9040m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1304" w:type="pct"/>
            <w:shd w:val="clear" w:color="auto" w:fill="auto"/>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本项目不新增生活污水</w:t>
            </w:r>
          </w:p>
        </w:tc>
        <w:tc>
          <w:tcPr>
            <w:tcW w:w="1304" w:type="pct"/>
            <w:shd w:val="clear" w:color="auto" w:fill="auto"/>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09" w:type="pct"/>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782" w:type="pct"/>
            <w:gridSpan w:val="2"/>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399" w:type="pct"/>
            <w:noWrap w:val="0"/>
            <w:tcMar>
              <w:top w:w="15" w:type="dxa"/>
              <w:left w:w="0" w:type="dxa"/>
              <w:bottom w:w="0" w:type="dxa"/>
              <w:right w:w="0"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隔震、隔声等措施</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隔震、隔声等措施</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09" w:type="pct"/>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782" w:type="pct"/>
            <w:gridSpan w:val="2"/>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1399" w:type="pct"/>
            <w:noWrap w:val="0"/>
            <w:tcMar>
              <w:top w:w="15" w:type="dxa"/>
              <w:left w:w="0" w:type="dxa"/>
              <w:bottom w:w="0" w:type="dxa"/>
              <w:right w:w="0"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固废暂存室1间，200m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，合理处置</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依托现有</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09" w:type="pct"/>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782" w:type="pct"/>
            <w:gridSpan w:val="2"/>
            <w:vMerge w:val="restart"/>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应急设施</w:t>
            </w:r>
          </w:p>
        </w:tc>
        <w:tc>
          <w:tcPr>
            <w:tcW w:w="1399" w:type="pct"/>
            <w:noWrap w:val="0"/>
            <w:tcMar>
              <w:top w:w="15" w:type="dxa"/>
              <w:left w:w="0" w:type="dxa"/>
              <w:bottom w:w="0" w:type="dxa"/>
              <w:right w:w="0" w:type="dxa"/>
            </w:tcMar>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事故池3个，共2000 m</w:t>
            </w:r>
            <w:r>
              <w:rPr>
                <w:rFonts w:hint="default" w:ascii="Times New Roman" w:hAnsi="Times New Roman" w:eastAsia="宋体" w:cs="Times New Roman"/>
                <w:color w:val="auto"/>
                <w:sz w:val="21"/>
                <w:szCs w:val="21"/>
                <w:vertAlign w:val="superscript"/>
              </w:rPr>
              <w:t>3</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依托现有</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209" w:type="pct"/>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782" w:type="pct"/>
            <w:gridSpan w:val="2"/>
            <w:vMerge w:val="continue"/>
            <w:noWrap w:val="0"/>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1"/>
                <w:szCs w:val="21"/>
              </w:rPr>
            </w:pPr>
          </w:p>
        </w:tc>
        <w:tc>
          <w:tcPr>
            <w:tcW w:w="1399" w:type="pct"/>
            <w:noWrap w:val="0"/>
            <w:tcMar>
              <w:top w:w="15"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雨污分流阀1个，</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废水排口：COD在线监测仪1套、流量计1套、pH在线监测仪1套；</w:t>
            </w:r>
          </w:p>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清下水排口：COD在线监测仪1套；</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依托现有</w:t>
            </w:r>
          </w:p>
        </w:tc>
        <w:tc>
          <w:tcPr>
            <w:tcW w:w="1304"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同环评</w:t>
            </w:r>
          </w:p>
        </w:tc>
      </w:tr>
    </w:tbl>
    <w:p>
      <w:pPr>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br w:type="page"/>
      </w:r>
    </w:p>
    <w:p>
      <w:pPr>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 xml:space="preserve">3.2.3 </w:t>
      </w:r>
      <w:r>
        <w:rPr>
          <w:rFonts w:hint="default" w:ascii="Times New Roman" w:hAnsi="Times New Roman" w:eastAsia="宋体" w:cs="Times New Roman"/>
          <w:b/>
          <w:bCs/>
          <w:color w:val="auto"/>
          <w:sz w:val="24"/>
          <w:szCs w:val="24"/>
          <w:highlight w:val="none"/>
          <w:lang w:eastAsia="zh-CN"/>
        </w:rPr>
        <w:t>生产设备</w:t>
      </w:r>
    </w:p>
    <w:p>
      <w:pPr>
        <w:pStyle w:val="71"/>
        <w:keepNext w:val="0"/>
        <w:keepLines w:val="0"/>
        <w:pageBreakBefore w:val="0"/>
        <w:kinsoku/>
        <w:wordWrap/>
        <w:overflowPunct/>
        <w:topLinePunct w:val="0"/>
        <w:bidi w:val="0"/>
        <w:adjustRightInd w:val="0"/>
        <w:spacing w:line="360" w:lineRule="auto"/>
        <w:ind w:left="0" w:leftChars="0" w:firstLine="480" w:firstLineChars="200"/>
        <w:textAlignment w:val="auto"/>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环评设计建设两套生产装置（甲类生产装置、丙类生产装置），其中异丙醇系列产品在甲类生产装置生产，其余系列产品在丙类生产装置生产；实际建设过程中，因市场原因，企业取消了辛葵酸三甘油酯产品（设计产能12500吨，产能占比50%）的投产计划，即总产能由年产脂肪酸酯产品25000吨降为12500吨，无需建设丙类生产装置即可达到设计产能，丙类生产装置未建设，故实际生产设备相较环评有所减少。</w:t>
      </w:r>
      <w:r>
        <w:rPr>
          <w:rFonts w:hint="default" w:ascii="Times New Roman" w:hAnsi="Times New Roman" w:eastAsia="宋体" w:cs="Times New Roman"/>
          <w:color w:val="auto"/>
          <w:sz w:val="24"/>
          <w:szCs w:val="24"/>
          <w:lang w:val="en-US" w:eastAsia="zh-CN"/>
        </w:rPr>
        <w:t>建成</w:t>
      </w:r>
      <w:r>
        <w:rPr>
          <w:rFonts w:hint="default" w:ascii="Times New Roman" w:hAnsi="Times New Roman" w:eastAsia="宋体" w:cs="Times New Roman"/>
          <w:color w:val="auto"/>
          <w:sz w:val="24"/>
          <w:szCs w:val="24"/>
          <w:lang w:eastAsia="zh-CN"/>
        </w:rPr>
        <w:t>主要设备一览表具体见表</w:t>
      </w:r>
      <w:r>
        <w:rPr>
          <w:rFonts w:hint="default" w:ascii="Times New Roman" w:hAnsi="Times New Roman" w:eastAsia="宋体" w:cs="Times New Roman"/>
          <w:color w:val="auto"/>
          <w:sz w:val="24"/>
          <w:szCs w:val="24"/>
          <w:lang w:val="en-US" w:eastAsia="zh-CN"/>
        </w:rPr>
        <w:t>3.2-3</w:t>
      </w:r>
      <w:r>
        <w:rPr>
          <w:rFonts w:hint="default" w:ascii="Times New Roman" w:hAnsi="Times New Roman" w:eastAsia="宋体" w:cs="Times New Roman"/>
          <w:color w:val="auto"/>
          <w:sz w:val="24"/>
          <w:szCs w:val="24"/>
          <w:lang w:eastAsia="zh-CN"/>
        </w:rPr>
        <w:t>。</w:t>
      </w:r>
    </w:p>
    <w:p>
      <w:pPr>
        <w:pStyle w:val="10"/>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b/>
          <w:color w:val="auto"/>
          <w:sz w:val="24"/>
          <w:szCs w:val="24"/>
        </w:rPr>
      </w:pPr>
      <w:bookmarkStart w:id="10" w:name="_Ref424222171"/>
      <w:r>
        <w:rPr>
          <w:rFonts w:hint="default" w:ascii="Times New Roman" w:hAnsi="Times New Roman" w:eastAsia="宋体" w:cs="Times New Roman"/>
          <w:b/>
          <w:color w:val="auto"/>
          <w:sz w:val="24"/>
          <w:szCs w:val="24"/>
        </w:rPr>
        <w:t>表</w:t>
      </w:r>
      <w:bookmarkEnd w:id="10"/>
      <w:r>
        <w:rPr>
          <w:rFonts w:hint="default" w:ascii="Times New Roman" w:hAnsi="Times New Roman" w:eastAsia="宋体" w:cs="Times New Roman"/>
          <w:b/>
          <w:color w:val="auto"/>
          <w:sz w:val="24"/>
          <w:szCs w:val="24"/>
          <w:lang w:val="en-US" w:eastAsia="zh-CN"/>
        </w:rPr>
        <w:t>3.2-3</w:t>
      </w:r>
      <w:r>
        <w:rPr>
          <w:rFonts w:hint="default" w:ascii="Times New Roman" w:hAnsi="Times New Roman" w:eastAsia="宋体" w:cs="Times New Roman"/>
          <w:b/>
          <w:color w:val="auto"/>
          <w:sz w:val="24"/>
          <w:szCs w:val="24"/>
        </w:rPr>
        <w:t xml:space="preserve">  </w:t>
      </w:r>
      <w:r>
        <w:rPr>
          <w:rFonts w:hint="default" w:ascii="Times New Roman" w:hAnsi="Times New Roman" w:eastAsia="宋体" w:cs="Times New Roman"/>
          <w:b/>
          <w:color w:val="auto"/>
          <w:sz w:val="24"/>
          <w:szCs w:val="24"/>
          <w:lang w:eastAsia="zh-CN"/>
        </w:rPr>
        <w:t>主要生产设备一览表</w:t>
      </w:r>
    </w:p>
    <w:tbl>
      <w:tblPr>
        <w:tblStyle w:val="81"/>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659"/>
        <w:gridCol w:w="1635"/>
        <w:gridCol w:w="2494"/>
        <w:gridCol w:w="842"/>
        <w:gridCol w:w="1266"/>
        <w:gridCol w:w="18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vMerge w:val="restar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3556" w:type="pct"/>
            <w:gridSpan w:val="4"/>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环评设计</w:t>
            </w:r>
          </w:p>
        </w:tc>
        <w:tc>
          <w:tcPr>
            <w:tcW w:w="1066" w:type="pct"/>
            <w:vMerge w:val="restar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实际建设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vMerge w:val="continue"/>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932"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sz w:val="21"/>
                <w:szCs w:val="21"/>
                <w:lang w:val="en-US" w:eastAsia="en-US" w:bidi="ar-SA"/>
              </w:rPr>
            </w:pPr>
            <w:r>
              <w:rPr>
                <w:rFonts w:hint="default" w:ascii="Times New Roman" w:hAnsi="Times New Roman" w:eastAsia="宋体" w:cs="Times New Roman"/>
                <w:b/>
                <w:bCs/>
                <w:color w:val="auto"/>
                <w:sz w:val="21"/>
                <w:szCs w:val="21"/>
                <w:lang w:eastAsia="zh-CN"/>
              </w:rPr>
              <w:t>设备</w:t>
            </w:r>
            <w:r>
              <w:rPr>
                <w:rFonts w:hint="default" w:ascii="Times New Roman" w:hAnsi="Times New Roman" w:eastAsia="宋体" w:cs="Times New Roman"/>
                <w:b/>
                <w:bCs/>
                <w:color w:val="auto"/>
                <w:sz w:val="21"/>
                <w:szCs w:val="21"/>
              </w:rPr>
              <w:t>名称</w:t>
            </w:r>
          </w:p>
        </w:tc>
        <w:tc>
          <w:tcPr>
            <w:tcW w:w="1422" w:type="pct"/>
            <w:tcBorders>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eastAsia="zh-CN"/>
              </w:rPr>
              <w:t>规格</w:t>
            </w:r>
            <w:r>
              <w:rPr>
                <w:rFonts w:hint="default" w:ascii="Times New Roman" w:hAnsi="Times New Roman" w:eastAsia="宋体" w:cs="Times New Roman"/>
                <w:b/>
                <w:bCs/>
                <w:color w:val="auto"/>
                <w:sz w:val="21"/>
                <w:szCs w:val="21"/>
                <w:lang w:val="en-US" w:eastAsia="zh-CN"/>
              </w:rPr>
              <w:t>/型号</w:t>
            </w:r>
          </w:p>
        </w:tc>
        <w:tc>
          <w:tcPr>
            <w:tcW w:w="480" w:type="pct"/>
            <w:tcBorders>
              <w:lef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数量</w:t>
            </w:r>
          </w:p>
        </w:tc>
        <w:tc>
          <w:tcPr>
            <w:tcW w:w="721" w:type="pct"/>
            <w:tcBorders>
              <w:lef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所属生产区</w:t>
            </w:r>
          </w:p>
        </w:tc>
        <w:tc>
          <w:tcPr>
            <w:tcW w:w="1066" w:type="pct"/>
            <w:vMerge w:val="continue"/>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预称重反应釜</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ID3300*4500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restar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甲类装置区</w:t>
            </w: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气压罐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ID1400*1400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3</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真空罐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ID900*800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4</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真空泵罐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ID300*600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5</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反应釜</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ID3300*4500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6</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分馏塔</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ID1000*7000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7</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洗涤器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ID800*1220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8</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1号接收罐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ID1600*1850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9</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2号接收罐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ID1600*1850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10</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冷凝罐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ID750*1000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11</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油气分离罐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OD800*1200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12</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TBT罐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ID100*220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13</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真空泵罐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ID300*600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14</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废水罐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ID1400*700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15</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洗涤/漂白反应釜</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ID3400*4200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16</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排放罐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ID3400*4200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17</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稀释罐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ID1450*1800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18</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热水罐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ID1450*1800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19</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过滤缓冲罐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ID1650*2000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20</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真空泵罐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ID315*560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21</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叶片过滤器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ID3000*5000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22</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增泽过滤器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ID350*1200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23</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蒸馏塔</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ID1500*20000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24</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除臭器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ID1200*10000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25</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脱气器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ID1200*1500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26</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密封罐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ID1000*1250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27</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挥发性气体接收罐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ID1000*1250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28</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蒸馏接收罐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ID1200*1500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29</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真空泵罐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ID300*560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30</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蒸馏塔</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ID600*10000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31</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真空膜分离系统</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ID1500*4500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32</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挥发性气体接收罐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ID1000*1300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33</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蒸馏接收罐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ID1200*1500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34</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密封罐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ID1000*1300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35</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顶部接收罐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ID1200*1500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36</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HPA 料斗</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ID600*700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37</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醇罐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ID1400*700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38</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催化剂混合器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ID500*600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39</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CARBON罐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ID1400*1400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40</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PTFS 料斗</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ID1000*700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41</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固体催化剂料斗</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OD600*200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42</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TBT计量罐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ID400*400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43</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DIMER计量罐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ID1400*1000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44</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醇罐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ID1800*2200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45</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固体计量料斗</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700*700*1200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46</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固体化学品罐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ID1400*1000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47</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试剂罐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ID662*700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48</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试剂计量料斗</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ID662*700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49</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真空泵后冷却器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换热面积：25㎡</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50</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总冷凝器（反应釜）</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换热面积：107㎡</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51</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TRIM冷凝器</w:t>
            </w:r>
          </w:p>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（反应釜）</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换热面积：60.5㎡</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52</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真空冷凝器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换热面积：23㎡</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53</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产品冷却器2</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换热面积：13.8㎡</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54</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产品冷却器1</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换热面积：18.6㎡</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55</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蒸汽立管</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换热面积：58.44㎡</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56</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表面/真空冷凝器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换热面积：39.9㎡</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57</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冷却器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换热面积：23㎡</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58</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节热器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换热面积：23㎡</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59</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预热器（除臭器）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换热面积：10㎡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60</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蒸馏塔冷凝器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换热面积：40㎡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61</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蒸馏塔蒸发器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热负荷：270.25KW</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62</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除臭器预冷器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热负荷：276KW</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63</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重清洗冷凝器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换热面积：50㎡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64</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总冷凝器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换热面积：11.8㎡</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65</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真空冷凝器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换热面积：39.9㎡</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66</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蒸汽过热器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热负荷：50KW</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67</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解热器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热负荷：86.25KW</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68</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预热器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热负荷：51.75KW</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69</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产品冷却器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换热面积：15㎡</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70</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总冷凝器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换热面积：15㎡</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71</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真空冷凝器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换热面积：39.9㎡</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72</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顶部冷凝器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换热面积：15㎡</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73</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重沸器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热负荷：100KW</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74</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HPA输送泵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扬程：15米，流量：2m³/h</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75</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PTSA输送泵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扬程：15米，流量：2m³/h</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76</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PTSA计量泵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扬程：15米，流量：2m³/h</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77</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IBC输送泵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扬程：15米，流量：2m³/h</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78</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热水泵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扬程：15米，流量：10m³/h</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79</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真空罐泵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扬程：15米，流量：8m³/h</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80</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液环真空泵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电机功率：22KW</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81</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搅拌器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电机功率：75KW</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82</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HPA计量泵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扬程：15米，流量：2m³/h</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83</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鼓风机</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电机功率：11KW</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84</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TBT输送泵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扬程：15米，流量：2m³/h</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85</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FA输送泵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扬程：15米，流量：35m³/h</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86</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Cadura计量泵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扬程：15米，流量：2m³/h</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87</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污水排水泵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电机功率：18.5KW</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88</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冷凝水循环泵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扬程：50米，流量：50m³/h</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89</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乙醇接收泵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扬程：50米，流量：10m³/h</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90</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液环真空泵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电机功率：22KW</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91</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搅拌器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电机功率：75KW</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92</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反应产品输送泵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扬程:15米，流量：35m³/h</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93</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漂白产品输送泵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扬程:15米，流量：35m³/h</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94</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增泽过滤器泵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扬程:15米，流量：35m³/h</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95</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液环真空泵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电机功率：22KW</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96</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搅拌器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电机功率：75KW</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97</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蒸馏泵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扬程:15米，流量：2m³/h</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98</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再沸器泵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扬程:15米，流量：2m³/h</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99</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蒸馏泵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扬程:15米，流量：2m³/h</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100</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冷凝水循环泵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电机功率:18.5KW</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101</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除臭产品泵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扬程:30米，流量：2m³/h</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102</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液环真空泵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电机功率:22KW</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103</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液环真空泵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电机功率:22KW</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104</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进料泵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扬程:20米，流量：2m³/h</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105</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重产品泵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扬程:15米，流量：2m³/h</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106</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蒸馏泵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扬程:15米，流量：2m³/h</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107</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最终产品泵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扬程:20米，流量：2m³/h</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108</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化学试剂回收泵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扬程:30米，流量：2m³/h</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109</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液环真空泵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电机功率:22KW</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110</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蒸汽喷射泵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11bar,188℃</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14</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预称重反应釜</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ID3300*4500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restar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丙类装置区</w:t>
            </w: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2</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气压罐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ID1400*1400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3</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真空罐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ID900*800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4</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真空泵罐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ID300*600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5</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反应釜</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ID3300*4500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6</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分馏塔</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ID1000*7000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7</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洗涤器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ID800*1220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8</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1号接收罐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ID1600*1850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9</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2号接收罐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ID1600*1850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10</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冷凝罐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ID750*1000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11</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油气分离罐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OD800*1200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12</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TBT罐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ID100*220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13</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真空泵罐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ID300*600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14</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废水罐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ID1400*700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15</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洗涤/漂白反应釜</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ID3400*4200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16</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排放罐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ID3400*4200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17</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稀释罐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ID1450*1800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18</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热水罐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ID1450*1800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19</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过滤缓冲罐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ID1650*2000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20</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真空泵罐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ID315*560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21</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叶片过滤器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ID3000*5000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22</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增泽过滤器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ID350*1200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23</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脱气器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ID1200*10000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24</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脱气器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ID1200*1500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25</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密封罐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ID1000*1250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26</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挥发性气体接收罐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ID1000*1250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27</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真空泵罐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ID300*560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28</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CARBON罐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ID1400*1400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29</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PTFS 料斗</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ID1000*700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30</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固体化学品罐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ID1400*1000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31</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试剂罐</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ID662*700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32</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真空泵后冷却器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换热面积：25㎡</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33</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总冷凝器（反应釜）</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换热面积：107㎡</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34</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jc w:val="center"/>
              <w:textAlignment w:val="auto"/>
              <w:rPr>
                <w:rFonts w:hint="default" w:ascii="Times New Roman" w:hAnsi="Times New Roman" w:eastAsia="宋体" w:cs="Times New Roman"/>
                <w:color w:val="auto"/>
                <w:kern w:val="0"/>
                <w:sz w:val="21"/>
                <w:szCs w:val="24"/>
              </w:rPr>
            </w:pPr>
            <w:r>
              <w:rPr>
                <w:rFonts w:hint="default" w:ascii="Times New Roman" w:hAnsi="Times New Roman" w:eastAsia="宋体" w:cs="Times New Roman"/>
                <w:color w:val="auto"/>
                <w:kern w:val="0"/>
                <w:sz w:val="21"/>
                <w:szCs w:val="24"/>
              </w:rPr>
              <w:t>TRIM冷凝器</w:t>
            </w:r>
          </w:p>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（反应釜）</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换热面积：60.5㎡</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35</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真空冷凝器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换热面积：23㎡</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36</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产品冷却器2</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换热面积：13.8㎡</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37</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产品冷却器1</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换热面积：18.6㎡</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38</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蒸汽立管</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换热面积：58.44㎡</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39</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表面/真空冷凝器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换热面积：39.9㎡</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40</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冷却器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换热面积：23㎡</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41</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节热器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换热面积：23㎡</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42</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预热器（除臭器）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换热面积：10㎡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43</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蒸馏塔冷凝器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换热面积：40㎡</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44</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除臭器预冷器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热负荷：276KW</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45</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总冷凝器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换热面积：11.8㎡</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46</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真空冷凝器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换热面积：39.9㎡</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47</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IBC输送泵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扬程：15米，流量：2m³/h</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48</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热水泵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扬程：15米，流量：10m³/h</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49</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真空罐泵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扬程：15米，流量：8m³/h</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50</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液环真空泵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电机功率：22KW</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51</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搅拌器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电机功率：75KW</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52</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HPA计量泵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扬程：15米，流量：2m³/h</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53</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鼓风机</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电机功率：11KW</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54</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TBT输送泵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扬程：15米，流量：2m³/h</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55</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FA输送泵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扬程：15米，流量：35m³/h</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56</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Cadura计量泵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扬程：15米，流量：2m³/h</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57</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污水排水泵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电机功率：18.5KW</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58</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冷凝水循环泵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扬程：50米，流量：50m³/h</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59</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醇类接收泵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扬程：50米，流量：10m³/h</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60</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液环真空泵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电机功率：22KW</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61</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搅拌器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电机功率：75KW</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62</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反应产品输送泵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扬程:15米，流量：35m³/h</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63</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漂白产品输送泵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扬程:15米，流量：35m³/h</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64</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增泽过滤器泵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扬程:15米，流量：35m³/h</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65</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液环真空泵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电机功率：22KW</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66</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搅拌器</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电机功率：75KW</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67</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蒸馏泵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扬程:15米，流量：2m³/h</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68</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再沸器泵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扬程:15米，流量：2m³/h</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69</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除臭产品泵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扬程:30米，流量：2m³/h</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70</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液环真空泵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电机功率:22KW</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71</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液环真空泵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电机功率:22KW</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72</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液环真空泵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电机功率:22KW</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63"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73</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蒸汽喷射泵</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11bar,188℃</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2</w:t>
            </w:r>
          </w:p>
        </w:tc>
        <w:tc>
          <w:tcPr>
            <w:tcW w:w="721" w:type="pct"/>
            <w:vMerge w:val="continue"/>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cs="Times New Roman"/>
                <w:snapToGrid w:val="0"/>
                <w:color w:val="auto"/>
                <w:kern w:val="0"/>
                <w:sz w:val="21"/>
                <w:szCs w:val="21"/>
                <w:lang w:eastAsia="zh-CN"/>
              </w:rPr>
              <w:t>不再建设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9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自动灌装线</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5t/h</w:t>
            </w:r>
          </w:p>
        </w:tc>
        <w:tc>
          <w:tcPr>
            <w:tcW w:w="480"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tcBorders>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依托二期项目自动灌装线的预留灌装管路和工位</w:t>
            </w: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2</w:t>
            </w:r>
          </w:p>
        </w:tc>
        <w:tc>
          <w:tcPr>
            <w:tcW w:w="932" w:type="pct"/>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实验室检测设备</w:t>
            </w: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GCA色谱仪</w:t>
            </w:r>
          </w:p>
        </w:tc>
        <w:tc>
          <w:tcPr>
            <w:tcW w:w="480" w:type="pct"/>
            <w:tcBorders>
              <w:left w:val="single" w:color="auto" w:sz="4" w:space="0"/>
              <w:bottom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lang w:val="en-US" w:eastAsia="en-US" w:bidi="ar-SA"/>
              </w:rPr>
            </w:pPr>
            <w:r>
              <w:rPr>
                <w:rFonts w:hint="default" w:ascii="Times New Roman" w:hAnsi="Times New Roman" w:eastAsia="宋体" w:cs="Times New Roman"/>
                <w:color w:val="auto"/>
                <w:kern w:val="0"/>
                <w:sz w:val="21"/>
                <w:szCs w:val="24"/>
              </w:rPr>
              <w:t>1</w:t>
            </w:r>
          </w:p>
        </w:tc>
        <w:tc>
          <w:tcPr>
            <w:tcW w:w="721" w:type="pct"/>
            <w:tcBorders>
              <w:left w:val="single" w:color="auto" w:sz="4" w:space="0"/>
              <w:bottom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现有实验室</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新增</w:t>
            </w: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trPr>
        <w:tc>
          <w:tcPr>
            <w:tcW w:w="376" w:type="pct"/>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rPr>
            </w:pPr>
          </w:p>
        </w:tc>
        <w:tc>
          <w:tcPr>
            <w:tcW w:w="932" w:type="pct"/>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rPr>
            </w:pPr>
          </w:p>
        </w:tc>
        <w:tc>
          <w:tcPr>
            <w:tcW w:w="1422" w:type="pct"/>
            <w:tcBorders>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highlight w:val="none"/>
                <w:lang w:val="en-US" w:eastAsia="en-US" w:bidi="ar-SA"/>
              </w:rPr>
            </w:pPr>
            <w:r>
              <w:rPr>
                <w:rFonts w:hint="default" w:ascii="Times New Roman" w:hAnsi="Times New Roman" w:eastAsia="宋体" w:cs="Times New Roman"/>
                <w:color w:val="auto"/>
                <w:kern w:val="0"/>
                <w:sz w:val="21"/>
                <w:szCs w:val="24"/>
                <w:highlight w:val="none"/>
              </w:rPr>
              <w:t>见表3.1.3-1</w:t>
            </w:r>
          </w:p>
        </w:tc>
        <w:tc>
          <w:tcPr>
            <w:tcW w:w="480" w:type="pct"/>
            <w:tcBorders>
              <w:top w:val="single" w:color="auto" w:sz="4" w:space="0"/>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4"/>
                <w:highlight w:val="none"/>
                <w:lang w:val="en-US" w:eastAsia="en-US" w:bidi="ar-SA"/>
              </w:rPr>
            </w:pPr>
            <w:r>
              <w:rPr>
                <w:rFonts w:hint="default" w:ascii="Times New Roman" w:hAnsi="Times New Roman" w:eastAsia="宋体" w:cs="Times New Roman"/>
                <w:color w:val="auto"/>
                <w:kern w:val="0"/>
                <w:sz w:val="21"/>
                <w:szCs w:val="24"/>
                <w:highlight w:val="none"/>
              </w:rPr>
              <w:t>/</w:t>
            </w:r>
          </w:p>
        </w:tc>
        <w:tc>
          <w:tcPr>
            <w:tcW w:w="721" w:type="pct"/>
            <w:tcBorders>
              <w:top w:val="single" w:color="auto" w:sz="4" w:space="0"/>
              <w:lef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beforeLines="0" w:afterLines="0" w:line="240" w:lineRule="auto"/>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现有实验室</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依托</w:t>
            </w:r>
          </w:p>
        </w:tc>
        <w:tc>
          <w:tcPr>
            <w:tcW w:w="1066" w:type="pct"/>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同环评</w:t>
            </w:r>
          </w:p>
        </w:tc>
      </w:tr>
    </w:tbl>
    <w:p>
      <w:pPr>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br w:type="page"/>
      </w:r>
    </w:p>
    <w:p>
      <w:pPr>
        <w:pStyle w:val="4"/>
        <w:keepNext w:val="0"/>
        <w:keepLines w:val="0"/>
        <w:pageBreakBefore w:val="0"/>
        <w:widowControl w:val="0"/>
        <w:kinsoku/>
        <w:wordWrap/>
        <w:overflowPunct/>
        <w:topLinePunct w:val="0"/>
        <w:autoSpaceDE w:val="0"/>
        <w:autoSpaceDN w:val="0"/>
        <w:bidi w:val="0"/>
        <w:adjustRightInd/>
        <w:snapToGrid/>
        <w:ind w:left="0" w:leftChars="0" w:firstLine="0" w:firstLineChars="0"/>
        <w:textAlignment w:val="auto"/>
        <w:rPr>
          <w:rFonts w:hint="default" w:ascii="Times New Roman" w:hAnsi="Times New Roman" w:eastAsia="宋体" w:cs="Times New Roman"/>
          <w:color w:val="auto"/>
          <w:sz w:val="28"/>
          <w:szCs w:val="28"/>
          <w:lang w:eastAsia="zh-CN"/>
        </w:rPr>
      </w:pPr>
      <w:bookmarkStart w:id="11" w:name="_Toc15214"/>
      <w:r>
        <w:rPr>
          <w:rFonts w:hint="default" w:ascii="Times New Roman" w:hAnsi="Times New Roman" w:eastAsia="宋体" w:cs="Times New Roman"/>
          <w:color w:val="auto"/>
          <w:sz w:val="28"/>
          <w:szCs w:val="28"/>
          <w:lang w:val="en-US" w:eastAsia="zh-CN"/>
        </w:rPr>
        <w:t xml:space="preserve">3.3 </w:t>
      </w:r>
      <w:r>
        <w:rPr>
          <w:rFonts w:hint="default" w:ascii="Times New Roman" w:hAnsi="Times New Roman" w:eastAsia="宋体" w:cs="Times New Roman"/>
          <w:color w:val="auto"/>
          <w:sz w:val="28"/>
          <w:szCs w:val="28"/>
          <w:lang w:eastAsia="zh-CN"/>
        </w:rPr>
        <w:t>原辅材料、能源消耗</w:t>
      </w:r>
      <w:bookmarkEnd w:id="11"/>
    </w:p>
    <w:p>
      <w:pPr>
        <w:keepNext w:val="0"/>
        <w:keepLines w:val="0"/>
        <w:pageBreakBefore w:val="0"/>
        <w:widowControl w:val="0"/>
        <w:kinsoku/>
        <w:wordWrap/>
        <w:overflowPunct/>
        <w:topLinePunct w:val="0"/>
        <w:autoSpaceDE w:val="0"/>
        <w:autoSpaceDN w:val="0"/>
        <w:bidi w:val="0"/>
        <w:adjustRightInd/>
        <w:snapToGrid/>
        <w:ind w:firstLine="482" w:firstLineChars="200"/>
        <w:jc w:val="center"/>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表</w:t>
      </w:r>
      <w:r>
        <w:rPr>
          <w:rFonts w:hint="default" w:ascii="Times New Roman" w:hAnsi="Times New Roman" w:eastAsia="宋体" w:cs="Times New Roman"/>
          <w:b/>
          <w:color w:val="auto"/>
          <w:lang w:val="en-US" w:eastAsia="zh-CN"/>
        </w:rPr>
        <w:t xml:space="preserve">3.3-1 </w:t>
      </w:r>
      <w:r>
        <w:rPr>
          <w:rFonts w:hint="default" w:ascii="Times New Roman" w:hAnsi="Times New Roman" w:eastAsia="宋体" w:cs="Times New Roman"/>
          <w:b/>
          <w:color w:val="auto"/>
        </w:rPr>
        <w:t xml:space="preserve"> 主要原辅材料消耗一览表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09"/>
        <w:gridCol w:w="1626"/>
        <w:gridCol w:w="1647"/>
        <w:gridCol w:w="1377"/>
        <w:gridCol w:w="1282"/>
        <w:gridCol w:w="944"/>
        <w:gridCol w:w="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09" w:type="dxa"/>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1626" w:type="dxa"/>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1647" w:type="dxa"/>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重要组分、规格、指标</w:t>
            </w:r>
          </w:p>
        </w:tc>
        <w:tc>
          <w:tcPr>
            <w:tcW w:w="1377" w:type="dxa"/>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环评设计</w:t>
            </w:r>
            <w:r>
              <w:rPr>
                <w:rFonts w:hint="default" w:ascii="Times New Roman" w:hAnsi="Times New Roman" w:eastAsia="宋体" w:cs="Times New Roman"/>
                <w:b/>
                <w:bCs/>
                <w:color w:val="auto"/>
                <w:sz w:val="21"/>
                <w:szCs w:val="21"/>
              </w:rPr>
              <w:t>年耗量（t/a）</w:t>
            </w:r>
          </w:p>
        </w:tc>
        <w:tc>
          <w:tcPr>
            <w:tcW w:w="1282" w:type="dxa"/>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包装规格</w:t>
            </w:r>
          </w:p>
        </w:tc>
        <w:tc>
          <w:tcPr>
            <w:tcW w:w="944" w:type="dxa"/>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贮存方式</w:t>
            </w:r>
          </w:p>
        </w:tc>
        <w:tc>
          <w:tcPr>
            <w:tcW w:w="0" w:type="auto"/>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实际建设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09" w:type="dxa"/>
            <w:vMerge w:val="restart"/>
            <w:noWrap w:val="0"/>
            <w:vAlign w:val="center"/>
          </w:tcPr>
          <w:p>
            <w:pPr>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主要原辅材料</w:t>
            </w:r>
          </w:p>
        </w:tc>
        <w:tc>
          <w:tcPr>
            <w:tcW w:w="1626" w:type="dxa"/>
            <w:noWrap w:val="0"/>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异丙醇</w:t>
            </w:r>
          </w:p>
        </w:tc>
        <w:tc>
          <w:tcPr>
            <w:tcW w:w="1647" w:type="dxa"/>
            <w:noWrap w:val="0"/>
            <w:vAlign w:val="center"/>
          </w:tcPr>
          <w:p>
            <w:pPr>
              <w:snapToGrid w:val="0"/>
              <w:spacing w:line="240" w:lineRule="auto"/>
              <w:ind w:left="-120" w:leftChars="-50" w:right="-12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0"/>
                <w:szCs w:val="21"/>
              </w:rPr>
              <w:t>≥99.9%</w:t>
            </w:r>
          </w:p>
        </w:tc>
        <w:tc>
          <w:tcPr>
            <w:tcW w:w="137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1357.776</w:t>
            </w:r>
          </w:p>
        </w:tc>
        <w:tc>
          <w:tcPr>
            <w:tcW w:w="1282" w:type="dxa"/>
            <w:noWrap w:val="0"/>
            <w:vAlign w:val="center"/>
          </w:tcPr>
          <w:p>
            <w:pPr>
              <w:snapToGrid w:val="0"/>
              <w:spacing w:line="240" w:lineRule="auto"/>
              <w:ind w:left="-120" w:leftChars="-50" w:right="-120"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散装液体</w:t>
            </w:r>
          </w:p>
        </w:tc>
        <w:tc>
          <w:tcPr>
            <w:tcW w:w="944" w:type="dxa"/>
            <w:noWrap w:val="0"/>
            <w:vAlign w:val="center"/>
          </w:tcPr>
          <w:p>
            <w:pPr>
              <w:snapToGrid w:val="0"/>
              <w:spacing w:line="240" w:lineRule="auto"/>
              <w:ind w:left="-120" w:leftChars="-50" w:right="-120"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储罐</w:t>
            </w:r>
          </w:p>
        </w:tc>
        <w:tc>
          <w:tcPr>
            <w:tcW w:w="0" w:type="auto"/>
            <w:noWrap w:val="0"/>
            <w:vAlign w:val="center"/>
          </w:tcPr>
          <w:p>
            <w:pPr>
              <w:adjustRightInd w:val="0"/>
              <w:snapToGrid w:val="0"/>
              <w:spacing w:line="240" w:lineRule="auto"/>
              <w:ind w:left="0" w:leftChars="0" w:right="0" w:rightChars="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09" w:type="dxa"/>
            <w:vMerge w:val="continue"/>
            <w:noWrap w:val="0"/>
            <w:vAlign w:val="center"/>
          </w:tcPr>
          <w:p>
            <w:pPr>
              <w:snapToGrid w:val="0"/>
              <w:spacing w:line="240" w:lineRule="auto"/>
              <w:jc w:val="center"/>
              <w:rPr>
                <w:rFonts w:hint="default" w:ascii="Times New Roman" w:hAnsi="Times New Roman" w:eastAsia="宋体" w:cs="Times New Roman"/>
                <w:color w:val="auto"/>
                <w:sz w:val="21"/>
                <w:szCs w:val="21"/>
              </w:rPr>
            </w:pPr>
          </w:p>
        </w:tc>
        <w:tc>
          <w:tcPr>
            <w:tcW w:w="1626" w:type="dxa"/>
            <w:noWrap w:val="0"/>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异辛醇</w:t>
            </w:r>
          </w:p>
        </w:tc>
        <w:tc>
          <w:tcPr>
            <w:tcW w:w="1647" w:type="dxa"/>
            <w:noWrap w:val="0"/>
            <w:vAlign w:val="center"/>
          </w:tcPr>
          <w:p>
            <w:pPr>
              <w:snapToGrid w:val="0"/>
              <w:spacing w:line="240" w:lineRule="auto"/>
              <w:ind w:left="-120" w:leftChars="-50" w:right="-12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0"/>
                <w:szCs w:val="21"/>
              </w:rPr>
              <w:t>≥99.5%</w:t>
            </w:r>
          </w:p>
        </w:tc>
        <w:tc>
          <w:tcPr>
            <w:tcW w:w="137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923.52</w:t>
            </w:r>
          </w:p>
        </w:tc>
        <w:tc>
          <w:tcPr>
            <w:tcW w:w="1282" w:type="dxa"/>
            <w:noWrap w:val="0"/>
            <w:vAlign w:val="center"/>
          </w:tcPr>
          <w:p>
            <w:pPr>
              <w:snapToGrid w:val="0"/>
              <w:spacing w:line="240" w:lineRule="auto"/>
              <w:ind w:left="-120" w:leftChars="-50" w:right="-120"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散装液体</w:t>
            </w:r>
          </w:p>
        </w:tc>
        <w:tc>
          <w:tcPr>
            <w:tcW w:w="944" w:type="dxa"/>
            <w:noWrap w:val="0"/>
            <w:vAlign w:val="center"/>
          </w:tcPr>
          <w:p>
            <w:pPr>
              <w:snapToGrid w:val="0"/>
              <w:spacing w:line="240" w:lineRule="auto"/>
              <w:ind w:left="-120" w:leftChars="-50" w:right="-120"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储罐</w:t>
            </w:r>
          </w:p>
        </w:tc>
        <w:tc>
          <w:tcPr>
            <w:tcW w:w="0" w:type="auto"/>
            <w:noWrap w:val="0"/>
            <w:vAlign w:val="center"/>
          </w:tcPr>
          <w:p>
            <w:pPr>
              <w:adjustRightInd w:val="0"/>
              <w:snapToGrid w:val="0"/>
              <w:spacing w:line="240" w:lineRule="auto"/>
              <w:ind w:left="0" w:leftChars="0" w:right="0" w:righ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09" w:type="dxa"/>
            <w:vMerge w:val="continue"/>
            <w:noWrap w:val="0"/>
            <w:vAlign w:val="center"/>
          </w:tcPr>
          <w:p>
            <w:pPr>
              <w:snapToGrid w:val="0"/>
              <w:spacing w:line="240" w:lineRule="auto"/>
              <w:ind w:left="-120" w:leftChars="-50" w:right="-120" w:rightChars="-50"/>
              <w:jc w:val="center"/>
              <w:rPr>
                <w:rFonts w:hint="default" w:ascii="Times New Roman" w:hAnsi="Times New Roman" w:eastAsia="宋体" w:cs="Times New Roman"/>
                <w:bCs/>
                <w:color w:val="auto"/>
                <w:sz w:val="21"/>
                <w:szCs w:val="21"/>
              </w:rPr>
            </w:pPr>
          </w:p>
        </w:tc>
        <w:tc>
          <w:tcPr>
            <w:tcW w:w="1626" w:type="dxa"/>
            <w:noWrap w:val="0"/>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三羟甲基丙烷</w:t>
            </w:r>
          </w:p>
        </w:tc>
        <w:tc>
          <w:tcPr>
            <w:tcW w:w="1647" w:type="dxa"/>
            <w:noWrap w:val="0"/>
            <w:vAlign w:val="center"/>
          </w:tcPr>
          <w:p>
            <w:pPr>
              <w:snapToGrid w:val="0"/>
              <w:spacing w:line="240" w:lineRule="auto"/>
              <w:ind w:left="-120" w:leftChars="-50" w:right="-12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0"/>
                <w:szCs w:val="21"/>
              </w:rPr>
              <w:t>≥99.5%</w:t>
            </w:r>
          </w:p>
        </w:tc>
        <w:tc>
          <w:tcPr>
            <w:tcW w:w="137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656.28</w:t>
            </w:r>
          </w:p>
        </w:tc>
        <w:tc>
          <w:tcPr>
            <w:tcW w:w="1282" w:type="dxa"/>
            <w:noWrap w:val="0"/>
            <w:vAlign w:val="center"/>
          </w:tcPr>
          <w:p>
            <w:pPr>
              <w:snapToGrid w:val="0"/>
              <w:spacing w:line="240" w:lineRule="auto"/>
              <w:ind w:left="-120" w:leftChars="-50" w:right="-120"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散装液体</w:t>
            </w:r>
          </w:p>
        </w:tc>
        <w:tc>
          <w:tcPr>
            <w:tcW w:w="944" w:type="dxa"/>
            <w:noWrap w:val="0"/>
            <w:vAlign w:val="center"/>
          </w:tcPr>
          <w:p>
            <w:pPr>
              <w:snapToGrid w:val="0"/>
              <w:spacing w:line="240" w:lineRule="auto"/>
              <w:ind w:left="-120" w:leftChars="-50" w:right="-120"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储罐</w:t>
            </w:r>
          </w:p>
        </w:tc>
        <w:tc>
          <w:tcPr>
            <w:tcW w:w="0" w:type="auto"/>
            <w:noWrap w:val="0"/>
            <w:vAlign w:val="center"/>
          </w:tcPr>
          <w:p>
            <w:pPr>
              <w:adjustRightInd w:val="0"/>
              <w:snapToGrid w:val="0"/>
              <w:spacing w:line="240" w:lineRule="auto"/>
              <w:ind w:left="0" w:leftChars="0" w:right="0" w:righ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09" w:type="dxa"/>
            <w:vMerge w:val="continue"/>
            <w:noWrap w:val="0"/>
            <w:vAlign w:val="center"/>
          </w:tcPr>
          <w:p>
            <w:pPr>
              <w:snapToGrid w:val="0"/>
              <w:spacing w:line="240" w:lineRule="auto"/>
              <w:ind w:left="-120" w:leftChars="-50" w:right="-120" w:rightChars="-50"/>
              <w:jc w:val="center"/>
              <w:rPr>
                <w:rFonts w:hint="default" w:ascii="Times New Roman" w:hAnsi="Times New Roman" w:eastAsia="宋体" w:cs="Times New Roman"/>
                <w:bCs/>
                <w:color w:val="auto"/>
                <w:sz w:val="21"/>
                <w:szCs w:val="21"/>
              </w:rPr>
            </w:pPr>
            <w:bookmarkStart w:id="12" w:name="_Hlk352541672"/>
          </w:p>
        </w:tc>
        <w:tc>
          <w:tcPr>
            <w:tcW w:w="1626" w:type="dxa"/>
            <w:noWrap w:val="0"/>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棕榈酸</w:t>
            </w:r>
          </w:p>
        </w:tc>
        <w:tc>
          <w:tcPr>
            <w:tcW w:w="1647" w:type="dxa"/>
            <w:noWrap w:val="0"/>
            <w:vAlign w:val="center"/>
          </w:tcPr>
          <w:p>
            <w:pPr>
              <w:snapToGrid w:val="0"/>
              <w:spacing w:line="240" w:lineRule="auto"/>
              <w:ind w:left="-120" w:leftChars="-50" w:right="-12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0"/>
                <w:szCs w:val="21"/>
              </w:rPr>
              <w:t>≥98.5%</w:t>
            </w:r>
          </w:p>
        </w:tc>
        <w:tc>
          <w:tcPr>
            <w:tcW w:w="137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1496</w:t>
            </w:r>
          </w:p>
        </w:tc>
        <w:tc>
          <w:tcPr>
            <w:tcW w:w="1282" w:type="dxa"/>
            <w:noWrap w:val="0"/>
            <w:vAlign w:val="center"/>
          </w:tcPr>
          <w:p>
            <w:pPr>
              <w:snapToGrid w:val="0"/>
              <w:spacing w:line="240" w:lineRule="auto"/>
              <w:ind w:left="-120" w:leftChars="-50" w:right="-120"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散装液体</w:t>
            </w:r>
          </w:p>
        </w:tc>
        <w:tc>
          <w:tcPr>
            <w:tcW w:w="944" w:type="dxa"/>
            <w:noWrap w:val="0"/>
            <w:vAlign w:val="center"/>
          </w:tcPr>
          <w:p>
            <w:pPr>
              <w:snapToGrid w:val="0"/>
              <w:spacing w:line="240" w:lineRule="auto"/>
              <w:ind w:left="-120" w:leftChars="-50" w:right="-120"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储罐</w:t>
            </w:r>
          </w:p>
        </w:tc>
        <w:tc>
          <w:tcPr>
            <w:tcW w:w="0" w:type="auto"/>
            <w:noWrap w:val="0"/>
            <w:vAlign w:val="center"/>
          </w:tcPr>
          <w:p>
            <w:pPr>
              <w:adjustRightInd w:val="0"/>
              <w:snapToGrid w:val="0"/>
              <w:spacing w:line="240" w:lineRule="auto"/>
              <w:ind w:left="0" w:leftChars="0" w:right="0" w:righ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同环评</w:t>
            </w:r>
          </w:p>
        </w:tc>
      </w:tr>
      <w:bookmarkEnd w:id="1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09" w:type="dxa"/>
            <w:vMerge w:val="continue"/>
            <w:noWrap w:val="0"/>
            <w:vAlign w:val="center"/>
          </w:tcPr>
          <w:p>
            <w:pPr>
              <w:snapToGrid w:val="0"/>
              <w:spacing w:line="240" w:lineRule="auto"/>
              <w:ind w:left="-120" w:leftChars="-50" w:right="-120" w:rightChars="-50"/>
              <w:jc w:val="center"/>
              <w:rPr>
                <w:rFonts w:hint="default" w:ascii="Times New Roman" w:hAnsi="Times New Roman" w:eastAsia="宋体" w:cs="Times New Roman"/>
                <w:bCs/>
                <w:color w:val="auto"/>
                <w:sz w:val="21"/>
                <w:szCs w:val="21"/>
              </w:rPr>
            </w:pPr>
          </w:p>
        </w:tc>
        <w:tc>
          <w:tcPr>
            <w:tcW w:w="1626" w:type="dxa"/>
            <w:noWrap w:val="0"/>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肉豆蔻酸</w:t>
            </w:r>
          </w:p>
        </w:tc>
        <w:tc>
          <w:tcPr>
            <w:tcW w:w="1647" w:type="dxa"/>
            <w:noWrap w:val="0"/>
            <w:vAlign w:val="center"/>
          </w:tcPr>
          <w:p>
            <w:pPr>
              <w:snapToGrid w:val="0"/>
              <w:spacing w:line="240" w:lineRule="auto"/>
              <w:ind w:left="-120" w:leftChars="-50" w:right="-12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0"/>
                <w:szCs w:val="21"/>
              </w:rPr>
              <w:t>≥98.5%</w:t>
            </w:r>
          </w:p>
        </w:tc>
        <w:tc>
          <w:tcPr>
            <w:tcW w:w="1377" w:type="dxa"/>
            <w:noWrap w:val="0"/>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1978</w:t>
            </w:r>
          </w:p>
        </w:tc>
        <w:tc>
          <w:tcPr>
            <w:tcW w:w="1282" w:type="dxa"/>
            <w:noWrap w:val="0"/>
            <w:vAlign w:val="center"/>
          </w:tcPr>
          <w:p>
            <w:pPr>
              <w:snapToGrid w:val="0"/>
              <w:spacing w:line="240" w:lineRule="auto"/>
              <w:ind w:left="-120" w:leftChars="-50" w:right="-120"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散装液体</w:t>
            </w:r>
          </w:p>
        </w:tc>
        <w:tc>
          <w:tcPr>
            <w:tcW w:w="944" w:type="dxa"/>
            <w:noWrap w:val="0"/>
            <w:vAlign w:val="center"/>
          </w:tcPr>
          <w:p>
            <w:pPr>
              <w:snapToGrid w:val="0"/>
              <w:spacing w:line="240" w:lineRule="auto"/>
              <w:ind w:left="-120" w:leftChars="-50" w:right="-120"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储罐</w:t>
            </w:r>
          </w:p>
        </w:tc>
        <w:tc>
          <w:tcPr>
            <w:tcW w:w="0" w:type="auto"/>
            <w:noWrap w:val="0"/>
            <w:vAlign w:val="center"/>
          </w:tcPr>
          <w:p>
            <w:pPr>
              <w:adjustRightInd w:val="0"/>
              <w:snapToGrid w:val="0"/>
              <w:spacing w:line="240" w:lineRule="auto"/>
              <w:ind w:left="0" w:leftChars="0" w:right="0" w:righ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09" w:type="dxa"/>
            <w:vMerge w:val="continue"/>
            <w:noWrap w:val="0"/>
            <w:vAlign w:val="center"/>
          </w:tcPr>
          <w:p>
            <w:pPr>
              <w:snapToGrid w:val="0"/>
              <w:spacing w:line="240" w:lineRule="auto"/>
              <w:ind w:left="-120" w:leftChars="-50" w:right="-120" w:rightChars="-50"/>
              <w:jc w:val="center"/>
              <w:rPr>
                <w:rFonts w:hint="default" w:ascii="Times New Roman" w:hAnsi="Times New Roman" w:eastAsia="宋体" w:cs="Times New Roman"/>
                <w:bCs/>
                <w:color w:val="auto"/>
                <w:sz w:val="21"/>
                <w:szCs w:val="21"/>
              </w:rPr>
            </w:pPr>
          </w:p>
        </w:tc>
        <w:tc>
          <w:tcPr>
            <w:tcW w:w="1626" w:type="dxa"/>
            <w:noWrap w:val="0"/>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油酸</w:t>
            </w:r>
          </w:p>
        </w:tc>
        <w:tc>
          <w:tcPr>
            <w:tcW w:w="1647" w:type="dxa"/>
            <w:noWrap w:val="0"/>
            <w:vAlign w:val="center"/>
          </w:tcPr>
          <w:p>
            <w:pPr>
              <w:snapToGrid w:val="0"/>
              <w:spacing w:line="240" w:lineRule="auto"/>
              <w:ind w:left="-120" w:leftChars="-50" w:right="-12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0"/>
                <w:szCs w:val="21"/>
              </w:rPr>
              <w:t>≥98.5%</w:t>
            </w:r>
          </w:p>
        </w:tc>
        <w:tc>
          <w:tcPr>
            <w:tcW w:w="137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3708</w:t>
            </w:r>
          </w:p>
        </w:tc>
        <w:tc>
          <w:tcPr>
            <w:tcW w:w="1282" w:type="dxa"/>
            <w:noWrap w:val="0"/>
            <w:vAlign w:val="center"/>
          </w:tcPr>
          <w:p>
            <w:pPr>
              <w:snapToGrid w:val="0"/>
              <w:spacing w:line="240" w:lineRule="auto"/>
              <w:ind w:left="-120" w:leftChars="-50" w:right="-120"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散装液体</w:t>
            </w:r>
          </w:p>
        </w:tc>
        <w:tc>
          <w:tcPr>
            <w:tcW w:w="944" w:type="dxa"/>
            <w:noWrap w:val="0"/>
            <w:vAlign w:val="center"/>
          </w:tcPr>
          <w:p>
            <w:pPr>
              <w:snapToGrid w:val="0"/>
              <w:spacing w:line="240" w:lineRule="auto"/>
              <w:ind w:left="-120" w:leftChars="-50" w:right="-120"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储罐</w:t>
            </w:r>
          </w:p>
        </w:tc>
        <w:tc>
          <w:tcPr>
            <w:tcW w:w="0" w:type="auto"/>
            <w:noWrap w:val="0"/>
            <w:vAlign w:val="center"/>
          </w:tcPr>
          <w:p>
            <w:pPr>
              <w:adjustRightInd w:val="0"/>
              <w:snapToGrid w:val="0"/>
              <w:spacing w:line="240" w:lineRule="auto"/>
              <w:ind w:left="0" w:leftChars="0" w:right="0" w:righ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09" w:type="dxa"/>
            <w:vMerge w:val="continue"/>
            <w:noWrap w:val="0"/>
            <w:vAlign w:val="center"/>
          </w:tcPr>
          <w:p>
            <w:pPr>
              <w:snapToGrid w:val="0"/>
              <w:spacing w:line="240" w:lineRule="auto"/>
              <w:ind w:left="-120" w:leftChars="-50" w:right="-120" w:rightChars="-50"/>
              <w:jc w:val="center"/>
              <w:rPr>
                <w:rFonts w:hint="default" w:ascii="Times New Roman" w:hAnsi="Times New Roman" w:eastAsia="宋体" w:cs="Times New Roman"/>
                <w:bCs/>
                <w:color w:val="auto"/>
                <w:sz w:val="21"/>
                <w:szCs w:val="21"/>
              </w:rPr>
            </w:pPr>
          </w:p>
        </w:tc>
        <w:tc>
          <w:tcPr>
            <w:tcW w:w="1626" w:type="dxa"/>
            <w:noWrap w:val="0"/>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月桂酸</w:t>
            </w:r>
          </w:p>
        </w:tc>
        <w:tc>
          <w:tcPr>
            <w:tcW w:w="1647" w:type="dxa"/>
            <w:noWrap w:val="0"/>
            <w:vAlign w:val="center"/>
          </w:tcPr>
          <w:p>
            <w:pPr>
              <w:snapToGrid w:val="0"/>
              <w:spacing w:line="240" w:lineRule="auto"/>
              <w:ind w:left="-120" w:leftChars="-50" w:right="-12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0"/>
                <w:szCs w:val="21"/>
              </w:rPr>
              <w:t>≥98.5%</w:t>
            </w:r>
          </w:p>
        </w:tc>
        <w:tc>
          <w:tcPr>
            <w:tcW w:w="137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2322</w:t>
            </w:r>
          </w:p>
        </w:tc>
        <w:tc>
          <w:tcPr>
            <w:tcW w:w="1282" w:type="dxa"/>
            <w:noWrap w:val="0"/>
            <w:vAlign w:val="center"/>
          </w:tcPr>
          <w:p>
            <w:pPr>
              <w:snapToGrid w:val="0"/>
              <w:spacing w:line="240" w:lineRule="auto"/>
              <w:ind w:left="-120" w:leftChars="-50" w:right="-120"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散装液体</w:t>
            </w:r>
          </w:p>
        </w:tc>
        <w:tc>
          <w:tcPr>
            <w:tcW w:w="944" w:type="dxa"/>
            <w:noWrap w:val="0"/>
            <w:vAlign w:val="center"/>
          </w:tcPr>
          <w:p>
            <w:pPr>
              <w:snapToGrid w:val="0"/>
              <w:spacing w:line="240" w:lineRule="auto"/>
              <w:ind w:left="-120" w:leftChars="-50" w:right="-120"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储罐</w:t>
            </w:r>
          </w:p>
        </w:tc>
        <w:tc>
          <w:tcPr>
            <w:tcW w:w="0" w:type="auto"/>
            <w:noWrap w:val="0"/>
            <w:vAlign w:val="center"/>
          </w:tcPr>
          <w:p>
            <w:pPr>
              <w:adjustRightInd w:val="0"/>
              <w:snapToGrid w:val="0"/>
              <w:spacing w:line="240" w:lineRule="auto"/>
              <w:ind w:left="0" w:leftChars="0" w:right="0" w:righ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09" w:type="dxa"/>
            <w:vMerge w:val="continue"/>
            <w:noWrap w:val="0"/>
            <w:vAlign w:val="center"/>
          </w:tcPr>
          <w:p>
            <w:pPr>
              <w:snapToGrid w:val="0"/>
              <w:spacing w:line="240" w:lineRule="auto"/>
              <w:ind w:left="-120" w:leftChars="-50" w:right="-120" w:rightChars="-50"/>
              <w:jc w:val="center"/>
              <w:rPr>
                <w:rFonts w:hint="default" w:ascii="Times New Roman" w:hAnsi="Times New Roman" w:eastAsia="宋体" w:cs="Times New Roman"/>
                <w:color w:val="auto"/>
                <w:sz w:val="21"/>
                <w:szCs w:val="21"/>
              </w:rPr>
            </w:pPr>
          </w:p>
        </w:tc>
        <w:tc>
          <w:tcPr>
            <w:tcW w:w="1626" w:type="dxa"/>
            <w:noWrap w:val="0"/>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硬脂酸</w:t>
            </w:r>
          </w:p>
        </w:tc>
        <w:tc>
          <w:tcPr>
            <w:tcW w:w="1647" w:type="dxa"/>
            <w:noWrap w:val="0"/>
            <w:vAlign w:val="center"/>
          </w:tcPr>
          <w:p>
            <w:pPr>
              <w:snapToGrid w:val="0"/>
              <w:spacing w:line="240" w:lineRule="auto"/>
              <w:ind w:left="-120" w:leftChars="-50" w:right="-12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0"/>
                <w:szCs w:val="21"/>
              </w:rPr>
              <w:t>≥98.5%</w:t>
            </w:r>
          </w:p>
        </w:tc>
        <w:tc>
          <w:tcPr>
            <w:tcW w:w="137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288</w:t>
            </w:r>
          </w:p>
        </w:tc>
        <w:tc>
          <w:tcPr>
            <w:tcW w:w="1282" w:type="dxa"/>
            <w:noWrap w:val="0"/>
            <w:vAlign w:val="center"/>
          </w:tcPr>
          <w:p>
            <w:pPr>
              <w:snapToGrid w:val="0"/>
              <w:spacing w:line="240" w:lineRule="auto"/>
              <w:ind w:left="-120" w:leftChars="-50" w:right="-120"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散装液体</w:t>
            </w:r>
          </w:p>
        </w:tc>
        <w:tc>
          <w:tcPr>
            <w:tcW w:w="944" w:type="dxa"/>
            <w:noWrap w:val="0"/>
            <w:vAlign w:val="center"/>
          </w:tcPr>
          <w:p>
            <w:pPr>
              <w:snapToGrid w:val="0"/>
              <w:spacing w:line="240" w:lineRule="auto"/>
              <w:ind w:left="-120" w:leftChars="-50" w:right="-120"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储罐</w:t>
            </w:r>
          </w:p>
        </w:tc>
        <w:tc>
          <w:tcPr>
            <w:tcW w:w="0" w:type="auto"/>
            <w:noWrap w:val="0"/>
            <w:vAlign w:val="center"/>
          </w:tcPr>
          <w:p>
            <w:pPr>
              <w:adjustRightInd w:val="0"/>
              <w:snapToGrid w:val="0"/>
              <w:spacing w:line="240" w:lineRule="auto"/>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eastAsia="zh-CN"/>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09" w:type="dxa"/>
            <w:vMerge w:val="continue"/>
            <w:noWrap w:val="0"/>
            <w:vAlign w:val="center"/>
          </w:tcPr>
          <w:p>
            <w:pPr>
              <w:snapToGrid w:val="0"/>
              <w:spacing w:line="240" w:lineRule="auto"/>
              <w:ind w:left="-120" w:leftChars="-50" w:right="-120" w:rightChars="-50"/>
              <w:jc w:val="center"/>
              <w:rPr>
                <w:rFonts w:hint="default" w:ascii="Times New Roman" w:hAnsi="Times New Roman" w:eastAsia="宋体" w:cs="Times New Roman"/>
                <w:color w:val="auto"/>
                <w:sz w:val="21"/>
                <w:szCs w:val="21"/>
              </w:rPr>
            </w:pPr>
          </w:p>
        </w:tc>
        <w:tc>
          <w:tcPr>
            <w:tcW w:w="1626" w:type="dxa"/>
            <w:noWrap w:val="0"/>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蒸馏椰油酸</w:t>
            </w:r>
          </w:p>
        </w:tc>
        <w:tc>
          <w:tcPr>
            <w:tcW w:w="1647" w:type="dxa"/>
            <w:noWrap w:val="0"/>
            <w:vAlign w:val="center"/>
          </w:tcPr>
          <w:p>
            <w:pPr>
              <w:snapToGrid w:val="0"/>
              <w:spacing w:line="240" w:lineRule="auto"/>
              <w:ind w:left="-120" w:leftChars="-50" w:right="-12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0"/>
                <w:szCs w:val="21"/>
              </w:rPr>
              <w:t>≥98.5%</w:t>
            </w:r>
          </w:p>
        </w:tc>
        <w:tc>
          <w:tcPr>
            <w:tcW w:w="1377" w:type="dxa"/>
            <w:noWrap w:val="0"/>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748.8</w:t>
            </w:r>
          </w:p>
        </w:tc>
        <w:tc>
          <w:tcPr>
            <w:tcW w:w="1282" w:type="dxa"/>
            <w:noWrap w:val="0"/>
            <w:vAlign w:val="center"/>
          </w:tcPr>
          <w:p>
            <w:pPr>
              <w:snapToGrid w:val="0"/>
              <w:spacing w:line="240" w:lineRule="auto"/>
              <w:ind w:left="-120" w:leftChars="-50" w:right="-120"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散装液体</w:t>
            </w:r>
          </w:p>
        </w:tc>
        <w:tc>
          <w:tcPr>
            <w:tcW w:w="944" w:type="dxa"/>
            <w:noWrap w:val="0"/>
            <w:vAlign w:val="center"/>
          </w:tcPr>
          <w:p>
            <w:pPr>
              <w:snapToGrid w:val="0"/>
              <w:spacing w:line="240" w:lineRule="auto"/>
              <w:ind w:left="-120" w:leftChars="-50" w:right="-120"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储罐</w:t>
            </w:r>
          </w:p>
        </w:tc>
        <w:tc>
          <w:tcPr>
            <w:tcW w:w="0" w:type="auto"/>
            <w:noWrap w:val="0"/>
            <w:vAlign w:val="center"/>
          </w:tcPr>
          <w:p>
            <w:pPr>
              <w:adjustRightInd w:val="0"/>
              <w:snapToGrid w:val="0"/>
              <w:spacing w:line="240" w:lineRule="auto"/>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eastAsia="zh-CN"/>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09" w:type="dxa"/>
            <w:vMerge w:val="continue"/>
            <w:noWrap w:val="0"/>
            <w:vAlign w:val="center"/>
          </w:tcPr>
          <w:p>
            <w:pPr>
              <w:snapToGrid w:val="0"/>
              <w:spacing w:line="240" w:lineRule="auto"/>
              <w:ind w:left="-120" w:leftChars="-50" w:right="-120" w:rightChars="-50"/>
              <w:jc w:val="center"/>
              <w:rPr>
                <w:rFonts w:hint="default" w:ascii="Times New Roman" w:hAnsi="Times New Roman" w:eastAsia="宋体" w:cs="Times New Roman"/>
                <w:color w:val="auto"/>
                <w:sz w:val="21"/>
                <w:szCs w:val="21"/>
              </w:rPr>
            </w:pPr>
          </w:p>
        </w:tc>
        <w:tc>
          <w:tcPr>
            <w:tcW w:w="1626" w:type="dxa"/>
            <w:noWrap w:val="0"/>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精制辛葵酸</w:t>
            </w:r>
          </w:p>
        </w:tc>
        <w:tc>
          <w:tcPr>
            <w:tcW w:w="1647" w:type="dxa"/>
            <w:noWrap w:val="0"/>
            <w:vAlign w:val="center"/>
          </w:tcPr>
          <w:p>
            <w:pPr>
              <w:snapToGrid w:val="0"/>
              <w:spacing w:line="240" w:lineRule="exact"/>
              <w:ind w:left="-120" w:leftChars="-50" w:right="-120" w:rightChars="-50"/>
              <w:jc w:val="center"/>
              <w:rPr>
                <w:rFonts w:hint="default" w:ascii="Times New Roman" w:hAnsi="Times New Roman" w:eastAsia="宋体" w:cs="Times New Roman"/>
                <w:color w:val="auto"/>
                <w:sz w:val="20"/>
                <w:szCs w:val="21"/>
              </w:rPr>
            </w:pPr>
            <w:r>
              <w:rPr>
                <w:rFonts w:hint="default" w:ascii="Times New Roman" w:hAnsi="Times New Roman" w:eastAsia="宋体" w:cs="Times New Roman"/>
                <w:color w:val="auto"/>
                <w:sz w:val="20"/>
                <w:szCs w:val="21"/>
              </w:rPr>
              <w:t>≥98.5%</w:t>
            </w:r>
          </w:p>
        </w:tc>
        <w:tc>
          <w:tcPr>
            <w:tcW w:w="137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10937.2</w:t>
            </w:r>
          </w:p>
        </w:tc>
        <w:tc>
          <w:tcPr>
            <w:tcW w:w="1282" w:type="dxa"/>
            <w:noWrap w:val="0"/>
            <w:vAlign w:val="center"/>
          </w:tcPr>
          <w:p>
            <w:pPr>
              <w:snapToGrid w:val="0"/>
              <w:spacing w:line="240" w:lineRule="auto"/>
              <w:ind w:left="-120" w:leftChars="-50" w:right="-120"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散装液体</w:t>
            </w:r>
          </w:p>
        </w:tc>
        <w:tc>
          <w:tcPr>
            <w:tcW w:w="944" w:type="dxa"/>
            <w:noWrap w:val="0"/>
            <w:vAlign w:val="center"/>
          </w:tcPr>
          <w:p>
            <w:pPr>
              <w:snapToGrid w:val="0"/>
              <w:spacing w:line="240" w:lineRule="auto"/>
              <w:ind w:left="-120" w:leftChars="-50" w:right="-120"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储罐</w:t>
            </w:r>
          </w:p>
        </w:tc>
        <w:tc>
          <w:tcPr>
            <w:tcW w:w="0" w:type="auto"/>
            <w:noWrap w:val="0"/>
            <w:vAlign w:val="center"/>
          </w:tcPr>
          <w:p>
            <w:pPr>
              <w:adjustRightInd w:val="0"/>
              <w:snapToGrid w:val="0"/>
              <w:spacing w:line="240" w:lineRule="auto"/>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不使用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09" w:type="dxa"/>
            <w:vMerge w:val="continue"/>
            <w:noWrap w:val="0"/>
            <w:vAlign w:val="center"/>
          </w:tcPr>
          <w:p>
            <w:pPr>
              <w:snapToGrid w:val="0"/>
              <w:spacing w:line="240" w:lineRule="auto"/>
              <w:ind w:left="-120" w:leftChars="-50" w:right="-120" w:rightChars="-50"/>
              <w:jc w:val="center"/>
              <w:rPr>
                <w:rFonts w:hint="default" w:ascii="Times New Roman" w:hAnsi="Times New Roman" w:eastAsia="宋体" w:cs="Times New Roman"/>
                <w:color w:val="auto"/>
                <w:sz w:val="21"/>
                <w:szCs w:val="21"/>
              </w:rPr>
            </w:pPr>
          </w:p>
        </w:tc>
        <w:tc>
          <w:tcPr>
            <w:tcW w:w="1626" w:type="dxa"/>
            <w:noWrap w:val="0"/>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甘油</w:t>
            </w:r>
          </w:p>
        </w:tc>
        <w:tc>
          <w:tcPr>
            <w:tcW w:w="1647" w:type="dxa"/>
            <w:noWrap w:val="0"/>
            <w:vAlign w:val="center"/>
          </w:tcPr>
          <w:p>
            <w:pPr>
              <w:snapToGrid w:val="0"/>
              <w:spacing w:line="240" w:lineRule="exact"/>
              <w:ind w:left="-120" w:leftChars="-50" w:right="-120" w:rightChars="-50"/>
              <w:jc w:val="center"/>
              <w:rPr>
                <w:rFonts w:hint="default" w:ascii="Times New Roman" w:hAnsi="Times New Roman" w:eastAsia="宋体" w:cs="Times New Roman"/>
                <w:color w:val="auto"/>
                <w:sz w:val="20"/>
                <w:szCs w:val="21"/>
              </w:rPr>
            </w:pPr>
            <w:r>
              <w:rPr>
                <w:rFonts w:hint="default" w:ascii="Times New Roman" w:hAnsi="Times New Roman" w:eastAsia="宋体" w:cs="Times New Roman"/>
                <w:color w:val="auto"/>
                <w:sz w:val="20"/>
                <w:szCs w:val="21"/>
              </w:rPr>
              <w:t>≥99.5%</w:t>
            </w:r>
          </w:p>
        </w:tc>
        <w:tc>
          <w:tcPr>
            <w:tcW w:w="137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3011</w:t>
            </w:r>
          </w:p>
        </w:tc>
        <w:tc>
          <w:tcPr>
            <w:tcW w:w="1282" w:type="dxa"/>
            <w:noWrap w:val="0"/>
            <w:vAlign w:val="center"/>
          </w:tcPr>
          <w:p>
            <w:pPr>
              <w:snapToGrid w:val="0"/>
              <w:spacing w:line="240" w:lineRule="auto"/>
              <w:ind w:left="-120" w:leftChars="-50" w:right="-120"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散装液体</w:t>
            </w:r>
          </w:p>
        </w:tc>
        <w:tc>
          <w:tcPr>
            <w:tcW w:w="944" w:type="dxa"/>
            <w:noWrap w:val="0"/>
            <w:vAlign w:val="center"/>
          </w:tcPr>
          <w:p>
            <w:pPr>
              <w:snapToGrid w:val="0"/>
              <w:spacing w:line="240" w:lineRule="auto"/>
              <w:ind w:left="-120" w:leftChars="-50" w:right="-120"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储罐</w:t>
            </w:r>
          </w:p>
        </w:tc>
        <w:tc>
          <w:tcPr>
            <w:tcW w:w="0" w:type="auto"/>
            <w:noWrap w:val="0"/>
            <w:vAlign w:val="center"/>
          </w:tcPr>
          <w:p>
            <w:pPr>
              <w:adjustRightInd w:val="0"/>
              <w:snapToGrid w:val="0"/>
              <w:spacing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09" w:type="dxa"/>
            <w:vMerge w:val="continue"/>
            <w:noWrap w:val="0"/>
            <w:vAlign w:val="center"/>
          </w:tcPr>
          <w:p>
            <w:pPr>
              <w:snapToGrid w:val="0"/>
              <w:spacing w:line="240" w:lineRule="auto"/>
              <w:ind w:left="-120" w:leftChars="-50" w:right="-120" w:rightChars="-50"/>
              <w:jc w:val="center"/>
              <w:rPr>
                <w:rFonts w:hint="default" w:ascii="Times New Roman" w:hAnsi="Times New Roman" w:eastAsia="宋体" w:cs="Times New Roman"/>
                <w:color w:val="auto"/>
                <w:sz w:val="21"/>
                <w:szCs w:val="21"/>
              </w:rPr>
            </w:pPr>
          </w:p>
        </w:tc>
        <w:tc>
          <w:tcPr>
            <w:tcW w:w="1626" w:type="dxa"/>
            <w:noWrap w:val="0"/>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活性炭</w:t>
            </w:r>
          </w:p>
        </w:tc>
        <w:tc>
          <w:tcPr>
            <w:tcW w:w="1647" w:type="dxa"/>
            <w:noWrap w:val="0"/>
            <w:vAlign w:val="center"/>
          </w:tcPr>
          <w:p>
            <w:pPr>
              <w:snapToGrid w:val="0"/>
              <w:spacing w:line="240" w:lineRule="exact"/>
              <w:ind w:left="-120" w:leftChars="-50" w:right="-120" w:rightChars="-50"/>
              <w:jc w:val="center"/>
              <w:rPr>
                <w:rFonts w:hint="default" w:ascii="Times New Roman" w:hAnsi="Times New Roman" w:eastAsia="宋体" w:cs="Times New Roman"/>
                <w:color w:val="auto"/>
                <w:sz w:val="20"/>
                <w:szCs w:val="21"/>
              </w:rPr>
            </w:pPr>
            <w:r>
              <w:rPr>
                <w:rFonts w:hint="default" w:ascii="Times New Roman" w:hAnsi="Times New Roman" w:eastAsia="宋体" w:cs="Times New Roman"/>
                <w:color w:val="auto"/>
                <w:sz w:val="20"/>
                <w:szCs w:val="21"/>
              </w:rPr>
              <w:t>200-350目</w:t>
            </w:r>
          </w:p>
        </w:tc>
        <w:tc>
          <w:tcPr>
            <w:tcW w:w="137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1282" w:type="dxa"/>
            <w:noWrap w:val="0"/>
            <w:vAlign w:val="center"/>
          </w:tcPr>
          <w:p>
            <w:pPr>
              <w:snapToGrid w:val="0"/>
              <w:spacing w:line="240" w:lineRule="auto"/>
              <w:ind w:left="-120" w:leftChars="-50" w:right="-120"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25kg/袋</w:t>
            </w:r>
          </w:p>
        </w:tc>
        <w:tc>
          <w:tcPr>
            <w:tcW w:w="944" w:type="dxa"/>
            <w:noWrap w:val="0"/>
            <w:vAlign w:val="center"/>
          </w:tcPr>
          <w:p>
            <w:pPr>
              <w:snapToGrid w:val="0"/>
              <w:spacing w:line="240" w:lineRule="auto"/>
              <w:ind w:left="-120" w:leftChars="-50" w:right="-120"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牛皮纸袋</w:t>
            </w:r>
          </w:p>
        </w:tc>
        <w:tc>
          <w:tcPr>
            <w:tcW w:w="0" w:type="auto"/>
            <w:noWrap w:val="0"/>
            <w:vAlign w:val="center"/>
          </w:tcPr>
          <w:p>
            <w:pPr>
              <w:adjustRightInd w:val="0"/>
              <w:snapToGrid w:val="0"/>
              <w:spacing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09" w:type="dxa"/>
            <w:vMerge w:val="continue"/>
            <w:noWrap w:val="0"/>
            <w:vAlign w:val="center"/>
          </w:tcPr>
          <w:p>
            <w:pPr>
              <w:snapToGrid w:val="0"/>
              <w:spacing w:line="240" w:lineRule="auto"/>
              <w:ind w:left="-120" w:leftChars="-50" w:right="-120" w:rightChars="-50"/>
              <w:jc w:val="center"/>
              <w:rPr>
                <w:rFonts w:hint="default" w:ascii="Times New Roman" w:hAnsi="Times New Roman" w:eastAsia="宋体" w:cs="Times New Roman"/>
                <w:color w:val="auto"/>
                <w:sz w:val="21"/>
                <w:szCs w:val="21"/>
              </w:rPr>
            </w:pPr>
          </w:p>
        </w:tc>
        <w:tc>
          <w:tcPr>
            <w:tcW w:w="1626" w:type="dxa"/>
            <w:noWrap w:val="0"/>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硅藻土</w:t>
            </w:r>
          </w:p>
        </w:tc>
        <w:tc>
          <w:tcPr>
            <w:tcW w:w="1647" w:type="dxa"/>
            <w:noWrap w:val="0"/>
            <w:vAlign w:val="center"/>
          </w:tcPr>
          <w:p>
            <w:pPr>
              <w:snapToGrid w:val="0"/>
              <w:spacing w:line="240" w:lineRule="exact"/>
              <w:ind w:left="-120" w:leftChars="-50" w:right="-120" w:rightChars="-50"/>
              <w:jc w:val="center"/>
              <w:rPr>
                <w:rFonts w:hint="default" w:ascii="Times New Roman" w:hAnsi="Times New Roman" w:eastAsia="宋体" w:cs="Times New Roman"/>
                <w:color w:val="auto"/>
                <w:sz w:val="20"/>
                <w:szCs w:val="21"/>
              </w:rPr>
            </w:pPr>
            <w:r>
              <w:rPr>
                <w:rFonts w:hint="default" w:ascii="Times New Roman" w:hAnsi="Times New Roman" w:eastAsia="宋体" w:cs="Times New Roman"/>
                <w:color w:val="auto"/>
                <w:sz w:val="20"/>
                <w:szCs w:val="21"/>
              </w:rPr>
              <w:t>≥99%</w:t>
            </w:r>
          </w:p>
        </w:tc>
        <w:tc>
          <w:tcPr>
            <w:tcW w:w="137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1282" w:type="dxa"/>
            <w:noWrap w:val="0"/>
            <w:vAlign w:val="center"/>
          </w:tcPr>
          <w:p>
            <w:pPr>
              <w:snapToGrid w:val="0"/>
              <w:spacing w:line="240" w:lineRule="auto"/>
              <w:ind w:left="-120" w:leftChars="-50" w:right="-120"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20kg/袋</w:t>
            </w:r>
          </w:p>
        </w:tc>
        <w:tc>
          <w:tcPr>
            <w:tcW w:w="944" w:type="dxa"/>
            <w:noWrap w:val="0"/>
            <w:vAlign w:val="center"/>
          </w:tcPr>
          <w:p>
            <w:pPr>
              <w:snapToGrid w:val="0"/>
              <w:spacing w:line="240" w:lineRule="auto"/>
              <w:ind w:left="-120" w:leftChars="-50" w:right="-120"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编织袋</w:t>
            </w:r>
          </w:p>
        </w:tc>
        <w:tc>
          <w:tcPr>
            <w:tcW w:w="0" w:type="auto"/>
            <w:noWrap w:val="0"/>
            <w:vAlign w:val="center"/>
          </w:tcPr>
          <w:p>
            <w:pPr>
              <w:adjustRightInd w:val="0"/>
              <w:snapToGrid w:val="0"/>
              <w:spacing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09" w:type="dxa"/>
            <w:vMerge w:val="continue"/>
            <w:noWrap w:val="0"/>
            <w:vAlign w:val="center"/>
          </w:tcPr>
          <w:p>
            <w:pPr>
              <w:snapToGrid w:val="0"/>
              <w:spacing w:line="240" w:lineRule="auto"/>
              <w:ind w:left="-120" w:leftChars="-50" w:right="-120" w:rightChars="-50"/>
              <w:jc w:val="center"/>
              <w:rPr>
                <w:rFonts w:hint="default" w:ascii="Times New Roman" w:hAnsi="Times New Roman" w:eastAsia="宋体" w:cs="Times New Roman"/>
                <w:color w:val="auto"/>
                <w:sz w:val="21"/>
                <w:szCs w:val="21"/>
              </w:rPr>
            </w:pPr>
          </w:p>
        </w:tc>
        <w:tc>
          <w:tcPr>
            <w:tcW w:w="1626" w:type="dxa"/>
            <w:noWrap w:val="0"/>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活性白土</w:t>
            </w:r>
          </w:p>
        </w:tc>
        <w:tc>
          <w:tcPr>
            <w:tcW w:w="1647" w:type="dxa"/>
            <w:noWrap w:val="0"/>
            <w:vAlign w:val="center"/>
          </w:tcPr>
          <w:p>
            <w:pPr>
              <w:snapToGrid w:val="0"/>
              <w:spacing w:line="240" w:lineRule="exact"/>
              <w:ind w:left="-120" w:leftChars="-50" w:right="-120" w:rightChars="-50"/>
              <w:jc w:val="center"/>
              <w:rPr>
                <w:rFonts w:hint="default" w:ascii="Times New Roman" w:hAnsi="Times New Roman" w:eastAsia="宋体" w:cs="Times New Roman"/>
                <w:color w:val="auto"/>
                <w:sz w:val="20"/>
                <w:szCs w:val="21"/>
              </w:rPr>
            </w:pPr>
            <w:r>
              <w:rPr>
                <w:rFonts w:hint="default" w:ascii="Times New Roman" w:hAnsi="Times New Roman" w:eastAsia="宋体" w:cs="Times New Roman"/>
                <w:color w:val="auto"/>
                <w:sz w:val="20"/>
                <w:szCs w:val="21"/>
              </w:rPr>
              <w:t>有效物质≥99%</w:t>
            </w:r>
          </w:p>
        </w:tc>
        <w:tc>
          <w:tcPr>
            <w:tcW w:w="137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1282" w:type="dxa"/>
            <w:noWrap w:val="0"/>
            <w:vAlign w:val="center"/>
          </w:tcPr>
          <w:p>
            <w:pPr>
              <w:snapToGrid w:val="0"/>
              <w:spacing w:line="240" w:lineRule="auto"/>
              <w:ind w:left="-120" w:leftChars="-50" w:right="-120"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20kg/袋</w:t>
            </w:r>
          </w:p>
        </w:tc>
        <w:tc>
          <w:tcPr>
            <w:tcW w:w="944" w:type="dxa"/>
            <w:noWrap w:val="0"/>
            <w:vAlign w:val="center"/>
          </w:tcPr>
          <w:p>
            <w:pPr>
              <w:snapToGrid w:val="0"/>
              <w:spacing w:line="240" w:lineRule="auto"/>
              <w:ind w:left="-120" w:leftChars="-50" w:right="-120"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编织袋</w:t>
            </w:r>
          </w:p>
        </w:tc>
        <w:tc>
          <w:tcPr>
            <w:tcW w:w="0" w:type="auto"/>
            <w:noWrap w:val="0"/>
            <w:vAlign w:val="center"/>
          </w:tcPr>
          <w:p>
            <w:pPr>
              <w:adjustRightInd w:val="0"/>
              <w:snapToGrid w:val="0"/>
              <w:spacing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09" w:type="dxa"/>
            <w:vMerge w:val="continue"/>
            <w:noWrap w:val="0"/>
            <w:vAlign w:val="center"/>
          </w:tcPr>
          <w:p>
            <w:pPr>
              <w:snapToGrid w:val="0"/>
              <w:spacing w:line="240" w:lineRule="auto"/>
              <w:ind w:left="-120" w:leftChars="-50" w:right="-120" w:rightChars="-50"/>
              <w:jc w:val="center"/>
              <w:rPr>
                <w:rFonts w:hint="default" w:ascii="Times New Roman" w:hAnsi="Times New Roman" w:eastAsia="宋体" w:cs="Times New Roman"/>
                <w:color w:val="auto"/>
                <w:sz w:val="21"/>
                <w:szCs w:val="21"/>
              </w:rPr>
            </w:pPr>
          </w:p>
        </w:tc>
        <w:tc>
          <w:tcPr>
            <w:tcW w:w="1626" w:type="dxa"/>
            <w:noWrap w:val="0"/>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催化剂</w:t>
            </w:r>
          </w:p>
        </w:tc>
        <w:tc>
          <w:tcPr>
            <w:tcW w:w="1647" w:type="dxa"/>
            <w:noWrap w:val="0"/>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苯甲酸系列</w:t>
            </w:r>
          </w:p>
        </w:tc>
        <w:tc>
          <w:tcPr>
            <w:tcW w:w="137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180</w:t>
            </w:r>
          </w:p>
        </w:tc>
        <w:tc>
          <w:tcPr>
            <w:tcW w:w="1282" w:type="dxa"/>
            <w:noWrap w:val="0"/>
            <w:vAlign w:val="center"/>
          </w:tcPr>
          <w:p>
            <w:pPr>
              <w:snapToGrid w:val="0"/>
              <w:spacing w:line="240" w:lineRule="auto"/>
              <w:ind w:left="-120" w:leftChars="-50" w:right="-120"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IBC桶（液体）</w:t>
            </w:r>
          </w:p>
        </w:tc>
        <w:tc>
          <w:tcPr>
            <w:tcW w:w="944" w:type="dxa"/>
            <w:noWrap w:val="0"/>
            <w:vAlign w:val="center"/>
          </w:tcPr>
          <w:p>
            <w:pPr>
              <w:snapToGrid w:val="0"/>
              <w:spacing w:line="240" w:lineRule="auto"/>
              <w:ind w:left="-120" w:leftChars="-50" w:right="-120"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桶装</w:t>
            </w:r>
          </w:p>
        </w:tc>
        <w:tc>
          <w:tcPr>
            <w:tcW w:w="0" w:type="auto"/>
            <w:noWrap w:val="0"/>
            <w:vAlign w:val="center"/>
          </w:tcPr>
          <w:p>
            <w:pPr>
              <w:adjustRightInd w:val="0"/>
              <w:snapToGrid w:val="0"/>
              <w:spacing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09" w:type="dxa"/>
            <w:vMerge w:val="continue"/>
            <w:noWrap w:val="0"/>
            <w:vAlign w:val="center"/>
          </w:tcPr>
          <w:p>
            <w:pPr>
              <w:snapToGrid w:val="0"/>
              <w:spacing w:line="240" w:lineRule="auto"/>
              <w:ind w:left="-120" w:leftChars="-50" w:right="-120" w:rightChars="-50"/>
              <w:jc w:val="center"/>
              <w:rPr>
                <w:rFonts w:hint="default" w:ascii="Times New Roman" w:hAnsi="Times New Roman" w:eastAsia="宋体" w:cs="Times New Roman"/>
                <w:color w:val="auto"/>
                <w:sz w:val="21"/>
                <w:szCs w:val="21"/>
              </w:rPr>
            </w:pPr>
          </w:p>
        </w:tc>
        <w:tc>
          <w:tcPr>
            <w:tcW w:w="1626" w:type="dxa"/>
            <w:noWrap w:val="0"/>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烧碱溶液</w:t>
            </w:r>
          </w:p>
        </w:tc>
        <w:tc>
          <w:tcPr>
            <w:tcW w:w="1647" w:type="dxa"/>
            <w:noWrap w:val="0"/>
            <w:vAlign w:val="center"/>
          </w:tcPr>
          <w:p>
            <w:pPr>
              <w:snapToGrid w:val="0"/>
              <w:spacing w:line="240" w:lineRule="exact"/>
              <w:ind w:left="-120" w:leftChars="-50" w:right="-120" w:rightChars="-50"/>
              <w:jc w:val="center"/>
              <w:rPr>
                <w:rFonts w:hint="default" w:ascii="Times New Roman" w:hAnsi="Times New Roman" w:eastAsia="宋体" w:cs="Times New Roman"/>
                <w:color w:val="auto"/>
                <w:sz w:val="20"/>
                <w:szCs w:val="21"/>
              </w:rPr>
            </w:pPr>
            <w:r>
              <w:rPr>
                <w:rFonts w:hint="default" w:ascii="Times New Roman" w:hAnsi="Times New Roman" w:eastAsia="宋体" w:cs="Times New Roman"/>
                <w:color w:val="auto"/>
                <w:sz w:val="20"/>
                <w:szCs w:val="21"/>
              </w:rPr>
              <w:t>20%</w:t>
            </w:r>
          </w:p>
        </w:tc>
        <w:tc>
          <w:tcPr>
            <w:tcW w:w="137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1282" w:type="dxa"/>
            <w:noWrap w:val="0"/>
            <w:vAlign w:val="center"/>
          </w:tcPr>
          <w:p>
            <w:pPr>
              <w:snapToGrid w:val="0"/>
              <w:spacing w:line="240" w:lineRule="auto"/>
              <w:ind w:left="-120" w:leftChars="-50" w:right="-120"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散装液体</w:t>
            </w:r>
          </w:p>
        </w:tc>
        <w:tc>
          <w:tcPr>
            <w:tcW w:w="944" w:type="dxa"/>
            <w:noWrap w:val="0"/>
            <w:vAlign w:val="center"/>
          </w:tcPr>
          <w:p>
            <w:pPr>
              <w:snapToGrid w:val="0"/>
              <w:spacing w:line="240" w:lineRule="auto"/>
              <w:ind w:left="-120" w:leftChars="-50" w:right="-120"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储罐</w:t>
            </w:r>
          </w:p>
        </w:tc>
        <w:tc>
          <w:tcPr>
            <w:tcW w:w="0" w:type="auto"/>
            <w:noWrap w:val="0"/>
            <w:vAlign w:val="center"/>
          </w:tcPr>
          <w:p>
            <w:pPr>
              <w:adjustRightInd w:val="0"/>
              <w:snapToGrid w:val="0"/>
              <w:spacing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09" w:type="dxa"/>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能源</w:t>
            </w:r>
          </w:p>
        </w:tc>
        <w:tc>
          <w:tcPr>
            <w:tcW w:w="1626" w:type="dxa"/>
            <w:noWrap w:val="0"/>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新鲜自来水</w:t>
            </w:r>
          </w:p>
        </w:tc>
        <w:tc>
          <w:tcPr>
            <w:tcW w:w="164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37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32600</w:t>
            </w:r>
          </w:p>
        </w:tc>
        <w:tc>
          <w:tcPr>
            <w:tcW w:w="1282"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44"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0" w:type="auto"/>
            <w:noWrap w:val="0"/>
            <w:vAlign w:val="center"/>
          </w:tcPr>
          <w:p>
            <w:pPr>
              <w:adjustRightInd w:val="0"/>
              <w:snapToGrid w:val="0"/>
              <w:spacing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09"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626" w:type="dxa"/>
            <w:noWrap w:val="0"/>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电</w:t>
            </w:r>
          </w:p>
        </w:tc>
        <w:tc>
          <w:tcPr>
            <w:tcW w:w="164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37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337.5万kWh</w:t>
            </w:r>
          </w:p>
        </w:tc>
        <w:tc>
          <w:tcPr>
            <w:tcW w:w="1282"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44"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0" w:type="auto"/>
            <w:noWrap w:val="0"/>
            <w:vAlign w:val="center"/>
          </w:tcPr>
          <w:p>
            <w:pPr>
              <w:adjustRightInd w:val="0"/>
              <w:snapToGrid w:val="0"/>
              <w:spacing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-150</w:t>
            </w:r>
            <w:r>
              <w:rPr>
                <w:rFonts w:hint="default" w:ascii="Times New Roman" w:hAnsi="Times New Roman" w:eastAsia="宋体" w:cs="Times New Roman"/>
                <w:color w:val="auto"/>
                <w:sz w:val="21"/>
                <w:szCs w:val="21"/>
              </w:rPr>
              <w:t>万kWh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09"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626" w:type="dxa"/>
            <w:noWrap w:val="0"/>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蒸汽</w:t>
            </w:r>
          </w:p>
        </w:tc>
        <w:tc>
          <w:tcPr>
            <w:tcW w:w="164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1.2MPa</w:t>
            </w:r>
          </w:p>
        </w:tc>
        <w:tc>
          <w:tcPr>
            <w:tcW w:w="137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33500</w:t>
            </w:r>
          </w:p>
        </w:tc>
        <w:tc>
          <w:tcPr>
            <w:tcW w:w="1282"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44"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0" w:type="auto"/>
            <w:noWrap w:val="0"/>
            <w:vAlign w:val="center"/>
          </w:tcPr>
          <w:p>
            <w:pPr>
              <w:adjustRightInd w:val="0"/>
              <w:snapToGrid w:val="0"/>
              <w:spacing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09"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626" w:type="dxa"/>
            <w:noWrap w:val="0"/>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氮气</w:t>
            </w:r>
          </w:p>
        </w:tc>
        <w:tc>
          <w:tcPr>
            <w:tcW w:w="164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37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31.5万Nm</w:t>
            </w:r>
            <w:r>
              <w:rPr>
                <w:rFonts w:hint="default" w:ascii="Times New Roman" w:hAnsi="Times New Roman" w:eastAsia="宋体" w:cs="Times New Roman"/>
                <w:color w:val="auto"/>
                <w:sz w:val="21"/>
                <w:szCs w:val="21"/>
                <w:vertAlign w:val="superscript"/>
              </w:rPr>
              <w:t>3</w:t>
            </w:r>
          </w:p>
        </w:tc>
        <w:tc>
          <w:tcPr>
            <w:tcW w:w="1282"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44"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0" w:type="auto"/>
            <w:noWrap w:val="0"/>
            <w:vAlign w:val="center"/>
          </w:tcPr>
          <w:p>
            <w:pPr>
              <w:adjustRightInd w:val="0"/>
              <w:snapToGrid w:val="0"/>
              <w:spacing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rPr>
              <w:t>万Nm</w:t>
            </w:r>
            <w:r>
              <w:rPr>
                <w:rFonts w:hint="default" w:ascii="Times New Roman" w:hAnsi="Times New Roman" w:eastAsia="宋体" w:cs="Times New Roman"/>
                <w:color w:val="auto"/>
                <w:sz w:val="21"/>
                <w:szCs w:val="21"/>
                <w:vertAlign w:val="superscript"/>
              </w:rPr>
              <w:t>3</w:t>
            </w:r>
          </w:p>
        </w:tc>
      </w:tr>
    </w:tbl>
    <w:p>
      <w:pPr>
        <w:adjustRightInd w:val="0"/>
        <w:snapToGrid w:val="0"/>
        <w:spacing w:line="324" w:lineRule="auto"/>
        <w:jc w:val="both"/>
        <w:rPr>
          <w:rFonts w:hint="default" w:ascii="Times New Roman" w:hAnsi="Times New Roman" w:eastAsia="宋体" w:cs="Times New Roman"/>
          <w:b/>
          <w:color w:val="auto"/>
        </w:rPr>
        <w:sectPr>
          <w:pgSz w:w="11911" w:h="16838"/>
          <w:pgMar w:top="1463" w:right="1678" w:bottom="1463" w:left="1678" w:header="907" w:footer="884" w:gutter="0"/>
          <w:pgBorders>
            <w:top w:val="none" w:sz="0" w:space="0"/>
            <w:left w:val="none" w:sz="0" w:space="0"/>
            <w:bottom w:val="none" w:sz="0" w:space="0"/>
            <w:right w:val="none" w:sz="0" w:space="0"/>
          </w:pgBorders>
          <w:pgNumType w:fmt="decimal"/>
          <w:cols w:space="0" w:num="1"/>
          <w:rtlGutter w:val="0"/>
          <w:docGrid w:type="lines" w:linePitch="0" w:charSpace="0"/>
        </w:sectPr>
      </w:pPr>
    </w:p>
    <w:p>
      <w:pPr>
        <w:pStyle w:val="4"/>
        <w:keepNext w:val="0"/>
        <w:keepLines w:val="0"/>
        <w:pageBreakBefore w:val="0"/>
        <w:widowControl w:val="0"/>
        <w:kinsoku/>
        <w:wordWrap/>
        <w:overflowPunct/>
        <w:topLinePunct w:val="0"/>
        <w:autoSpaceDE w:val="0"/>
        <w:autoSpaceDN w:val="0"/>
        <w:bidi w:val="0"/>
        <w:snapToGrid/>
        <w:ind w:left="0" w:leftChars="0" w:firstLine="0" w:firstLineChars="0"/>
        <w:textAlignment w:val="auto"/>
        <w:rPr>
          <w:rFonts w:hint="default" w:ascii="Times New Roman" w:hAnsi="Times New Roman" w:eastAsia="宋体" w:cs="Times New Roman"/>
          <w:color w:val="auto"/>
          <w:sz w:val="28"/>
          <w:szCs w:val="28"/>
          <w:lang w:val="zh-CN" w:eastAsia="zh-CN"/>
        </w:rPr>
      </w:pPr>
      <w:bookmarkStart w:id="13" w:name="_Toc30443"/>
      <w:bookmarkStart w:id="14" w:name="_Toc20261"/>
      <w:r>
        <w:rPr>
          <w:rFonts w:hint="default" w:ascii="Times New Roman" w:hAnsi="Times New Roman" w:eastAsia="宋体" w:cs="Times New Roman"/>
          <w:color w:val="auto"/>
          <w:sz w:val="28"/>
          <w:szCs w:val="28"/>
        </w:rPr>
        <w:t>3.</w:t>
      </w:r>
      <w:r>
        <w:rPr>
          <w:rFonts w:hint="default" w:ascii="Times New Roman" w:hAnsi="Times New Roman" w:eastAsia="宋体" w:cs="Times New Roman"/>
          <w:color w:val="auto"/>
          <w:sz w:val="28"/>
          <w:szCs w:val="28"/>
          <w:lang w:val="en-US" w:eastAsia="zh-CN"/>
        </w:rPr>
        <w:t>4</w:t>
      </w:r>
      <w:r>
        <w:rPr>
          <w:rFonts w:hint="default" w:ascii="Times New Roman" w:hAnsi="Times New Roman" w:eastAsia="宋体" w:cs="Times New Roman"/>
          <w:color w:val="auto"/>
          <w:sz w:val="28"/>
          <w:szCs w:val="28"/>
        </w:rPr>
        <w:t xml:space="preserve"> </w:t>
      </w:r>
      <w:bookmarkEnd w:id="13"/>
      <w:r>
        <w:rPr>
          <w:rFonts w:hint="default" w:ascii="Times New Roman" w:hAnsi="Times New Roman" w:eastAsia="宋体" w:cs="Times New Roman"/>
          <w:color w:val="auto"/>
          <w:sz w:val="28"/>
          <w:szCs w:val="28"/>
          <w:lang w:val="en-US" w:eastAsia="zh-CN"/>
        </w:rPr>
        <w:t xml:space="preserve"> </w:t>
      </w:r>
      <w:r>
        <w:rPr>
          <w:rFonts w:hint="default" w:ascii="Times New Roman" w:hAnsi="Times New Roman" w:eastAsia="宋体" w:cs="Times New Roman"/>
          <w:color w:val="auto"/>
          <w:sz w:val="28"/>
          <w:szCs w:val="28"/>
          <w:lang w:val="zh-CN" w:eastAsia="zh-CN"/>
        </w:rPr>
        <w:t>主要生产工艺及污染物产出流程（附示意图）</w:t>
      </w:r>
      <w:bookmarkEnd w:id="14"/>
    </w:p>
    <w:p>
      <w:pPr>
        <w:keepNext w:val="0"/>
        <w:keepLines w:val="0"/>
        <w:pageBreakBefore w:val="0"/>
        <w:kinsoku/>
        <w:wordWrap/>
        <w:overflowPunct/>
        <w:topLinePunct w:val="0"/>
        <w:autoSpaceDE w:val="0"/>
        <w:autoSpaceDN w:val="0"/>
        <w:bidi w:val="0"/>
        <w:ind w:firstLine="480" w:firstLineChars="200"/>
        <w:textAlignment w:val="auto"/>
        <w:rPr>
          <w:rFonts w:hint="default" w:ascii="Times New Roman" w:hAnsi="Times New Roman" w:eastAsia="宋体" w:cs="Times New Roman"/>
          <w:color w:val="auto"/>
          <w:sz w:val="24"/>
          <w:szCs w:val="24"/>
          <w:lang w:val="en-US" w:eastAsia="zh-CN"/>
        </w:rPr>
      </w:pPr>
      <w:bookmarkStart w:id="15" w:name="_Toc11126"/>
      <w:r>
        <w:rPr>
          <w:rFonts w:hint="default" w:ascii="Times New Roman" w:hAnsi="Times New Roman" w:eastAsia="宋体" w:cs="Times New Roman"/>
          <w:color w:val="auto"/>
          <w:sz w:val="24"/>
          <w:szCs w:val="24"/>
          <w:lang w:val="en-US" w:eastAsia="zh-CN"/>
        </w:rPr>
        <w:t>本项目产品主要以脂肪酸类和酯类等为主要原料，反应生成脂肪酸酯系列产品；根据脂肪酸和酯类等的不同，共生产三个系列（9种）产品。各种产品的生产工艺步骤基本一致，但以异丙醇为原料生产的脂肪酸酯可直接进釜进行酯化反应，其余产品的原料需经预热后方可进釜反应。</w:t>
      </w:r>
    </w:p>
    <w:p>
      <w:pPr>
        <w:keepNext w:val="0"/>
        <w:keepLines w:val="0"/>
        <w:pageBreakBefore w:val="0"/>
        <w:kinsoku/>
        <w:wordWrap/>
        <w:overflowPunct/>
        <w:topLinePunct w:val="0"/>
        <w:autoSpaceDE w:val="0"/>
        <w:autoSpaceDN w:val="0"/>
        <w:bidi w:val="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3.4.1异丙醇系列脂肪酸酯生产工艺</w:t>
      </w:r>
    </w:p>
    <w:p>
      <w:pPr>
        <w:keepNext w:val="0"/>
        <w:keepLines w:val="0"/>
        <w:pageBreakBefore w:val="0"/>
        <w:kinsoku/>
        <w:wordWrap/>
        <w:overflowPunct/>
        <w:topLinePunct w:val="0"/>
        <w:autoSpaceDE w:val="0"/>
        <w:autoSpaceDN w:val="0"/>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（一）工艺流程及描述</w:t>
      </w:r>
    </w:p>
    <w:p>
      <w:pPr>
        <w:keepNext w:val="0"/>
        <w:keepLines w:val="0"/>
        <w:pageBreakBefore w:val="0"/>
        <w:kinsoku/>
        <w:wordWrap/>
        <w:overflowPunct/>
        <w:topLinePunct w:val="0"/>
        <w:autoSpaceDE w:val="0"/>
        <w:autoSpaceDN w:val="0"/>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本项目系列产品生产工艺流程主要分为：准备过程、反应过程、精制过程和脱气过程。</w:t>
      </w:r>
    </w:p>
    <w:p>
      <w:pPr>
        <w:keepNext w:val="0"/>
        <w:keepLines w:val="0"/>
        <w:pageBreakBefore w:val="0"/>
        <w:kinsoku/>
        <w:wordWrap/>
        <w:overflowPunct/>
        <w:topLinePunct w:val="0"/>
        <w:autoSpaceDE w:val="0"/>
        <w:autoSpaceDN w:val="0"/>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工艺流程如图3.4-1。</w:t>
      </w:r>
    </w:p>
    <w:p>
      <w:pPr>
        <w:keepNext w:val="0"/>
        <w:keepLines w:val="0"/>
        <w:pageBreakBefore w:val="0"/>
        <w:kinsoku/>
        <w:wordWrap/>
        <w:overflowPunct/>
        <w:topLinePunct w:val="0"/>
        <w:autoSpaceDE w:val="0"/>
        <w:autoSpaceDN w:val="0"/>
        <w:bidi w:val="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drawing>
          <wp:inline distT="0" distB="0" distL="114300" distR="114300">
            <wp:extent cx="3823335" cy="3667125"/>
            <wp:effectExtent l="0" t="0" r="5715" b="9525"/>
            <wp:docPr id="48" name="图片 48" descr="1635216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635216363(1)"/>
                    <pic:cNvPicPr>
                      <a:picLocks noChangeAspect="1"/>
                    </pic:cNvPicPr>
                  </pic:nvPicPr>
                  <pic:blipFill>
                    <a:blip r:embed="rId16"/>
                    <a:stretch>
                      <a:fillRect/>
                    </a:stretch>
                  </pic:blipFill>
                  <pic:spPr>
                    <a:xfrm>
                      <a:off x="0" y="0"/>
                      <a:ext cx="3823335" cy="3667125"/>
                    </a:xfrm>
                    <a:prstGeom prst="rect">
                      <a:avLst/>
                    </a:prstGeom>
                  </pic:spPr>
                </pic:pic>
              </a:graphicData>
            </a:graphic>
          </wp:inline>
        </w:drawing>
      </w:r>
    </w:p>
    <w:p>
      <w:pPr>
        <w:keepNext w:val="0"/>
        <w:keepLines w:val="0"/>
        <w:pageBreakBefore w:val="0"/>
        <w:kinsoku/>
        <w:wordWrap/>
        <w:overflowPunct/>
        <w:topLinePunct w:val="0"/>
        <w:autoSpaceDE w:val="0"/>
        <w:autoSpaceDN w:val="0"/>
        <w:bidi w:val="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图3.4-1  异丙醇系列脂肪酸酯产品生产工艺流程图</w:t>
      </w:r>
    </w:p>
    <w:p>
      <w:pPr>
        <w:keepNext w:val="0"/>
        <w:keepLines w:val="0"/>
        <w:pageBreakBefore w:val="0"/>
        <w:kinsoku/>
        <w:wordWrap/>
        <w:overflowPunct/>
        <w:topLinePunct w:val="0"/>
        <w:autoSpaceDE w:val="0"/>
        <w:autoSpaceDN w:val="0"/>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工艺流程描述：</w:t>
      </w:r>
    </w:p>
    <w:p>
      <w:pPr>
        <w:keepNext w:val="0"/>
        <w:keepLines w:val="0"/>
        <w:pageBreakBefore w:val="0"/>
        <w:kinsoku/>
        <w:wordWrap/>
        <w:overflowPunct/>
        <w:topLinePunct w:val="0"/>
        <w:autoSpaceDE w:val="0"/>
        <w:autoSpaceDN w:val="0"/>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本项目系列产品生产工艺流程主要分为：反应过程、精制过程和脱气过程。</w:t>
      </w:r>
    </w:p>
    <w:p>
      <w:pPr>
        <w:keepNext w:val="0"/>
        <w:keepLines w:val="0"/>
        <w:pageBreakBefore w:val="0"/>
        <w:kinsoku/>
        <w:wordWrap/>
        <w:overflowPunct/>
        <w:topLinePunct w:val="0"/>
        <w:autoSpaceDE w:val="0"/>
        <w:autoSpaceDN w:val="0"/>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1、反应过程：</w:t>
      </w:r>
    </w:p>
    <w:p>
      <w:pPr>
        <w:keepNext w:val="0"/>
        <w:keepLines w:val="0"/>
        <w:pageBreakBefore w:val="0"/>
        <w:kinsoku/>
        <w:wordWrap/>
        <w:overflowPunct/>
        <w:topLinePunct w:val="0"/>
        <w:autoSpaceDE w:val="0"/>
        <w:autoSpaceDN w:val="0"/>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首先，将反应釜内抽真空，反应釜内残留的有机气体G1经真空系统抽至热井中，将反应釜内的真空度降至85kPa以下。然后利用氮气将罐区储罐内所需量的脂肪酸和异丙醇按规定的摩尔比依次压入反应釜中。</w:t>
      </w:r>
    </w:p>
    <w:p>
      <w:pPr>
        <w:keepNext w:val="0"/>
        <w:keepLines w:val="0"/>
        <w:pageBreakBefore w:val="0"/>
        <w:kinsoku/>
        <w:wordWrap/>
        <w:overflowPunct/>
        <w:topLinePunct w:val="0"/>
        <w:autoSpaceDE w:val="0"/>
        <w:autoSpaceDN w:val="0"/>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根据不同物料的反应要求使用蒸汽夹套加热，加入物料温度值120</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150℃，并逐渐开启真空泵至反应釜的真空度小于1kPa。</w:t>
      </w:r>
    </w:p>
    <w:p>
      <w:pPr>
        <w:keepNext w:val="0"/>
        <w:keepLines w:val="0"/>
        <w:pageBreakBefore w:val="0"/>
        <w:kinsoku/>
        <w:wordWrap/>
        <w:overflowPunct/>
        <w:topLinePunct w:val="0"/>
        <w:autoSpaceDE w:val="0"/>
        <w:autoSpaceDN w:val="0"/>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物料反应4-6小时后开始取样分析，检查酸值，随后每2小时取样检测一次；当酸值（AV）低于2时，停止加热并从反应釜底部连续喷射氮气，破除真空，将反应后的粗品排放到脱色罐中。</w:t>
      </w:r>
    </w:p>
    <w:p>
      <w:pPr>
        <w:keepNext w:val="0"/>
        <w:keepLines w:val="0"/>
        <w:pageBreakBefore w:val="0"/>
        <w:kinsoku/>
        <w:wordWrap/>
        <w:overflowPunct/>
        <w:topLinePunct w:val="0"/>
        <w:autoSpaceDE w:val="0"/>
        <w:autoSpaceDN w:val="0"/>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根据本项目脂肪酸酯生产所使用的原料不同，其反应机理主要为：脂肪酸羧基上的羟基和醇类的羟基上的氢生成的水脱除后产生脂肪酸酯，其反应方程如下：</w:t>
      </w:r>
    </w:p>
    <w:p>
      <w:pPr>
        <w:keepNext w:val="0"/>
        <w:keepLines w:val="0"/>
        <w:pageBreakBefore w:val="0"/>
        <w:kinsoku/>
        <w:wordWrap/>
        <w:overflowPunct/>
        <w:topLinePunct w:val="0"/>
        <w:autoSpaceDE w:val="0"/>
        <w:autoSpaceDN w:val="0"/>
        <w:bidi w:val="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drawing>
          <wp:inline distT="0" distB="0" distL="114300" distR="114300">
            <wp:extent cx="3359785" cy="345440"/>
            <wp:effectExtent l="0" t="0" r="12065" b="16510"/>
            <wp:docPr id="49" name="图片 49" descr="1635216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635216479(1)"/>
                    <pic:cNvPicPr>
                      <a:picLocks noChangeAspect="1"/>
                    </pic:cNvPicPr>
                  </pic:nvPicPr>
                  <pic:blipFill>
                    <a:blip r:embed="rId17"/>
                    <a:stretch>
                      <a:fillRect/>
                    </a:stretch>
                  </pic:blipFill>
                  <pic:spPr>
                    <a:xfrm>
                      <a:off x="0" y="0"/>
                      <a:ext cx="3359785" cy="345440"/>
                    </a:xfrm>
                    <a:prstGeom prst="rect">
                      <a:avLst/>
                    </a:prstGeom>
                  </pic:spPr>
                </pic:pic>
              </a:graphicData>
            </a:graphic>
          </wp:inline>
        </w:drawing>
      </w:r>
    </w:p>
    <w:p>
      <w:pPr>
        <w:keepNext w:val="0"/>
        <w:keepLines w:val="0"/>
        <w:pageBreakBefore w:val="0"/>
        <w:kinsoku/>
        <w:wordWrap/>
        <w:overflowPunct/>
        <w:topLinePunct w:val="0"/>
        <w:autoSpaceDE w:val="0"/>
        <w:autoSpaceDN w:val="0"/>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酯化反应生成的水在反应条件下以水蒸气的形式从反应釜顶部引至冷凝器冷凝收集，由于异丙醇的沸点偏低，少量的异丙醇会与水蒸气一并进入冷凝器。冷凝液进入再沸器，异丙醇和水的沸点等理化性质的不同，分为气相和液相。液相以液态废水W1-1收集；气相异丙醇经真空膜分离器进一步将原料醇进行浓缩至纯度95%以上，膜分离出来的水以液态废水W1-2收集。提纯过程中的异丙醇冷凝后泵回到接收罐中，不凝尾气G5进入热井系统；废水W1（W1-1和W1-2）收集后回用作设备清洗水。</w:t>
      </w:r>
    </w:p>
    <w:p>
      <w:pPr>
        <w:keepNext w:val="0"/>
        <w:keepLines w:val="0"/>
        <w:pageBreakBefore w:val="0"/>
        <w:kinsoku/>
        <w:wordWrap/>
        <w:overflowPunct/>
        <w:topLinePunct w:val="0"/>
        <w:autoSpaceDE w:val="0"/>
        <w:autoSpaceDN w:val="0"/>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真空膜分离技术是一门新兴气体分离手段。它利用不同的有机气体如烷烃、芳香烃等与常规气体在高分子分离膜中渗透速率的差异实现选择性分离，从而达到富集回收有机组分的目的。混合气体通过膜组件时，渗透侧形成有机气体高浓度流并进行回收，在渗余侧形成贫有机组分流，从而实现气体分离。</w:t>
      </w:r>
    </w:p>
    <w:p>
      <w:pPr>
        <w:keepNext w:val="0"/>
        <w:keepLines w:val="0"/>
        <w:pageBreakBefore w:val="0"/>
        <w:kinsoku/>
        <w:wordWrap/>
        <w:overflowPunct/>
        <w:topLinePunct w:val="0"/>
        <w:autoSpaceDE w:val="0"/>
        <w:autoSpaceDN w:val="0"/>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3、精制：</w:t>
      </w:r>
    </w:p>
    <w:p>
      <w:pPr>
        <w:keepNext w:val="0"/>
        <w:keepLines w:val="0"/>
        <w:pageBreakBefore w:val="0"/>
        <w:kinsoku/>
        <w:wordWrap/>
        <w:overflowPunct/>
        <w:topLinePunct w:val="0"/>
        <w:autoSpaceDE w:val="0"/>
        <w:autoSpaceDN w:val="0"/>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脱色：脂肪酸酯粗品转至脱色罐后，根据反应釜出料前的AV值检测结果，核算出需要添加的NaOH溶液量，并将其缓慢加入脱色罐中并搅拌。</w:t>
      </w:r>
    </w:p>
    <w:p>
      <w:pPr>
        <w:keepNext w:val="0"/>
        <w:keepLines w:val="0"/>
        <w:pageBreakBefore w:val="0"/>
        <w:kinsoku/>
        <w:wordWrap/>
        <w:overflowPunct/>
        <w:topLinePunct w:val="0"/>
        <w:autoSpaceDE w:val="0"/>
        <w:autoSpaceDN w:val="0"/>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中和后取样进行AV值检测，检测合格后逐步加入以下脱色剂：活性炭、白土、硅藻土。</w:t>
      </w:r>
    </w:p>
    <w:p>
      <w:pPr>
        <w:keepNext w:val="0"/>
        <w:keepLines w:val="0"/>
        <w:pageBreakBefore w:val="0"/>
        <w:kinsoku/>
        <w:wordWrap/>
        <w:overflowPunct/>
        <w:topLinePunct w:val="0"/>
        <w:autoSpaceDE w:val="0"/>
        <w:autoSpaceDN w:val="0"/>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然后开始加热至90</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120℃，并使真空降至15kPa以下，并保持该温度压力下不小于3小时。脱色过程会产生废脱色剂S2、真空系统尾气G2。</w:t>
      </w:r>
    </w:p>
    <w:p>
      <w:pPr>
        <w:keepNext w:val="0"/>
        <w:keepLines w:val="0"/>
        <w:pageBreakBefore w:val="0"/>
        <w:kinsoku/>
        <w:wordWrap/>
        <w:overflowPunct/>
        <w:topLinePunct w:val="0"/>
        <w:autoSpaceDE w:val="0"/>
        <w:autoSpaceDN w:val="0"/>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然后通过过滤器在不低于凝固点的条件下过滤产品，产生废滤饼S3；过滤后的产品暂存于半成品罐中。</w:t>
      </w:r>
    </w:p>
    <w:p>
      <w:pPr>
        <w:keepNext w:val="0"/>
        <w:keepLines w:val="0"/>
        <w:pageBreakBefore w:val="0"/>
        <w:kinsoku/>
        <w:wordWrap/>
        <w:overflowPunct/>
        <w:topLinePunct w:val="0"/>
        <w:autoSpaceDE w:val="0"/>
        <w:autoSpaceDN w:val="0"/>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将半成品罐中的脂肪酸酯泵入蒸馏釜精制，进一步蒸馏除去产品中的低组分与中和反应产生的水。蒸馏温度为100-150℃，压力为0.5-1.0kPa。蒸馏出的气相G3经真空喷射泵出水一并通至热井中。</w:t>
      </w:r>
    </w:p>
    <w:p>
      <w:pPr>
        <w:keepNext w:val="0"/>
        <w:keepLines w:val="0"/>
        <w:pageBreakBefore w:val="0"/>
        <w:kinsoku/>
        <w:wordWrap/>
        <w:overflowPunct/>
        <w:topLinePunct w:val="0"/>
        <w:autoSpaceDE w:val="0"/>
        <w:autoSpaceDN w:val="0"/>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4、脱气：</w:t>
      </w:r>
    </w:p>
    <w:p>
      <w:pPr>
        <w:keepNext w:val="0"/>
        <w:keepLines w:val="0"/>
        <w:pageBreakBefore w:val="0"/>
        <w:kinsoku/>
        <w:wordWrap/>
        <w:overflowPunct/>
        <w:topLinePunct w:val="0"/>
        <w:autoSpaceDE w:val="0"/>
        <w:autoSpaceDN w:val="0"/>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经精制后的产品通过真空条件下（0.5-2.0kPa），加热至100-150℃左右，进一步将游离的酸等异味小分子废气G4脱除，G4经真空喷射泵出水一并通至热井中。</w:t>
      </w:r>
    </w:p>
    <w:p>
      <w:pPr>
        <w:keepNext w:val="0"/>
        <w:keepLines w:val="0"/>
        <w:pageBreakBefore w:val="0"/>
        <w:kinsoku/>
        <w:wordWrap/>
        <w:overflowPunct/>
        <w:topLinePunct w:val="0"/>
        <w:autoSpaceDE w:val="0"/>
        <w:autoSpaceDN w:val="0"/>
        <w:bidi w:val="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3.4.2异辛醇系列、三羟甲基丙烷系列等脂肪酸酯生产工艺</w:t>
      </w:r>
    </w:p>
    <w:p>
      <w:pPr>
        <w:keepNext w:val="0"/>
        <w:keepLines w:val="0"/>
        <w:pageBreakBefore w:val="0"/>
        <w:kinsoku/>
        <w:wordWrap/>
        <w:overflowPunct/>
        <w:topLinePunct w:val="0"/>
        <w:autoSpaceDE w:val="0"/>
        <w:autoSpaceDN w:val="0"/>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（一）工艺流程及描述</w:t>
      </w:r>
    </w:p>
    <w:p>
      <w:pPr>
        <w:keepNext w:val="0"/>
        <w:keepLines w:val="0"/>
        <w:pageBreakBefore w:val="0"/>
        <w:kinsoku/>
        <w:wordWrap/>
        <w:overflowPunct/>
        <w:topLinePunct w:val="0"/>
        <w:autoSpaceDE w:val="0"/>
        <w:autoSpaceDN w:val="0"/>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本项目系列产品生产工艺流程主要分为：准备（预热）过程、反应过程、精制过程和脱气过程。</w:t>
      </w:r>
    </w:p>
    <w:p>
      <w:pPr>
        <w:keepNext w:val="0"/>
        <w:keepLines w:val="0"/>
        <w:pageBreakBefore w:val="0"/>
        <w:kinsoku/>
        <w:wordWrap/>
        <w:overflowPunct/>
        <w:topLinePunct w:val="0"/>
        <w:autoSpaceDE w:val="0"/>
        <w:autoSpaceDN w:val="0"/>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工艺流程如图3.4-2。</w:t>
      </w:r>
    </w:p>
    <w:p>
      <w:pPr>
        <w:keepNext w:val="0"/>
        <w:keepLines w:val="0"/>
        <w:pageBreakBefore w:val="0"/>
        <w:kinsoku/>
        <w:wordWrap/>
        <w:overflowPunct/>
        <w:topLinePunct w:val="0"/>
        <w:autoSpaceDE w:val="0"/>
        <w:autoSpaceDN w:val="0"/>
        <w:bidi w:val="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drawing>
          <wp:inline distT="0" distB="0" distL="114300" distR="114300">
            <wp:extent cx="2834640" cy="3676015"/>
            <wp:effectExtent l="0" t="0" r="3810" b="635"/>
            <wp:docPr id="50" name="图片 50" descr="16352168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635216895(1)"/>
                    <pic:cNvPicPr>
                      <a:picLocks noChangeAspect="1"/>
                    </pic:cNvPicPr>
                  </pic:nvPicPr>
                  <pic:blipFill>
                    <a:blip r:embed="rId18"/>
                    <a:stretch>
                      <a:fillRect/>
                    </a:stretch>
                  </pic:blipFill>
                  <pic:spPr>
                    <a:xfrm>
                      <a:off x="0" y="0"/>
                      <a:ext cx="2834640" cy="3676015"/>
                    </a:xfrm>
                    <a:prstGeom prst="rect">
                      <a:avLst/>
                    </a:prstGeom>
                  </pic:spPr>
                </pic:pic>
              </a:graphicData>
            </a:graphic>
          </wp:inline>
        </w:drawing>
      </w:r>
    </w:p>
    <w:p>
      <w:pPr>
        <w:keepNext w:val="0"/>
        <w:keepLines w:val="0"/>
        <w:pageBreakBefore w:val="0"/>
        <w:kinsoku/>
        <w:wordWrap/>
        <w:overflowPunct/>
        <w:topLinePunct w:val="0"/>
        <w:autoSpaceDE w:val="0"/>
        <w:autoSpaceDN w:val="0"/>
        <w:bidi w:val="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图3.4-2  异辛醇系列、三羟甲基丙烷系列等产品生产工艺流程图</w:t>
      </w:r>
    </w:p>
    <w:p>
      <w:pPr>
        <w:keepNext w:val="0"/>
        <w:keepLines w:val="0"/>
        <w:pageBreakBefore w:val="0"/>
        <w:kinsoku/>
        <w:wordWrap/>
        <w:overflowPunct/>
        <w:topLinePunct w:val="0"/>
        <w:autoSpaceDE w:val="0"/>
        <w:autoSpaceDN w:val="0"/>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工艺流程描述：</w:t>
      </w:r>
    </w:p>
    <w:p>
      <w:pPr>
        <w:keepNext w:val="0"/>
        <w:keepLines w:val="0"/>
        <w:pageBreakBefore w:val="0"/>
        <w:kinsoku/>
        <w:wordWrap/>
        <w:overflowPunct/>
        <w:topLinePunct w:val="0"/>
        <w:autoSpaceDE w:val="0"/>
        <w:autoSpaceDN w:val="0"/>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本项目系列产品生产工艺流程主要分为：准备过程、反应过程、精制过程和脱气过程。</w:t>
      </w:r>
    </w:p>
    <w:p>
      <w:pPr>
        <w:keepNext w:val="0"/>
        <w:keepLines w:val="0"/>
        <w:pageBreakBefore w:val="0"/>
        <w:kinsoku/>
        <w:wordWrap/>
        <w:overflowPunct/>
        <w:topLinePunct w:val="0"/>
        <w:autoSpaceDE w:val="0"/>
        <w:autoSpaceDN w:val="0"/>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1、准备过程：</w:t>
      </w:r>
    </w:p>
    <w:p>
      <w:pPr>
        <w:keepNext w:val="0"/>
        <w:keepLines w:val="0"/>
        <w:pageBreakBefore w:val="0"/>
        <w:kinsoku/>
        <w:wordWrap/>
        <w:overflowPunct/>
        <w:topLinePunct w:val="0"/>
        <w:autoSpaceDE w:val="0"/>
        <w:autoSpaceDN w:val="0"/>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首先，将计量预热釜内抽真空，将反应釜内的真空度降至85kPa以下，釜内残留的有机气体G6经真空系统抽至热井中。然后利用氮气将罐区储罐内所需量的脂肪酸和醇按规定的摩尔比依次压入预热釜中，再将部分脱色剂（活性炭和白土）加入计量预热釜中，脱色剂通过密闭管道内气流输送，产生少量的粉尘G7；再使用蒸汽为热源，将釜内的反应原料预热至100～130℃并保温。</w:t>
      </w:r>
    </w:p>
    <w:p>
      <w:pPr>
        <w:keepNext w:val="0"/>
        <w:keepLines w:val="0"/>
        <w:pageBreakBefore w:val="0"/>
        <w:kinsoku/>
        <w:wordWrap/>
        <w:overflowPunct/>
        <w:topLinePunct w:val="0"/>
        <w:autoSpaceDE w:val="0"/>
        <w:autoSpaceDN w:val="0"/>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2、反应：</w:t>
      </w:r>
    </w:p>
    <w:p>
      <w:pPr>
        <w:keepNext w:val="0"/>
        <w:keepLines w:val="0"/>
        <w:pageBreakBefore w:val="0"/>
        <w:kinsoku/>
        <w:wordWrap/>
        <w:overflowPunct/>
        <w:topLinePunct w:val="0"/>
        <w:autoSpaceDE w:val="0"/>
        <w:autoSpaceDN w:val="0"/>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首先，将反应釜内抽真空，反应釜内残留的有机气体经真空系统抽至热井中，将反应釜内的真空度降至85kPa以下。待反应釜准备好接收时，利用氮气将预热釜内的脂肪酸和醇泵入反应釜。</w:t>
      </w:r>
    </w:p>
    <w:p>
      <w:pPr>
        <w:keepNext w:val="0"/>
        <w:keepLines w:val="0"/>
        <w:pageBreakBefore w:val="0"/>
        <w:kinsoku/>
        <w:wordWrap/>
        <w:overflowPunct/>
        <w:topLinePunct w:val="0"/>
        <w:autoSpaceDE w:val="0"/>
        <w:autoSpaceDN w:val="0"/>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根据不同物料的反应要求使用中压或高压蒸汽加热，加入物料温度值120</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150℃（生产三羟甲基丙烷系列脂肪酸酯产品时的反应釜加热温度为230</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270℃），并逐渐开启真空泵至反应釜的真空度小于1kPa。</w:t>
      </w:r>
    </w:p>
    <w:p>
      <w:pPr>
        <w:keepNext w:val="0"/>
        <w:keepLines w:val="0"/>
        <w:pageBreakBefore w:val="0"/>
        <w:kinsoku/>
        <w:wordWrap/>
        <w:overflowPunct/>
        <w:topLinePunct w:val="0"/>
        <w:autoSpaceDE w:val="0"/>
        <w:autoSpaceDN w:val="0"/>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根据本项目脂肪酸酯生产所使用的原料不同，其反应机理有所区别，主要分为两种：脂肪酸与醇类反应生成脂肪酸酯，脂肪酸与烷烃反应生成脂肪酸酯。两种反应方程如下：</w:t>
      </w:r>
    </w:p>
    <w:p>
      <w:pPr>
        <w:keepNext w:val="0"/>
        <w:keepLines w:val="0"/>
        <w:pageBreakBefore w:val="0"/>
        <w:kinsoku/>
        <w:wordWrap/>
        <w:overflowPunct/>
        <w:topLinePunct w:val="0"/>
        <w:autoSpaceDE w:val="0"/>
        <w:autoSpaceDN w:val="0"/>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1、脂肪酸羧基上的羟基和醇类的羟基上的氢生成的水脱除后产生脂肪酸酯：</w:t>
      </w:r>
    </w:p>
    <w:p>
      <w:pPr>
        <w:keepNext w:val="0"/>
        <w:keepLines w:val="0"/>
        <w:pageBreakBefore w:val="0"/>
        <w:kinsoku/>
        <w:wordWrap/>
        <w:overflowPunct/>
        <w:topLinePunct w:val="0"/>
        <w:autoSpaceDE w:val="0"/>
        <w:autoSpaceDN w:val="0"/>
        <w:bidi w:val="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drawing>
          <wp:inline distT="0" distB="0" distL="114300" distR="114300">
            <wp:extent cx="2928620" cy="315595"/>
            <wp:effectExtent l="0" t="0" r="5080" b="8255"/>
            <wp:docPr id="51" name="图片 51" descr="16352169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635216952(1)"/>
                    <pic:cNvPicPr>
                      <a:picLocks noChangeAspect="1"/>
                    </pic:cNvPicPr>
                  </pic:nvPicPr>
                  <pic:blipFill>
                    <a:blip r:embed="rId19"/>
                    <a:stretch>
                      <a:fillRect/>
                    </a:stretch>
                  </pic:blipFill>
                  <pic:spPr>
                    <a:xfrm>
                      <a:off x="0" y="0"/>
                      <a:ext cx="2928620" cy="315595"/>
                    </a:xfrm>
                    <a:prstGeom prst="rect">
                      <a:avLst/>
                    </a:prstGeom>
                  </pic:spPr>
                </pic:pic>
              </a:graphicData>
            </a:graphic>
          </wp:inline>
        </w:drawing>
      </w:r>
    </w:p>
    <w:p>
      <w:pPr>
        <w:keepNext w:val="0"/>
        <w:keepLines w:val="0"/>
        <w:pageBreakBefore w:val="0"/>
        <w:kinsoku/>
        <w:wordWrap/>
        <w:overflowPunct/>
        <w:topLinePunct w:val="0"/>
        <w:autoSpaceDE w:val="0"/>
        <w:autoSpaceDN w:val="0"/>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2、脂肪酸羧基上的羟基和三羟甲基丙烷的烷基上的氢生成的水脱除后产生脂肪酸酯：</w:t>
      </w:r>
    </w:p>
    <w:p>
      <w:pPr>
        <w:keepNext w:val="0"/>
        <w:keepLines w:val="0"/>
        <w:pageBreakBefore w:val="0"/>
        <w:kinsoku/>
        <w:wordWrap/>
        <w:overflowPunct/>
        <w:topLinePunct w:val="0"/>
        <w:autoSpaceDE w:val="0"/>
        <w:autoSpaceDN w:val="0"/>
        <w:bidi w:val="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drawing>
          <wp:inline distT="0" distB="0" distL="114300" distR="114300">
            <wp:extent cx="3122295" cy="664210"/>
            <wp:effectExtent l="0" t="0" r="1905" b="2540"/>
            <wp:docPr id="52" name="图片 52" descr="16352169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635216994(1)"/>
                    <pic:cNvPicPr>
                      <a:picLocks noChangeAspect="1"/>
                    </pic:cNvPicPr>
                  </pic:nvPicPr>
                  <pic:blipFill>
                    <a:blip r:embed="rId20"/>
                    <a:stretch>
                      <a:fillRect/>
                    </a:stretch>
                  </pic:blipFill>
                  <pic:spPr>
                    <a:xfrm>
                      <a:off x="0" y="0"/>
                      <a:ext cx="3122295" cy="664210"/>
                    </a:xfrm>
                    <a:prstGeom prst="rect">
                      <a:avLst/>
                    </a:prstGeom>
                  </pic:spPr>
                </pic:pic>
              </a:graphicData>
            </a:graphic>
          </wp:inline>
        </w:drawing>
      </w:r>
    </w:p>
    <w:p>
      <w:pPr>
        <w:keepNext w:val="0"/>
        <w:keepLines w:val="0"/>
        <w:pageBreakBefore w:val="0"/>
        <w:kinsoku/>
        <w:wordWrap/>
        <w:overflowPunct/>
        <w:topLinePunct w:val="0"/>
        <w:autoSpaceDE w:val="0"/>
        <w:autoSpaceDN w:val="0"/>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物料反应4-6小时后开始取样分析，检查酸值，随后每2小时取样检测一次；当酸值（AV）低于2时，停止加热并从反应釜底部连续喷射氮气，破除真空，将反应后的粗品排放到脱色罐中。</w:t>
      </w:r>
    </w:p>
    <w:p>
      <w:pPr>
        <w:keepNext w:val="0"/>
        <w:keepLines w:val="0"/>
        <w:pageBreakBefore w:val="0"/>
        <w:kinsoku/>
        <w:wordWrap/>
        <w:overflowPunct/>
        <w:topLinePunct w:val="0"/>
        <w:autoSpaceDE w:val="0"/>
        <w:autoSpaceDN w:val="0"/>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3、精制：</w:t>
      </w:r>
    </w:p>
    <w:p>
      <w:pPr>
        <w:keepNext w:val="0"/>
        <w:keepLines w:val="0"/>
        <w:pageBreakBefore w:val="0"/>
        <w:kinsoku/>
        <w:wordWrap/>
        <w:overflowPunct/>
        <w:topLinePunct w:val="0"/>
        <w:autoSpaceDE w:val="0"/>
        <w:autoSpaceDN w:val="0"/>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精制过程与异丙醇系列脂肪酸酯产品的精制过程相同。</w:t>
      </w:r>
    </w:p>
    <w:p>
      <w:pPr>
        <w:keepNext w:val="0"/>
        <w:keepLines w:val="0"/>
        <w:pageBreakBefore w:val="0"/>
        <w:kinsoku/>
        <w:wordWrap/>
        <w:overflowPunct/>
        <w:topLinePunct w:val="0"/>
        <w:autoSpaceDE w:val="0"/>
        <w:autoSpaceDN w:val="0"/>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4、脱气：</w:t>
      </w:r>
    </w:p>
    <w:p>
      <w:pPr>
        <w:keepNext w:val="0"/>
        <w:keepLines w:val="0"/>
        <w:pageBreakBefore w:val="0"/>
        <w:kinsoku/>
        <w:wordWrap/>
        <w:overflowPunct/>
        <w:topLinePunct w:val="0"/>
        <w:autoSpaceDE w:val="0"/>
        <w:autoSpaceDN w:val="0"/>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脱气过程与异丙醇系列脂肪酸酯产品的脱气过程相同。</w:t>
      </w:r>
    </w:p>
    <w:p>
      <w:pP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br w:type="page"/>
      </w:r>
    </w:p>
    <w:p>
      <w:pPr>
        <w:pStyle w:val="4"/>
        <w:keepNext w:val="0"/>
        <w:keepLines w:val="0"/>
        <w:pageBreakBefore w:val="0"/>
        <w:widowControl w:val="0"/>
        <w:kinsoku/>
        <w:wordWrap/>
        <w:overflowPunct/>
        <w:topLinePunct w:val="0"/>
        <w:autoSpaceDE w:val="0"/>
        <w:autoSpaceDN w:val="0"/>
        <w:bidi w:val="0"/>
        <w:adjustRightInd/>
        <w:snapToGrid/>
        <w:spacing w:before="157" w:beforeLines="50" w:after="0" w:line="360" w:lineRule="auto"/>
        <w:ind w:left="0" w:leftChars="0" w:right="0" w:rightChars="0" w:firstLine="0" w:firstLineChars="0"/>
        <w:jc w:val="left"/>
        <w:textAlignment w:val="auto"/>
        <w:outlineLvl w:val="1"/>
        <w:rPr>
          <w:rFonts w:hint="default" w:ascii="Times New Roman" w:hAnsi="Times New Roman" w:eastAsia="宋体" w:cs="Times New Roman"/>
          <w:color w:val="auto"/>
          <w:sz w:val="28"/>
          <w:szCs w:val="28"/>
          <w:highlight w:val="none"/>
          <w:lang w:val="zh-CN"/>
        </w:rPr>
      </w:pPr>
      <w:bookmarkStart w:id="16" w:name="_Toc15821"/>
      <w:r>
        <w:rPr>
          <w:rFonts w:hint="default" w:ascii="Times New Roman" w:hAnsi="Times New Roman" w:eastAsia="宋体" w:cs="Times New Roman"/>
          <w:color w:val="auto"/>
          <w:sz w:val="28"/>
          <w:szCs w:val="28"/>
          <w:highlight w:val="none"/>
          <w:lang w:val="zh-CN"/>
        </w:rPr>
        <w:t>3.6</w:t>
      </w:r>
      <w:r>
        <w:rPr>
          <w:rFonts w:hint="default" w:ascii="Times New Roman" w:hAnsi="Times New Roman" w:eastAsia="宋体" w:cs="Times New Roman"/>
          <w:color w:val="auto"/>
          <w:sz w:val="28"/>
          <w:szCs w:val="28"/>
          <w:highlight w:val="none"/>
          <w:lang w:val="en-US" w:eastAsia="zh-CN"/>
        </w:rPr>
        <w:t xml:space="preserve"> </w:t>
      </w:r>
      <w:r>
        <w:rPr>
          <w:rFonts w:hint="default" w:ascii="Times New Roman" w:hAnsi="Times New Roman" w:eastAsia="宋体" w:cs="Times New Roman"/>
          <w:color w:val="auto"/>
          <w:sz w:val="28"/>
          <w:szCs w:val="28"/>
          <w:highlight w:val="none"/>
          <w:lang w:val="zh-CN"/>
        </w:rPr>
        <w:t>项目变动情况</w:t>
      </w:r>
      <w:bookmarkEnd w:id="16"/>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eastAsia" w:ascii="Times New Roman" w:hAnsi="Times New Roman" w:eastAsia="宋体" w:cs="Times New Roman"/>
          <w:snapToGrid w:val="0"/>
          <w:color w:val="auto"/>
          <w:kern w:val="0"/>
          <w:sz w:val="24"/>
          <w:szCs w:val="24"/>
          <w:highlight w:val="none"/>
          <w:lang w:val="en-US" w:eastAsia="zh-CN"/>
        </w:rPr>
      </w:pPr>
      <w:r>
        <w:rPr>
          <w:rFonts w:hint="eastAsia" w:ascii="Times New Roman" w:hAnsi="Times New Roman" w:eastAsia="宋体" w:cs="Times New Roman"/>
          <w:snapToGrid w:val="0"/>
          <w:color w:val="auto"/>
          <w:kern w:val="0"/>
          <w:sz w:val="24"/>
          <w:szCs w:val="24"/>
          <w:highlight w:val="none"/>
          <w:lang w:val="en-US" w:eastAsia="zh-CN"/>
        </w:rPr>
        <w:t>对照报告书、批复等资料，对技改项目实际建成内容进行梳理，实际建成主要变动内容如下：</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eastAsia="宋体" w:cs="Times New Roman"/>
          <w:snapToGrid w:val="0"/>
          <w:color w:val="auto"/>
          <w:kern w:val="0"/>
          <w:sz w:val="24"/>
          <w:szCs w:val="24"/>
          <w:highlight w:val="none"/>
          <w:lang w:val="en-US" w:eastAsia="zh-CN"/>
        </w:rPr>
      </w:pPr>
      <w:r>
        <w:rPr>
          <w:rFonts w:hint="eastAsia" w:ascii="Times New Roman" w:hAnsi="Times New Roman" w:cs="Times New Roman"/>
          <w:snapToGrid w:val="0"/>
          <w:color w:val="auto"/>
          <w:kern w:val="0"/>
          <w:sz w:val="24"/>
          <w:szCs w:val="24"/>
          <w:highlight w:val="none"/>
          <w:lang w:val="en-US" w:eastAsia="zh-CN"/>
        </w:rPr>
        <w:t>（1）</w:t>
      </w:r>
      <w:r>
        <w:rPr>
          <w:rFonts w:hint="eastAsia" w:ascii="Times New Roman" w:hAnsi="Times New Roman" w:eastAsia="宋体" w:cs="Times New Roman"/>
          <w:snapToGrid w:val="0"/>
          <w:color w:val="auto"/>
          <w:kern w:val="0"/>
          <w:sz w:val="24"/>
          <w:szCs w:val="24"/>
          <w:highlight w:val="none"/>
          <w:lang w:val="en-US" w:eastAsia="zh-CN"/>
        </w:rPr>
        <w:t>生产设备变动：环评设计建设两套生产装置（甲类生产装置、丙类生产装置），其中异丙醇系列产品在甲类生产装置生产，其余系列产品在丙类生产装置生产；实际建设过程中，因市场原因，企业取消了辛葵酸三甘油酯产品（设计产能12500吨，产能占比50%）的投产计划，即总产能由年产脂肪酸酯产品25000吨降为12500吨，无需建设丙类生产装置即可达到设计产能，丙类生产装置未建设，故实际生产设备相较环评有所减少</w:t>
      </w:r>
      <w:r>
        <w:rPr>
          <w:rFonts w:hint="default" w:ascii="Times New Roman" w:hAnsi="Times New Roman" w:eastAsia="宋体" w:cs="Times New Roman"/>
          <w:snapToGrid w:val="0"/>
          <w:color w:val="auto"/>
          <w:kern w:val="0"/>
          <w:sz w:val="24"/>
          <w:szCs w:val="24"/>
          <w:highlight w:val="none"/>
          <w:lang w:val="en-US" w:eastAsia="zh-CN"/>
        </w:rPr>
        <w:t>；</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eastAsia="宋体" w:cs="Times New Roman"/>
          <w:snapToGrid w:val="0"/>
          <w:color w:val="auto"/>
          <w:kern w:val="0"/>
          <w:sz w:val="24"/>
          <w:szCs w:val="24"/>
          <w:highlight w:val="none"/>
          <w:lang w:val="en-US" w:eastAsia="zh-CN"/>
        </w:rPr>
      </w:pPr>
      <w:r>
        <w:rPr>
          <w:rFonts w:hint="eastAsia" w:ascii="Times New Roman" w:hAnsi="Times New Roman" w:cs="Times New Roman"/>
          <w:snapToGrid w:val="0"/>
          <w:color w:val="auto"/>
          <w:kern w:val="0"/>
          <w:sz w:val="24"/>
          <w:szCs w:val="24"/>
          <w:highlight w:val="none"/>
          <w:lang w:val="en-US" w:eastAsia="zh-CN"/>
        </w:rPr>
        <w:t>（2）</w:t>
      </w:r>
      <w:r>
        <w:rPr>
          <w:rFonts w:hint="eastAsia" w:ascii="Times New Roman" w:hAnsi="Times New Roman" w:eastAsia="宋体" w:cs="Times New Roman"/>
          <w:snapToGrid w:val="0"/>
          <w:color w:val="auto"/>
          <w:kern w:val="0"/>
          <w:sz w:val="24"/>
          <w:szCs w:val="24"/>
          <w:highlight w:val="none"/>
          <w:lang w:val="en-US" w:eastAsia="zh-CN"/>
        </w:rPr>
        <w:t>建设规模变动：环评设计技改项目产能</w:t>
      </w:r>
      <w:r>
        <w:rPr>
          <w:rFonts w:hint="default" w:ascii="Times New Roman" w:hAnsi="Times New Roman" w:eastAsia="宋体" w:cs="Times New Roman"/>
          <w:snapToGrid w:val="0"/>
          <w:color w:val="auto"/>
          <w:kern w:val="0"/>
          <w:sz w:val="24"/>
          <w:szCs w:val="24"/>
          <w:highlight w:val="none"/>
          <w:lang w:val="en-US" w:eastAsia="zh-CN"/>
        </w:rPr>
        <w:t>为年产脂肪酸酯产品25000吨</w:t>
      </w:r>
      <w:r>
        <w:rPr>
          <w:rFonts w:hint="eastAsia" w:ascii="Times New Roman" w:hAnsi="Times New Roman" w:eastAsia="宋体" w:cs="Times New Roman"/>
          <w:snapToGrid w:val="0"/>
          <w:color w:val="auto"/>
          <w:kern w:val="0"/>
          <w:sz w:val="24"/>
          <w:szCs w:val="24"/>
          <w:highlight w:val="none"/>
          <w:lang w:val="en-US" w:eastAsia="zh-CN"/>
        </w:rPr>
        <w:t>。根据脂肪酸和酯类等的不同，分为异丙醇、异辛醇、三羟甲基丙烷三个系列，其中异丙醇系列包含3种产品（产能5400吨，产能占比21.6%），异辛醇系列包含3种产品（产能2600吨，产能占比10.4%），三羟甲基丙烷系列包含4种产品（17000吨，产能占比68%），合计10种产品；受市场影响，实际建成产能为年产脂肪酸酯产品12500吨，共计九种产品，辛葵酸三甘油酯产品12500t/a产能取消投产。原辅料年消耗量相应减少</w:t>
      </w:r>
      <w:r>
        <w:rPr>
          <w:rFonts w:hint="default" w:ascii="Times New Roman" w:hAnsi="Times New Roman" w:eastAsia="宋体" w:cs="Times New Roman"/>
          <w:snapToGrid w:val="0"/>
          <w:color w:val="auto"/>
          <w:kern w:val="0"/>
          <w:sz w:val="24"/>
          <w:szCs w:val="24"/>
          <w:highlight w:val="none"/>
          <w:lang w:val="en-US" w:eastAsia="zh-CN"/>
        </w:rPr>
        <w:t>；</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eastAsia="宋体" w:cs="Times New Roman"/>
          <w:snapToGrid w:val="0"/>
          <w:color w:val="auto"/>
          <w:kern w:val="0"/>
          <w:sz w:val="24"/>
          <w:szCs w:val="24"/>
          <w:highlight w:val="none"/>
          <w:lang w:val="en-US" w:eastAsia="zh-CN"/>
        </w:rPr>
      </w:pPr>
      <w:r>
        <w:rPr>
          <w:rFonts w:hint="eastAsia" w:ascii="Times New Roman" w:hAnsi="Times New Roman" w:cs="Times New Roman"/>
          <w:snapToGrid w:val="0"/>
          <w:color w:val="auto"/>
          <w:kern w:val="0"/>
          <w:sz w:val="24"/>
          <w:szCs w:val="24"/>
          <w:highlight w:val="none"/>
          <w:lang w:val="en-US" w:eastAsia="zh-CN"/>
        </w:rPr>
        <w:t>（3）</w:t>
      </w:r>
      <w:r>
        <w:rPr>
          <w:rFonts w:hint="eastAsia" w:ascii="Times New Roman" w:hAnsi="Times New Roman" w:eastAsia="宋体" w:cs="Times New Roman"/>
          <w:snapToGrid w:val="0"/>
          <w:color w:val="auto"/>
          <w:kern w:val="0"/>
          <w:sz w:val="24"/>
          <w:szCs w:val="24"/>
          <w:highlight w:val="none"/>
          <w:lang w:val="en-US" w:eastAsia="zh-CN"/>
        </w:rPr>
        <w:t>生产时间变动：环评设计</w:t>
      </w:r>
      <w:r>
        <w:rPr>
          <w:rFonts w:hint="default" w:ascii="Times New Roman" w:hAnsi="Times New Roman" w:eastAsia="宋体" w:cs="Times New Roman"/>
          <w:snapToGrid w:val="0"/>
          <w:color w:val="auto"/>
          <w:kern w:val="0"/>
          <w:sz w:val="24"/>
          <w:szCs w:val="24"/>
          <w:highlight w:val="none"/>
          <w:lang w:val="en-US" w:eastAsia="zh-CN"/>
        </w:rPr>
        <w:t>年产脂肪酸酯产品25000吨</w:t>
      </w:r>
      <w:r>
        <w:rPr>
          <w:rFonts w:hint="eastAsia" w:ascii="Times New Roman" w:hAnsi="Times New Roman" w:eastAsia="宋体" w:cs="Times New Roman"/>
          <w:snapToGrid w:val="0"/>
          <w:color w:val="auto"/>
          <w:kern w:val="0"/>
          <w:sz w:val="24"/>
          <w:szCs w:val="24"/>
          <w:highlight w:val="none"/>
          <w:lang w:val="en-US" w:eastAsia="zh-CN"/>
        </w:rPr>
        <w:t>，计算出</w:t>
      </w:r>
      <w:r>
        <w:rPr>
          <w:rFonts w:hint="eastAsia" w:ascii="Times New Roman" w:hAnsi="Times New Roman" w:eastAsia="宋体" w:cs="Times New Roman"/>
          <w:snapToGrid w:val="0"/>
          <w:color w:val="auto"/>
          <w:kern w:val="0"/>
          <w:sz w:val="24"/>
          <w:szCs w:val="24"/>
          <w:highlight w:val="none"/>
          <w:lang w:val="zh-CN" w:eastAsia="zh-CN"/>
        </w:rPr>
        <w:t>甲类生产装置</w:t>
      </w:r>
      <w:r>
        <w:rPr>
          <w:rFonts w:hint="eastAsia" w:ascii="Times New Roman" w:hAnsi="Times New Roman" w:eastAsia="宋体" w:cs="Times New Roman"/>
          <w:snapToGrid w:val="0"/>
          <w:color w:val="auto"/>
          <w:kern w:val="0"/>
          <w:sz w:val="24"/>
          <w:szCs w:val="24"/>
          <w:highlight w:val="none"/>
          <w:lang w:val="en-US" w:eastAsia="zh-CN"/>
        </w:rPr>
        <w:t>设计年运行时数为2400h，丙类生产装置设计年运行时数为7200h；实际年产脂肪酸酯产品12500吨，根据</w:t>
      </w:r>
      <w:r>
        <w:rPr>
          <w:rFonts w:hint="eastAsia" w:ascii="Times New Roman" w:hAnsi="Times New Roman" w:eastAsia="宋体" w:cs="Times New Roman"/>
          <w:snapToGrid w:val="0"/>
          <w:color w:val="auto"/>
          <w:kern w:val="0"/>
          <w:sz w:val="24"/>
          <w:szCs w:val="24"/>
          <w:highlight w:val="none"/>
          <w:lang w:val="zh-CN" w:eastAsia="zh-CN"/>
        </w:rPr>
        <w:t>每种产品所需生产时间进行计算，异丙醇系列产品</w:t>
      </w:r>
      <w:r>
        <w:rPr>
          <w:rFonts w:hint="eastAsia" w:ascii="Times New Roman" w:hAnsi="Times New Roman" w:eastAsia="宋体" w:cs="Times New Roman"/>
          <w:snapToGrid w:val="0"/>
          <w:color w:val="auto"/>
          <w:kern w:val="0"/>
          <w:sz w:val="24"/>
          <w:szCs w:val="24"/>
          <w:highlight w:val="none"/>
          <w:lang w:val="en-US" w:eastAsia="zh-CN"/>
        </w:rPr>
        <w:t>5400t/a的产能需要生产时间2400h，其他两个系列产品合计产能为7100t/a，需要生产时间2700h，综上，三种系列产品合计需要生产时间5100h年方能达到建成的12500t/a的总生产产能，即生产时间由环评设计的两套装置总生产时间9600h减少为一套装置总生产时间5100h</w:t>
      </w:r>
      <w:r>
        <w:rPr>
          <w:rFonts w:hint="default" w:ascii="Times New Roman" w:hAnsi="Times New Roman" w:eastAsia="宋体" w:cs="Times New Roman"/>
          <w:snapToGrid w:val="0"/>
          <w:color w:val="auto"/>
          <w:kern w:val="0"/>
          <w:sz w:val="24"/>
          <w:szCs w:val="24"/>
          <w:highlight w:val="none"/>
          <w:lang w:val="en-US" w:eastAsia="zh-CN"/>
        </w:rPr>
        <w:t>；</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eastAsia="宋体" w:cs="Times New Roman"/>
          <w:snapToGrid w:val="0"/>
          <w:color w:val="auto"/>
          <w:kern w:val="0"/>
          <w:sz w:val="24"/>
          <w:szCs w:val="24"/>
          <w:highlight w:val="none"/>
          <w:lang w:val="en-US" w:eastAsia="zh-CN"/>
        </w:rPr>
      </w:pPr>
      <w:r>
        <w:rPr>
          <w:rFonts w:hint="eastAsia" w:ascii="Times New Roman" w:hAnsi="Times New Roman" w:cs="Times New Roman"/>
          <w:snapToGrid w:val="0"/>
          <w:color w:val="auto"/>
          <w:kern w:val="0"/>
          <w:sz w:val="24"/>
          <w:szCs w:val="24"/>
          <w:highlight w:val="none"/>
          <w:lang w:val="en-US" w:eastAsia="zh-CN"/>
        </w:rPr>
        <w:t>（4）</w:t>
      </w:r>
      <w:r>
        <w:rPr>
          <w:rFonts w:hint="eastAsia" w:ascii="Times New Roman" w:hAnsi="Times New Roman" w:eastAsia="宋体" w:cs="Times New Roman"/>
          <w:snapToGrid w:val="0"/>
          <w:color w:val="auto"/>
          <w:kern w:val="0"/>
          <w:sz w:val="24"/>
          <w:szCs w:val="24"/>
          <w:highlight w:val="none"/>
          <w:lang w:val="en-US" w:eastAsia="zh-CN"/>
        </w:rPr>
        <w:t>环保设施变动：①因丙类生产装置未建设，环评设计丙类生产装置配套的1套两级冷凝+热井吸收+活性炭吸附+15m排气筒相应取消建设；②排气筒高度变化：甲类生产装置清釜及工艺废气经真空系统收集进入两级级冷凝+热井吸收后的尾气再经活性炭吸附处理后，排气筒由环评设计15m高排气筒排放变为24m高排气筒排放；投料粉尘经密闭管道风机收集进入袋除尘器处理后，由环评设计的15m排气筒排放变为43m排气筒排放</w:t>
      </w:r>
      <w:r>
        <w:rPr>
          <w:rFonts w:hint="default" w:ascii="Times New Roman" w:hAnsi="Times New Roman" w:eastAsia="宋体" w:cs="Times New Roman"/>
          <w:snapToGrid w:val="0"/>
          <w:color w:val="auto"/>
          <w:kern w:val="0"/>
          <w:sz w:val="24"/>
          <w:szCs w:val="24"/>
          <w:highlight w:val="none"/>
          <w:lang w:val="en-US" w:eastAsia="zh-CN"/>
        </w:rPr>
        <w:t>。</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eastAsia" w:ascii="Times New Roman" w:hAnsi="Times New Roman" w:eastAsia="宋体" w:cs="Times New Roman"/>
          <w:snapToGrid w:val="0"/>
          <w:color w:val="auto"/>
          <w:kern w:val="0"/>
          <w:sz w:val="24"/>
          <w:szCs w:val="24"/>
          <w:highlight w:val="none"/>
          <w:lang w:val="en-US" w:eastAsia="zh-CN"/>
        </w:rPr>
      </w:pPr>
      <w:r>
        <w:rPr>
          <w:rFonts w:hint="eastAsia" w:ascii="Times New Roman" w:hAnsi="Times New Roman" w:eastAsia="宋体" w:cs="Times New Roman"/>
          <w:snapToGrid w:val="0"/>
          <w:color w:val="auto"/>
          <w:kern w:val="0"/>
          <w:sz w:val="24"/>
          <w:szCs w:val="24"/>
          <w:highlight w:val="none"/>
          <w:lang w:val="en-US" w:eastAsia="zh-CN"/>
        </w:rPr>
        <w:t>泰柯棕化已按照《省生态环境厅关于加强涉变动项目环评与排污许可管理衔接的通知》要求，委托苏州清泉环保科技有限公司编制了《一般变动环境影响分析报告》，结论为：</w:t>
      </w:r>
      <w:bookmarkStart w:id="17" w:name="_Toc498577450"/>
      <w:bookmarkStart w:id="18" w:name="_Toc498900789"/>
      <w:r>
        <w:rPr>
          <w:rFonts w:hint="eastAsia" w:ascii="Times New Roman" w:hAnsi="Times New Roman" w:eastAsia="宋体" w:cs="Times New Roman"/>
          <w:snapToGrid w:val="0"/>
          <w:color w:val="auto"/>
          <w:kern w:val="0"/>
          <w:sz w:val="24"/>
          <w:szCs w:val="24"/>
          <w:highlight w:val="none"/>
          <w:lang w:val="en-US" w:eastAsia="zh-CN"/>
        </w:rPr>
        <w:t>项目发生一般变动后，原建设项目环境影响评价结论仍适用，不会发生变化。</w:t>
      </w:r>
      <w:bookmarkEnd w:id="17"/>
      <w:bookmarkEnd w:id="18"/>
      <w:r>
        <w:rPr>
          <w:rFonts w:hint="eastAsia" w:ascii="Times New Roman" w:hAnsi="Times New Roman" w:eastAsia="宋体" w:cs="Times New Roman"/>
          <w:snapToGrid w:val="0"/>
          <w:color w:val="auto"/>
          <w:kern w:val="0"/>
          <w:sz w:val="24"/>
          <w:szCs w:val="24"/>
          <w:highlight w:val="none"/>
          <w:lang w:val="en-US" w:eastAsia="zh-CN"/>
        </w:rPr>
        <w:t>技改项目实际建设过程中相关内容较环评有一定变化，但变化不新增污染因子，不新增污染物排放量，也不新增对外环境的影响，对照《污染影响类建设项目重大变动清单（试行）》（环办环评函〔2020〕688号），技改项目变动并不构成重大变动。</w:t>
      </w:r>
    </w:p>
    <w:p>
      <w:pPr>
        <w:pStyle w:val="2"/>
        <w:rPr>
          <w:rFonts w:hint="default"/>
          <w:lang w:val="en-US" w:eastAsia="zh-CN"/>
        </w:rPr>
      </w:pPr>
    </w:p>
    <w:p>
      <w:pPr>
        <w:keepNext w:val="0"/>
        <w:keepLines w:val="0"/>
        <w:pageBreakBefore w:val="0"/>
        <w:widowControl w:val="0"/>
        <w:numPr>
          <w:ilvl w:val="0"/>
          <w:numId w:val="4"/>
        </w:numPr>
        <w:shd w:val="clear"/>
        <w:kinsoku/>
        <w:wordWrap/>
        <w:overflowPunct/>
        <w:topLinePunct w:val="0"/>
        <w:autoSpaceDE w:val="0"/>
        <w:autoSpaceDN w:val="0"/>
        <w:bidi w:val="0"/>
        <w:adjustRightInd/>
        <w:snapToGrid/>
        <w:spacing w:after="0" w:line="360" w:lineRule="auto"/>
        <w:ind w:left="0" w:leftChars="0" w:right="0" w:rightChars="0" w:firstLine="480" w:firstLineChars="200"/>
        <w:textAlignment w:val="auto"/>
        <w:rPr>
          <w:rFonts w:hint="default" w:ascii="Times New Roman" w:hAnsi="Times New Roman" w:eastAsia="宋体" w:cs="Times New Roman"/>
          <w:color w:val="auto"/>
          <w:sz w:val="24"/>
          <w:szCs w:val="24"/>
          <w:lang w:val="en-US" w:eastAsia="zh-CN"/>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bookmarkEnd w:id="15"/>
    <w:p>
      <w:pPr>
        <w:pStyle w:val="3"/>
        <w:keepNext w:val="0"/>
        <w:keepLines w:val="0"/>
        <w:pageBreakBefore w:val="0"/>
        <w:widowControl w:val="0"/>
        <w:numPr>
          <w:ilvl w:val="0"/>
          <w:numId w:val="5"/>
        </w:numPr>
        <w:kinsoku/>
        <w:wordWrap/>
        <w:overflowPunct/>
        <w:topLinePunct w:val="0"/>
        <w:autoSpaceDE w:val="0"/>
        <w:autoSpaceDN w:val="0"/>
        <w:bidi w:val="0"/>
        <w:adjustRightInd/>
        <w:snapToGrid/>
        <w:spacing w:before="157" w:beforeLines="50" w:after="0" w:line="360" w:lineRule="auto"/>
        <w:ind w:left="0" w:leftChars="0" w:right="0" w:rightChars="0" w:firstLine="0" w:firstLineChars="0"/>
        <w:jc w:val="left"/>
        <w:textAlignment w:val="auto"/>
        <w:outlineLvl w:val="0"/>
        <w:rPr>
          <w:rFonts w:hint="default" w:ascii="Times New Roman" w:hAnsi="Times New Roman" w:eastAsia="宋体" w:cs="Times New Roman"/>
          <w:color w:val="auto"/>
          <w:sz w:val="28"/>
          <w:szCs w:val="28"/>
          <w:highlight w:val="none"/>
        </w:rPr>
      </w:pPr>
      <w:bookmarkStart w:id="19" w:name="_Toc624"/>
      <w:bookmarkStart w:id="20" w:name="_Toc7326"/>
      <w:r>
        <w:rPr>
          <w:rFonts w:hint="default" w:ascii="Times New Roman" w:hAnsi="Times New Roman" w:eastAsia="宋体" w:cs="Times New Roman"/>
          <w:color w:val="auto"/>
          <w:sz w:val="28"/>
          <w:szCs w:val="28"/>
          <w:highlight w:val="none"/>
        </w:rPr>
        <w:t>环境保护设施</w:t>
      </w:r>
      <w:bookmarkEnd w:id="19"/>
      <w:r>
        <w:rPr>
          <w:rFonts w:hint="default" w:ascii="Times New Roman" w:hAnsi="Times New Roman" w:eastAsia="宋体" w:cs="Times New Roman"/>
          <w:color w:val="auto"/>
          <w:sz w:val="28"/>
          <w:szCs w:val="28"/>
          <w:highlight w:val="none"/>
          <w:lang w:eastAsia="zh-CN"/>
        </w:rPr>
        <w:t>及措施</w:t>
      </w:r>
      <w:bookmarkEnd w:id="20"/>
    </w:p>
    <w:p>
      <w:pPr>
        <w:pStyle w:val="4"/>
        <w:keepNext w:val="0"/>
        <w:keepLines w:val="0"/>
        <w:pageBreakBefore w:val="0"/>
        <w:widowControl w:val="0"/>
        <w:kinsoku/>
        <w:wordWrap/>
        <w:overflowPunct/>
        <w:topLinePunct w:val="0"/>
        <w:autoSpaceDE w:val="0"/>
        <w:autoSpaceDN w:val="0"/>
        <w:bidi w:val="0"/>
        <w:adjustRightInd/>
        <w:spacing w:line="360" w:lineRule="auto"/>
        <w:ind w:left="0" w:leftChars="0" w:firstLine="0" w:firstLineChars="0"/>
        <w:textAlignment w:val="auto"/>
        <w:rPr>
          <w:rFonts w:hint="default" w:ascii="Times New Roman" w:hAnsi="Times New Roman" w:eastAsia="宋体" w:cs="Times New Roman"/>
          <w:color w:val="auto"/>
          <w:sz w:val="28"/>
          <w:szCs w:val="28"/>
          <w:highlight w:val="none"/>
          <w:lang w:val="en-US" w:eastAsia="zh-CN"/>
        </w:rPr>
      </w:pPr>
      <w:bookmarkStart w:id="21" w:name="_Toc28708"/>
      <w:bookmarkStart w:id="22" w:name="_Toc18233"/>
      <w:r>
        <w:rPr>
          <w:rFonts w:hint="default" w:ascii="Times New Roman" w:hAnsi="Times New Roman" w:eastAsia="宋体" w:cs="Times New Roman"/>
          <w:color w:val="auto"/>
          <w:sz w:val="28"/>
          <w:szCs w:val="28"/>
          <w:highlight w:val="none"/>
          <w:lang w:val="en-US" w:eastAsia="zh-CN"/>
        </w:rPr>
        <w:t xml:space="preserve">4.1 </w:t>
      </w:r>
      <w:bookmarkEnd w:id="21"/>
      <w:r>
        <w:rPr>
          <w:rFonts w:hint="default" w:ascii="Times New Roman" w:hAnsi="Times New Roman" w:eastAsia="宋体" w:cs="Times New Roman"/>
          <w:color w:val="auto"/>
          <w:sz w:val="28"/>
          <w:szCs w:val="28"/>
          <w:highlight w:val="none"/>
          <w:lang w:val="en-US" w:eastAsia="zh-CN"/>
        </w:rPr>
        <w:t>污染物治理/处置设施</w:t>
      </w:r>
      <w:bookmarkEnd w:id="22"/>
    </w:p>
    <w:p>
      <w:pPr>
        <w:keepNext w:val="0"/>
        <w:keepLines w:val="0"/>
        <w:pageBreakBefore w:val="0"/>
        <w:widowControl w:val="0"/>
        <w:kinsoku/>
        <w:wordWrap/>
        <w:overflowPunct/>
        <w:topLinePunct w:val="0"/>
        <w:autoSpaceDE w:val="0"/>
        <w:autoSpaceDN w:val="0"/>
        <w:bidi w:val="0"/>
        <w:adjustRightInd/>
        <w:spacing w:line="360" w:lineRule="auto"/>
        <w:ind w:right="0" w:rightChars="0"/>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4.1.2 废水</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eastAsia="宋体" w:cs="Times New Roman"/>
          <w:snapToGrid w:val="0"/>
          <w:color w:val="auto"/>
          <w:kern w:val="0"/>
          <w:sz w:val="24"/>
          <w:szCs w:val="24"/>
          <w:highlight w:val="none"/>
        </w:rPr>
      </w:pPr>
      <w:bookmarkStart w:id="23" w:name="_Hlk528680321"/>
      <w:r>
        <w:rPr>
          <w:rFonts w:hint="default" w:ascii="Times New Roman" w:hAnsi="Times New Roman" w:eastAsia="宋体" w:cs="Times New Roman"/>
          <w:snapToGrid w:val="0"/>
          <w:color w:val="auto"/>
          <w:kern w:val="0"/>
          <w:sz w:val="24"/>
          <w:szCs w:val="24"/>
          <w:highlight w:val="none"/>
        </w:rPr>
        <w:t>泰柯棕化（张家港）有限公司已经按照清污分流的原则，铺设了污水管网和清下水管网。</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eastAsia="宋体" w:cs="Times New Roman"/>
          <w:snapToGrid w:val="0"/>
          <w:color w:val="auto"/>
          <w:kern w:val="0"/>
          <w:sz w:val="24"/>
          <w:szCs w:val="24"/>
          <w:highlight w:val="none"/>
        </w:rPr>
      </w:pPr>
      <w:r>
        <w:rPr>
          <w:rFonts w:hint="default" w:ascii="Times New Roman" w:hAnsi="Times New Roman" w:eastAsia="宋体" w:cs="Times New Roman"/>
          <w:snapToGrid w:val="0"/>
          <w:color w:val="auto"/>
          <w:kern w:val="0"/>
          <w:sz w:val="24"/>
          <w:szCs w:val="24"/>
          <w:highlight w:val="none"/>
        </w:rPr>
        <w:t>本项目新增产生的废水主要包括工艺废水、清洗设备废水、罐区初期雨水、循环冷却水</w:t>
      </w:r>
      <w:r>
        <w:rPr>
          <w:rFonts w:hint="default" w:ascii="Times New Roman" w:hAnsi="Times New Roman" w:eastAsia="宋体" w:cs="Times New Roman"/>
          <w:snapToGrid w:val="0"/>
          <w:color w:val="auto"/>
          <w:kern w:val="0"/>
          <w:sz w:val="24"/>
          <w:szCs w:val="24"/>
          <w:highlight w:val="none"/>
          <w:lang w:eastAsia="zh-CN"/>
        </w:rPr>
        <w:t>，</w:t>
      </w:r>
      <w:r>
        <w:rPr>
          <w:rFonts w:hint="default" w:ascii="Times New Roman" w:hAnsi="Times New Roman" w:eastAsia="宋体" w:cs="Times New Roman"/>
          <w:snapToGrid w:val="0"/>
          <w:color w:val="auto"/>
          <w:kern w:val="0"/>
          <w:sz w:val="24"/>
          <w:szCs w:val="24"/>
          <w:highlight w:val="none"/>
        </w:rPr>
        <w:t>不涉及氮、磷物质的工业废水。</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eastAsia="宋体" w:cs="Times New Roman"/>
          <w:snapToGrid w:val="0"/>
          <w:color w:val="auto"/>
          <w:kern w:val="0"/>
          <w:sz w:val="24"/>
          <w:szCs w:val="24"/>
          <w:highlight w:val="none"/>
        </w:rPr>
      </w:pPr>
      <w:r>
        <w:rPr>
          <w:rFonts w:hint="default" w:ascii="Times New Roman" w:hAnsi="Times New Roman" w:eastAsia="宋体" w:cs="Times New Roman"/>
          <w:snapToGrid w:val="0"/>
          <w:color w:val="auto"/>
          <w:kern w:val="0"/>
          <w:sz w:val="24"/>
          <w:szCs w:val="24"/>
          <w:highlight w:val="none"/>
        </w:rPr>
        <w:t>工艺废水、真空系统废水、清洗设备废水、罐区初期雨水经各自的污水收集管道排入厂内污水处理站处理，处理经在线监控达标后，通过区域污水管网接入张家港保税区胜科水务有限公司集中进行处理。</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eastAsia="宋体" w:cs="Times New Roman"/>
          <w:snapToGrid w:val="0"/>
          <w:color w:val="auto"/>
          <w:kern w:val="0"/>
          <w:sz w:val="24"/>
          <w:szCs w:val="24"/>
          <w:highlight w:val="none"/>
        </w:rPr>
      </w:pPr>
      <w:r>
        <w:rPr>
          <w:rFonts w:hint="default" w:ascii="Times New Roman" w:hAnsi="Times New Roman" w:eastAsia="宋体" w:cs="Times New Roman"/>
          <w:snapToGrid w:val="0"/>
          <w:color w:val="auto"/>
          <w:kern w:val="0"/>
          <w:sz w:val="24"/>
          <w:szCs w:val="24"/>
          <w:highlight w:val="none"/>
        </w:rPr>
        <w:t>循环冷却弃水经厂区雨水口在线监测合格后启泵外排区域雨水管网。</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eastAsia="宋体" w:cs="Times New Roman"/>
          <w:snapToGrid w:val="0"/>
          <w:color w:val="auto"/>
          <w:kern w:val="0"/>
          <w:sz w:val="24"/>
          <w:szCs w:val="24"/>
          <w:highlight w:val="none"/>
        </w:rPr>
      </w:pPr>
      <w:r>
        <w:rPr>
          <w:rFonts w:hint="default" w:ascii="Times New Roman" w:hAnsi="Times New Roman" w:eastAsia="宋体" w:cs="Times New Roman"/>
          <w:snapToGrid w:val="0"/>
          <w:color w:val="auto"/>
          <w:kern w:val="0"/>
          <w:sz w:val="24"/>
          <w:szCs w:val="24"/>
          <w:highlight w:val="none"/>
        </w:rPr>
        <w:t>本项目工业废水依托厂内已建的废水处理站预处理，该套废水处理站采用马来西亚油酸-化学药品中广泛使用的污水处理技术，设计处理能力为40t/h，目前实际处理废水量约为30.5t/h，技改后不增加污水处理站的处理量。</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eastAsia="宋体" w:cs="Times New Roman"/>
          <w:snapToGrid w:val="0"/>
          <w:color w:val="auto"/>
          <w:kern w:val="0"/>
          <w:sz w:val="24"/>
          <w:szCs w:val="24"/>
          <w:highlight w:val="none"/>
        </w:rPr>
      </w:pPr>
      <w:r>
        <w:rPr>
          <w:rFonts w:hint="default" w:ascii="Times New Roman" w:hAnsi="Times New Roman" w:eastAsia="宋体" w:cs="Times New Roman"/>
          <w:snapToGrid w:val="0"/>
          <w:color w:val="auto"/>
          <w:kern w:val="0"/>
          <w:sz w:val="24"/>
          <w:szCs w:val="24"/>
          <w:highlight w:val="none"/>
        </w:rPr>
        <w:t>处理工艺：污水处理站现有处理工艺为“气浮+水解酸化+曝气+接触氧化”。</w:t>
      </w:r>
    </w:p>
    <w:bookmarkEnd w:id="23"/>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8" w:type="dxa"/>
          </w:tcPr>
          <w:p>
            <w:pPr>
              <w:keepNext w:val="0"/>
              <w:keepLines w:val="0"/>
              <w:pageBreakBefore w:val="0"/>
              <w:widowControl w:val="0"/>
              <w:kinsoku/>
              <w:wordWrap/>
              <w:overflowPunct/>
              <w:topLinePunct w:val="0"/>
              <w:autoSpaceDE w:val="0"/>
              <w:autoSpaceDN w:val="0"/>
              <w:bidi w:val="0"/>
              <w:spacing w:line="360" w:lineRule="auto"/>
              <w:jc w:val="center"/>
              <w:textAlignment w:val="auto"/>
              <w:rPr>
                <w:rFonts w:hint="default" w:ascii="Times New Roman" w:hAnsi="Times New Roman" w:eastAsia="宋体" w:cs="Times New Roman"/>
                <w:snapToGrid w:val="0"/>
                <w:color w:val="auto"/>
                <w:kern w:val="0"/>
                <w:sz w:val="24"/>
                <w:szCs w:val="24"/>
                <w:highlight w:val="none"/>
                <w:vertAlign w:val="baseline"/>
              </w:rPr>
            </w:pPr>
            <w:r>
              <w:rPr>
                <w:rFonts w:hint="default" w:ascii="Times New Roman" w:hAnsi="Times New Roman" w:eastAsia="宋体" w:cs="Times New Roman"/>
                <w:color w:val="auto"/>
                <w:sz w:val="28"/>
                <w:szCs w:val="28"/>
              </w:rPr>
              <w:drawing>
                <wp:inline distT="0" distB="0" distL="114300" distR="114300">
                  <wp:extent cx="2908935" cy="5626100"/>
                  <wp:effectExtent l="0" t="0" r="5715" b="1270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1"/>
                          <a:stretch>
                            <a:fillRect/>
                          </a:stretch>
                        </pic:blipFill>
                        <pic:spPr>
                          <a:xfrm>
                            <a:off x="0" y="0"/>
                            <a:ext cx="2908935" cy="56261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8" w:type="dxa"/>
          </w:tcPr>
          <w:p>
            <w:pPr>
              <w:adjustRightInd w:val="0"/>
              <w:snapToGrid w:val="0"/>
              <w:spacing w:line="324" w:lineRule="auto"/>
              <w:ind w:firstLine="480" w:firstLineChars="200"/>
              <w:jc w:val="center"/>
              <w:rPr>
                <w:rFonts w:hint="default" w:ascii="Times New Roman" w:hAnsi="Times New Roman" w:eastAsia="宋体" w:cs="Times New Roman"/>
                <w:snapToGrid w:val="0"/>
                <w:color w:val="auto"/>
                <w:kern w:val="0"/>
                <w:sz w:val="24"/>
                <w:szCs w:val="24"/>
                <w:highlight w:val="none"/>
                <w:vertAlign w:val="baseline"/>
              </w:rPr>
            </w:pPr>
            <w:r>
              <w:rPr>
                <w:rFonts w:hint="default" w:ascii="Times New Roman" w:hAnsi="Times New Roman" w:eastAsia="宋体" w:cs="Times New Roman"/>
                <w:b/>
                <w:bCs/>
                <w:color w:val="auto"/>
                <w:sz w:val="24"/>
                <w:szCs w:val="24"/>
              </w:rPr>
              <w:t>图</w:t>
            </w:r>
            <w:r>
              <w:rPr>
                <w:rFonts w:hint="default" w:ascii="Times New Roman" w:hAnsi="Times New Roman" w:eastAsia="宋体" w:cs="Times New Roman"/>
                <w:b/>
                <w:bCs/>
                <w:color w:val="auto"/>
                <w:sz w:val="24"/>
                <w:szCs w:val="24"/>
                <w:lang w:val="en-US" w:eastAsia="zh-CN"/>
              </w:rPr>
              <w:t>4.1</w:t>
            </w:r>
            <w:r>
              <w:rPr>
                <w:rFonts w:hint="default" w:ascii="Times New Roman" w:hAnsi="Times New Roman" w:eastAsia="宋体" w:cs="Times New Roman"/>
                <w:b/>
                <w:bCs/>
                <w:color w:val="auto"/>
                <w:sz w:val="24"/>
                <w:szCs w:val="24"/>
              </w:rPr>
              <w:t>-1</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厂内污水处理站工艺流程示意图</w:t>
            </w:r>
          </w:p>
        </w:tc>
      </w:tr>
    </w:tbl>
    <w:p>
      <w:pPr>
        <w:pStyle w:val="2"/>
        <w:rPr>
          <w:rFonts w:hint="default" w:ascii="Times New Roman" w:hAnsi="Times New Roman" w:eastAsia="宋体" w:cs="Times New Roman"/>
          <w:color w:val="auto"/>
          <w:szCs w:val="21"/>
        </w:rPr>
      </w:pPr>
    </w:p>
    <w:p>
      <w:pPr>
        <w:pStyle w:val="2"/>
        <w:rPr>
          <w:rFonts w:hint="default" w:ascii="Times New Roman" w:hAnsi="Times New Roman" w:eastAsia="宋体" w:cs="Times New Roman"/>
          <w:color w:val="auto"/>
          <w:szCs w:val="21"/>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pPr>
        <w:keepNext w:val="0"/>
        <w:keepLines w:val="0"/>
        <w:pageBreakBefore w:val="0"/>
        <w:widowControl w:val="0"/>
        <w:kinsoku/>
        <w:wordWrap/>
        <w:topLinePunct w:val="0"/>
        <w:bidi w:val="0"/>
        <w:spacing w:line="360" w:lineRule="auto"/>
        <w:ind w:right="0" w:rightChars="0"/>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 xml:space="preserve">4.1.2 </w:t>
      </w:r>
      <w:r>
        <w:rPr>
          <w:rFonts w:hint="default" w:ascii="Times New Roman" w:hAnsi="Times New Roman" w:eastAsia="宋体" w:cs="Times New Roman"/>
          <w:b/>
          <w:bCs/>
          <w:color w:val="auto"/>
          <w:sz w:val="24"/>
          <w:szCs w:val="24"/>
          <w:lang w:val="en-US" w:eastAsia="en-US"/>
        </w:rPr>
        <w:t>废</w:t>
      </w:r>
      <w:r>
        <w:rPr>
          <w:rFonts w:hint="default" w:ascii="Times New Roman" w:hAnsi="Times New Roman" w:eastAsia="宋体" w:cs="Times New Roman"/>
          <w:b/>
          <w:bCs/>
          <w:color w:val="auto"/>
          <w:sz w:val="24"/>
          <w:szCs w:val="24"/>
          <w:lang w:val="en-US" w:eastAsia="zh-CN"/>
        </w:rPr>
        <w:t>气</w:t>
      </w:r>
    </w:p>
    <w:p>
      <w:pPr>
        <w:keepNext w:val="0"/>
        <w:keepLines w:val="0"/>
        <w:pageBreakBefore w:val="0"/>
        <w:widowControl w:val="0"/>
        <w:kinsoku/>
        <w:wordWrap/>
        <w:overflowPunct/>
        <w:topLinePunct w:val="0"/>
        <w:autoSpaceDE w:val="0"/>
        <w:autoSpaceDN w:val="0"/>
        <w:bidi w:val="0"/>
        <w:adjustRightInd/>
        <w:spacing w:line="360" w:lineRule="auto"/>
        <w:ind w:right="0" w:rightChars="0"/>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4.1.2.1 有组织排放</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本项目产生有组织废气包括清釜废气、投料粉尘、工艺废气。</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kern w:val="0"/>
          <w:sz w:val="24"/>
          <w:szCs w:val="24"/>
          <w:lang w:val="en-US" w:eastAsia="zh-CN"/>
        </w:rPr>
      </w:pPr>
      <w:r>
        <w:rPr>
          <w:rFonts w:hint="default" w:ascii="Times New Roman" w:hAnsi="Times New Roman" w:eastAsia="宋体" w:cs="Times New Roman"/>
          <w:snapToGrid w:val="0"/>
          <w:color w:val="auto"/>
          <w:kern w:val="0"/>
          <w:sz w:val="24"/>
          <w:szCs w:val="24"/>
        </w:rPr>
        <w:t>（1）</w:t>
      </w:r>
      <w:r>
        <w:rPr>
          <w:rFonts w:hint="default" w:ascii="Times New Roman" w:hAnsi="Times New Roman" w:eastAsia="宋体" w:cs="Times New Roman"/>
          <w:color w:val="auto"/>
          <w:sz w:val="24"/>
          <w:szCs w:val="24"/>
          <w:lang w:eastAsia="zh-CN"/>
        </w:rPr>
        <w:t>清釜废气、</w:t>
      </w:r>
      <w:r>
        <w:rPr>
          <w:rFonts w:hint="default" w:ascii="Times New Roman" w:hAnsi="Times New Roman" w:eastAsia="宋体" w:cs="Times New Roman"/>
          <w:snapToGrid w:val="0"/>
          <w:color w:val="auto"/>
          <w:kern w:val="0"/>
          <w:sz w:val="24"/>
          <w:szCs w:val="24"/>
          <w:lang w:eastAsia="zh-CN"/>
        </w:rPr>
        <w:t>工艺废气</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kern w:val="0"/>
          <w:sz w:val="24"/>
          <w:szCs w:val="24"/>
        </w:rPr>
      </w:pPr>
      <w:r>
        <w:rPr>
          <w:rFonts w:hint="default" w:ascii="Times New Roman" w:hAnsi="Times New Roman" w:eastAsia="宋体" w:cs="Times New Roman"/>
          <w:snapToGrid w:val="0"/>
          <w:color w:val="auto"/>
          <w:kern w:val="0"/>
          <w:sz w:val="24"/>
          <w:szCs w:val="24"/>
          <w:lang w:val="en-US" w:eastAsia="zh-CN"/>
        </w:rPr>
        <w:t>甲类装置区</w:t>
      </w:r>
      <w:r>
        <w:rPr>
          <w:rFonts w:hint="default" w:ascii="Times New Roman" w:hAnsi="Times New Roman" w:eastAsia="宋体" w:cs="Times New Roman"/>
          <w:snapToGrid w:val="0"/>
          <w:color w:val="auto"/>
          <w:kern w:val="0"/>
          <w:sz w:val="24"/>
          <w:szCs w:val="24"/>
          <w:lang w:eastAsia="zh-CN"/>
        </w:rPr>
        <w:t>反应釜和计量预热釜在进料之前，均采用抽真空的方式将釜内残留的微量上一批次的物料抽至热井中，该过程产生的吹扫废气经多级冷凝+热井+活性炭吸附处理后</w:t>
      </w:r>
      <w:r>
        <w:rPr>
          <w:rFonts w:hint="default" w:ascii="Times New Roman" w:hAnsi="Times New Roman" w:eastAsia="宋体" w:cs="Times New Roman"/>
          <w:snapToGrid w:val="0"/>
          <w:color w:val="auto"/>
          <w:kern w:val="0"/>
          <w:sz w:val="24"/>
          <w:szCs w:val="24"/>
        </w:rPr>
        <w:t>由</w:t>
      </w:r>
      <w:r>
        <w:rPr>
          <w:rFonts w:hint="default" w:ascii="Times New Roman" w:hAnsi="Times New Roman" w:eastAsia="宋体" w:cs="Times New Roman"/>
          <w:snapToGrid w:val="0"/>
          <w:color w:val="auto"/>
          <w:kern w:val="0"/>
          <w:sz w:val="24"/>
          <w:szCs w:val="24"/>
          <w:lang w:val="en-US" w:eastAsia="zh-CN"/>
        </w:rPr>
        <w:t>24</w:t>
      </w:r>
      <w:r>
        <w:rPr>
          <w:rFonts w:hint="default" w:ascii="Times New Roman" w:hAnsi="Times New Roman" w:eastAsia="宋体" w:cs="Times New Roman"/>
          <w:snapToGrid w:val="0"/>
          <w:color w:val="auto"/>
          <w:kern w:val="0"/>
          <w:sz w:val="24"/>
          <w:szCs w:val="24"/>
        </w:rPr>
        <w:t>m高</w:t>
      </w:r>
      <w:r>
        <w:rPr>
          <w:rFonts w:hint="default" w:ascii="Times New Roman" w:hAnsi="Times New Roman" w:eastAsia="宋体" w:cs="Times New Roman"/>
          <w:snapToGrid w:val="0"/>
          <w:color w:val="auto"/>
          <w:kern w:val="0"/>
          <w:sz w:val="24"/>
          <w:szCs w:val="24"/>
          <w:lang w:val="en-US" w:eastAsia="zh-CN"/>
        </w:rPr>
        <w:t>排气筒</w:t>
      </w:r>
      <w:r>
        <w:rPr>
          <w:rFonts w:hint="default" w:ascii="Times New Roman" w:hAnsi="Times New Roman" w:eastAsia="宋体" w:cs="Times New Roman"/>
          <w:snapToGrid w:val="0"/>
          <w:color w:val="auto"/>
          <w:kern w:val="0"/>
          <w:sz w:val="24"/>
          <w:szCs w:val="24"/>
        </w:rPr>
        <w:t>排放。</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kern w:val="0"/>
          <w:sz w:val="24"/>
          <w:szCs w:val="24"/>
        </w:rPr>
      </w:pPr>
      <w:r>
        <w:rPr>
          <w:rFonts w:hint="default" w:ascii="Times New Roman" w:hAnsi="Times New Roman" w:eastAsia="宋体" w:cs="Times New Roman"/>
          <w:snapToGrid w:val="0"/>
          <w:color w:val="auto"/>
          <w:kern w:val="0"/>
          <w:sz w:val="24"/>
          <w:szCs w:val="24"/>
          <w:lang w:val="en-US" w:eastAsia="zh-CN"/>
        </w:rPr>
        <w:t>甲类装置区</w:t>
      </w:r>
      <w:r>
        <w:rPr>
          <w:rFonts w:hint="default" w:ascii="Times New Roman" w:hAnsi="Times New Roman" w:eastAsia="宋体" w:cs="Times New Roman"/>
          <w:snapToGrid w:val="0"/>
          <w:color w:val="auto"/>
          <w:kern w:val="0"/>
          <w:sz w:val="24"/>
          <w:szCs w:val="24"/>
        </w:rPr>
        <w:t>生产装置各设备中在工艺设计的温度和压力条件下产生的有机废气，经真空喷射系统管道直接通入热井中，经水吸收废气中的有机物，少量未被吸收的有机物再经热井上方加盖密闭连接的管道通过活性炭吸附装置净化处理后经</w:t>
      </w:r>
      <w:r>
        <w:rPr>
          <w:rFonts w:hint="default" w:ascii="Times New Roman" w:hAnsi="Times New Roman" w:eastAsia="宋体" w:cs="Times New Roman"/>
          <w:snapToGrid w:val="0"/>
          <w:color w:val="auto"/>
          <w:kern w:val="0"/>
          <w:sz w:val="24"/>
          <w:szCs w:val="24"/>
          <w:lang w:val="en-US" w:eastAsia="zh-CN"/>
        </w:rPr>
        <w:t>24</w:t>
      </w:r>
      <w:r>
        <w:rPr>
          <w:rFonts w:hint="default" w:ascii="Times New Roman" w:hAnsi="Times New Roman" w:eastAsia="宋体" w:cs="Times New Roman"/>
          <w:snapToGrid w:val="0"/>
          <w:color w:val="auto"/>
          <w:kern w:val="0"/>
          <w:sz w:val="24"/>
          <w:szCs w:val="24"/>
        </w:rPr>
        <w:t>m高</w:t>
      </w:r>
      <w:r>
        <w:rPr>
          <w:rFonts w:hint="default" w:ascii="Times New Roman" w:hAnsi="Times New Roman" w:eastAsia="宋体" w:cs="Times New Roman"/>
          <w:snapToGrid w:val="0"/>
          <w:color w:val="auto"/>
          <w:kern w:val="0"/>
          <w:sz w:val="24"/>
          <w:szCs w:val="24"/>
          <w:lang w:val="en-US" w:eastAsia="zh-CN"/>
        </w:rPr>
        <w:t>排气筒</w:t>
      </w:r>
      <w:r>
        <w:rPr>
          <w:rFonts w:hint="default" w:ascii="Times New Roman" w:hAnsi="Times New Roman" w:eastAsia="宋体" w:cs="Times New Roman"/>
          <w:snapToGrid w:val="0"/>
          <w:color w:val="auto"/>
          <w:kern w:val="0"/>
          <w:sz w:val="24"/>
          <w:szCs w:val="24"/>
        </w:rPr>
        <w:t>排放。</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kern w:val="0"/>
          <w:sz w:val="24"/>
          <w:szCs w:val="24"/>
          <w:lang w:eastAsia="zh-CN"/>
        </w:rPr>
      </w:pPr>
      <w:r>
        <w:rPr>
          <w:rFonts w:hint="default" w:ascii="Times New Roman" w:hAnsi="Times New Roman" w:eastAsia="宋体" w:cs="Times New Roman"/>
          <w:snapToGrid w:val="0"/>
          <w:color w:val="auto"/>
          <w:kern w:val="0"/>
          <w:sz w:val="24"/>
          <w:szCs w:val="24"/>
        </w:rPr>
        <w:t>（2）</w:t>
      </w:r>
      <w:r>
        <w:rPr>
          <w:rFonts w:hint="default" w:ascii="Times New Roman" w:hAnsi="Times New Roman" w:eastAsia="宋体" w:cs="Times New Roman"/>
          <w:snapToGrid w:val="0"/>
          <w:color w:val="auto"/>
          <w:kern w:val="0"/>
          <w:sz w:val="24"/>
          <w:szCs w:val="24"/>
          <w:lang w:eastAsia="zh-CN"/>
        </w:rPr>
        <w:t>投料粉尘</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kern w:val="0"/>
          <w:sz w:val="24"/>
          <w:szCs w:val="24"/>
        </w:rPr>
      </w:pPr>
      <w:r>
        <w:rPr>
          <w:rFonts w:hint="default" w:ascii="Times New Roman" w:hAnsi="Times New Roman" w:eastAsia="宋体" w:cs="Times New Roman"/>
          <w:snapToGrid w:val="0"/>
          <w:color w:val="auto"/>
          <w:kern w:val="0"/>
          <w:sz w:val="24"/>
          <w:szCs w:val="24"/>
          <w:lang w:val="en-US" w:eastAsia="zh-CN"/>
        </w:rPr>
        <w:t>甲类装置区</w:t>
      </w:r>
      <w:r>
        <w:rPr>
          <w:rFonts w:hint="default" w:ascii="Times New Roman" w:hAnsi="Times New Roman" w:eastAsia="宋体" w:cs="Times New Roman"/>
          <w:snapToGrid w:val="0"/>
          <w:color w:val="auto"/>
          <w:kern w:val="0"/>
          <w:sz w:val="24"/>
          <w:szCs w:val="24"/>
        </w:rPr>
        <w:t>生产过程中，计量预热釜内经引风机气流输送脱色剂时产生少量的粉尘，设置1套袋式除尘系统，净化后气体由</w:t>
      </w:r>
      <w:r>
        <w:rPr>
          <w:rFonts w:hint="default" w:ascii="Times New Roman" w:hAnsi="Times New Roman" w:eastAsia="宋体" w:cs="Times New Roman"/>
          <w:snapToGrid w:val="0"/>
          <w:color w:val="auto"/>
          <w:kern w:val="0"/>
          <w:sz w:val="24"/>
          <w:szCs w:val="24"/>
          <w:lang w:val="en-US" w:eastAsia="zh-CN"/>
        </w:rPr>
        <w:t>43</w:t>
      </w:r>
      <w:r>
        <w:rPr>
          <w:rFonts w:hint="default" w:ascii="Times New Roman" w:hAnsi="Times New Roman" w:eastAsia="宋体" w:cs="Times New Roman"/>
          <w:snapToGrid w:val="0"/>
          <w:color w:val="auto"/>
          <w:kern w:val="0"/>
          <w:sz w:val="24"/>
          <w:szCs w:val="24"/>
        </w:rPr>
        <w:t>m高</w:t>
      </w:r>
      <w:r>
        <w:rPr>
          <w:rFonts w:hint="default" w:ascii="Times New Roman" w:hAnsi="Times New Roman" w:eastAsia="宋体" w:cs="Times New Roman"/>
          <w:snapToGrid w:val="0"/>
          <w:color w:val="auto"/>
          <w:kern w:val="0"/>
          <w:sz w:val="24"/>
          <w:szCs w:val="24"/>
          <w:lang w:val="en-US" w:eastAsia="zh-CN"/>
        </w:rPr>
        <w:t>排气筒</w:t>
      </w:r>
      <w:r>
        <w:rPr>
          <w:rFonts w:hint="default" w:ascii="Times New Roman" w:hAnsi="Times New Roman" w:eastAsia="宋体" w:cs="Times New Roman"/>
          <w:snapToGrid w:val="0"/>
          <w:color w:val="auto"/>
          <w:kern w:val="0"/>
          <w:sz w:val="24"/>
          <w:szCs w:val="24"/>
        </w:rPr>
        <w:t>排放。</w:t>
      </w:r>
    </w:p>
    <w:p>
      <w:pPr>
        <w:keepNext w:val="0"/>
        <w:keepLines w:val="0"/>
        <w:pageBreakBefore w:val="0"/>
        <w:widowControl w:val="0"/>
        <w:kinsoku/>
        <w:wordWrap/>
        <w:overflowPunct/>
        <w:topLinePunct w:val="0"/>
        <w:autoSpaceDE w:val="0"/>
        <w:autoSpaceDN w:val="0"/>
        <w:bidi w:val="0"/>
        <w:spacing w:line="360" w:lineRule="auto"/>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eastAsia="zh-CN"/>
        </w:rPr>
        <w:t>综上所述，本项目共</w:t>
      </w:r>
      <w:r>
        <w:rPr>
          <w:rFonts w:hint="default" w:ascii="Times New Roman" w:hAnsi="Times New Roman" w:eastAsia="宋体" w:cs="Times New Roman"/>
          <w:b/>
          <w:bCs/>
          <w:color w:val="auto"/>
          <w:sz w:val="24"/>
          <w:szCs w:val="24"/>
          <w:lang w:val="en-US" w:eastAsia="zh-CN"/>
        </w:rPr>
        <w:t>2根排气筒</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eastAsia="zh-CN"/>
        </w:rPr>
        <w:t>投料粉尘经布袋除尘器处理后通过</w:t>
      </w:r>
      <w:r>
        <w:rPr>
          <w:rFonts w:hint="default" w:ascii="Times New Roman" w:hAnsi="Times New Roman" w:eastAsia="宋体" w:cs="Times New Roman"/>
          <w:b/>
          <w:bCs/>
          <w:color w:val="auto"/>
          <w:sz w:val="24"/>
          <w:szCs w:val="24"/>
          <w:lang w:val="en-US" w:eastAsia="zh-CN"/>
        </w:rPr>
        <w:t>43</w:t>
      </w:r>
      <w:r>
        <w:rPr>
          <w:rFonts w:hint="default" w:ascii="Times New Roman" w:hAnsi="Times New Roman" w:eastAsia="宋体" w:cs="Times New Roman"/>
          <w:b/>
          <w:bCs/>
          <w:color w:val="auto"/>
          <w:sz w:val="24"/>
          <w:szCs w:val="24"/>
        </w:rPr>
        <w:t>m高</w:t>
      </w:r>
      <w:r>
        <w:rPr>
          <w:rFonts w:hint="default" w:ascii="Times New Roman" w:hAnsi="Times New Roman" w:eastAsia="宋体" w:cs="Times New Roman"/>
          <w:b/>
          <w:bCs/>
          <w:color w:val="auto"/>
          <w:sz w:val="24"/>
          <w:szCs w:val="24"/>
          <w:lang w:eastAsia="zh-CN"/>
        </w:rPr>
        <w:t>排气筒</w:t>
      </w:r>
      <w:r>
        <w:rPr>
          <w:rFonts w:hint="default" w:ascii="Times New Roman" w:hAnsi="Times New Roman" w:eastAsia="宋体" w:cs="Times New Roman"/>
          <w:b/>
          <w:bCs/>
          <w:color w:val="auto"/>
          <w:sz w:val="24"/>
          <w:szCs w:val="24"/>
        </w:rPr>
        <w:t>排放；</w:t>
      </w:r>
      <w:r>
        <w:rPr>
          <w:rFonts w:hint="default" w:ascii="Times New Roman" w:hAnsi="Times New Roman" w:eastAsia="宋体" w:cs="Times New Roman"/>
          <w:b/>
          <w:bCs/>
          <w:color w:val="auto"/>
          <w:sz w:val="24"/>
          <w:szCs w:val="24"/>
          <w:lang w:eastAsia="zh-CN"/>
        </w:rPr>
        <w:t>甲类装置区清釜废气与工艺废气</w:t>
      </w:r>
      <w:r>
        <w:rPr>
          <w:rFonts w:hint="default" w:ascii="Times New Roman" w:hAnsi="Times New Roman" w:eastAsia="宋体" w:cs="Times New Roman"/>
          <w:b/>
          <w:bCs/>
          <w:color w:val="auto"/>
          <w:sz w:val="24"/>
          <w:szCs w:val="24"/>
        </w:rPr>
        <w:t>经多级冷凝+热井+活性炭吸附处理后由</w:t>
      </w:r>
      <w:r>
        <w:rPr>
          <w:rFonts w:hint="default" w:ascii="Times New Roman" w:hAnsi="Times New Roman" w:eastAsia="宋体" w:cs="Times New Roman"/>
          <w:b/>
          <w:bCs/>
          <w:color w:val="auto"/>
          <w:sz w:val="24"/>
          <w:szCs w:val="24"/>
          <w:lang w:val="en-US" w:eastAsia="zh-CN"/>
        </w:rPr>
        <w:t>24</w:t>
      </w:r>
      <w:r>
        <w:rPr>
          <w:rFonts w:hint="default" w:ascii="Times New Roman" w:hAnsi="Times New Roman" w:eastAsia="宋体" w:cs="Times New Roman"/>
          <w:b/>
          <w:bCs/>
          <w:color w:val="auto"/>
          <w:sz w:val="24"/>
          <w:szCs w:val="24"/>
        </w:rPr>
        <w:t>m高</w:t>
      </w:r>
      <w:r>
        <w:rPr>
          <w:rFonts w:hint="default" w:ascii="Times New Roman" w:hAnsi="Times New Roman" w:eastAsia="宋体" w:cs="Times New Roman"/>
          <w:b/>
          <w:bCs/>
          <w:color w:val="auto"/>
          <w:sz w:val="24"/>
          <w:szCs w:val="24"/>
          <w:lang w:eastAsia="zh-CN"/>
        </w:rPr>
        <w:t>排气筒</w:t>
      </w:r>
      <w:r>
        <w:rPr>
          <w:rFonts w:hint="default" w:ascii="Times New Roman" w:hAnsi="Times New Roman" w:eastAsia="宋体" w:cs="Times New Roman"/>
          <w:b/>
          <w:bCs/>
          <w:color w:val="auto"/>
          <w:sz w:val="24"/>
          <w:szCs w:val="24"/>
        </w:rPr>
        <w:t>排放。</w:t>
      </w:r>
    </w:p>
    <w:tbl>
      <w:tblPr>
        <w:tblStyle w:val="24"/>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286" w:type="dxa"/>
          </w:tcPr>
          <w:p>
            <w:pPr>
              <w:pStyle w:val="2"/>
              <w:jc w:val="center"/>
              <w:rPr>
                <w:rFonts w:hint="default" w:ascii="Times New Roman" w:hAnsi="Times New Roman" w:eastAsia="宋体" w:cs="Times New Roman"/>
                <w:b/>
                <w:bCs/>
                <w:color w:val="auto"/>
                <w:sz w:val="24"/>
                <w:szCs w:val="24"/>
                <w:vertAlign w:val="baseline"/>
              </w:rPr>
            </w:pPr>
            <w:r>
              <w:rPr>
                <w:rFonts w:hint="default" w:ascii="Times New Roman" w:hAnsi="Times New Roman" w:eastAsia="宋体" w:cs="Times New Roman"/>
                <w:b/>
                <w:bCs/>
                <w:color w:val="auto"/>
                <w:sz w:val="24"/>
                <w:szCs w:val="24"/>
              </w:rPr>
              <w:drawing>
                <wp:inline distT="0" distB="0" distL="114300" distR="114300">
                  <wp:extent cx="3940810" cy="3137535"/>
                  <wp:effectExtent l="0" t="0" r="2540" b="571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2"/>
                          <a:stretch>
                            <a:fillRect/>
                          </a:stretch>
                        </pic:blipFill>
                        <pic:spPr>
                          <a:xfrm>
                            <a:off x="0" y="0"/>
                            <a:ext cx="3940810" cy="313753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286" w:type="dxa"/>
          </w:tcPr>
          <w:p>
            <w:pPr>
              <w:pStyle w:val="2"/>
              <w:jc w:val="center"/>
              <w:rPr>
                <w:rFonts w:hint="default" w:ascii="Times New Roman" w:hAnsi="Times New Roman" w:eastAsia="宋体" w:cs="Times New Roman"/>
                <w:b/>
                <w:bCs/>
                <w:color w:val="auto"/>
                <w:sz w:val="24"/>
                <w:szCs w:val="24"/>
                <w:vertAlign w:val="baseline"/>
              </w:rPr>
            </w:pPr>
            <w:r>
              <w:rPr>
                <w:rFonts w:hint="default" w:ascii="Times New Roman" w:hAnsi="Times New Roman" w:eastAsia="宋体" w:cs="Times New Roman"/>
                <w:b/>
                <w:bCs/>
                <w:color w:val="auto"/>
                <w:sz w:val="24"/>
                <w:szCs w:val="24"/>
                <w:lang w:eastAsia="zh-CN"/>
              </w:rPr>
              <w:t>图</w:t>
            </w:r>
            <w:r>
              <w:rPr>
                <w:rFonts w:hint="default" w:ascii="Times New Roman" w:hAnsi="Times New Roman" w:eastAsia="宋体" w:cs="Times New Roman"/>
                <w:b/>
                <w:bCs/>
                <w:color w:val="auto"/>
                <w:sz w:val="24"/>
                <w:szCs w:val="24"/>
                <w:lang w:val="en-US" w:eastAsia="zh-CN"/>
              </w:rPr>
              <w:t xml:space="preserve">4-2  </w:t>
            </w:r>
            <w:r>
              <w:rPr>
                <w:rFonts w:hint="default" w:ascii="Times New Roman" w:hAnsi="Times New Roman" w:eastAsia="宋体" w:cs="Times New Roman"/>
                <w:b/>
                <w:bCs/>
                <w:color w:val="auto"/>
                <w:sz w:val="24"/>
                <w:szCs w:val="24"/>
              </w:rPr>
              <w:t>废气收集及处理示意图</w:t>
            </w:r>
          </w:p>
        </w:tc>
      </w:tr>
    </w:tbl>
    <w:p>
      <w:pPr>
        <w:pStyle w:val="2"/>
        <w:rPr>
          <w:rFonts w:hint="default" w:ascii="Times New Roman" w:hAnsi="Times New Roman" w:eastAsia="宋体" w:cs="Times New Roman"/>
          <w:color w:val="auto"/>
        </w:rPr>
        <w:sectPr>
          <w:pgSz w:w="11906" w:h="16838"/>
          <w:pgMar w:top="1474" w:right="1418" w:bottom="1474" w:left="1418"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jc w:val="center"/>
        <w:rPr>
          <w:rFonts w:hint="default" w:ascii="Times New Roman" w:hAnsi="Times New Roman" w:eastAsia="宋体" w:cs="Times New Roman"/>
          <w:b/>
          <w:snapToGrid w:val="0"/>
          <w:color w:val="auto"/>
        </w:rPr>
      </w:pPr>
      <w:r>
        <w:rPr>
          <w:rFonts w:hint="default" w:ascii="Times New Roman" w:hAnsi="Times New Roman" w:eastAsia="宋体" w:cs="Times New Roman"/>
          <w:b/>
          <w:snapToGrid w:val="0"/>
          <w:color w:val="auto"/>
        </w:rPr>
        <w:t>表</w:t>
      </w:r>
      <w:r>
        <w:rPr>
          <w:rFonts w:hint="default" w:ascii="Times New Roman" w:hAnsi="Times New Roman" w:eastAsia="宋体" w:cs="Times New Roman"/>
          <w:b/>
          <w:snapToGrid w:val="0"/>
          <w:color w:val="auto"/>
          <w:lang w:val="en-US" w:eastAsia="zh-CN"/>
        </w:rPr>
        <w:t>4-2</w:t>
      </w:r>
      <w:r>
        <w:rPr>
          <w:rFonts w:hint="default" w:ascii="Times New Roman" w:hAnsi="Times New Roman" w:eastAsia="宋体" w:cs="Times New Roman"/>
          <w:b/>
          <w:snapToGrid w:val="0"/>
          <w:color w:val="auto"/>
        </w:rPr>
        <w:t xml:space="preserve">  本项目大气污染物产生、治理及排放情况表</w:t>
      </w:r>
    </w:p>
    <w:tbl>
      <w:tblPr>
        <w:tblStyle w:val="8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5"/>
        <w:gridCol w:w="1912"/>
        <w:gridCol w:w="1719"/>
        <w:gridCol w:w="1567"/>
        <w:gridCol w:w="1286"/>
        <w:gridCol w:w="1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4" w:type="pct"/>
            <w:vMerge w:val="restart"/>
            <w:shd w:val="clear" w:color="auto" w:fill="auto"/>
            <w:vAlign w:val="center"/>
          </w:tcPr>
          <w:p>
            <w:pPr>
              <w:adjustRightInd w:val="0"/>
              <w:snapToGrid w:val="0"/>
              <w:spacing w:line="276" w:lineRule="auto"/>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排放源</w:t>
            </w:r>
          </w:p>
        </w:tc>
        <w:tc>
          <w:tcPr>
            <w:tcW w:w="1030" w:type="pct"/>
            <w:vMerge w:val="restart"/>
            <w:shd w:val="clear" w:color="auto" w:fill="auto"/>
            <w:vAlign w:val="center"/>
          </w:tcPr>
          <w:p>
            <w:pPr>
              <w:adjustRightInd w:val="0"/>
              <w:snapToGrid w:val="0"/>
              <w:spacing w:line="276" w:lineRule="auto"/>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污染物</w:t>
            </w:r>
          </w:p>
        </w:tc>
        <w:tc>
          <w:tcPr>
            <w:tcW w:w="2463" w:type="pct"/>
            <w:gridSpan w:val="3"/>
            <w:shd w:val="clear" w:color="auto" w:fill="auto"/>
            <w:vAlign w:val="center"/>
          </w:tcPr>
          <w:p>
            <w:pPr>
              <w:adjustRightInd w:val="0"/>
              <w:snapToGrid w:val="0"/>
              <w:spacing w:line="276" w:lineRule="auto"/>
              <w:jc w:val="center"/>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环评设计</w:t>
            </w:r>
          </w:p>
        </w:tc>
        <w:tc>
          <w:tcPr>
            <w:tcW w:w="722" w:type="pct"/>
            <w:vMerge w:val="restart"/>
            <w:shd w:val="clear" w:color="auto" w:fill="auto"/>
            <w:vAlign w:val="center"/>
          </w:tcPr>
          <w:p>
            <w:pPr>
              <w:adjustRightInd w:val="0"/>
              <w:snapToGrid w:val="0"/>
              <w:spacing w:line="276"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b/>
                <w:bCs/>
                <w:color w:val="auto"/>
                <w:kern w:val="0"/>
                <w:sz w:val="21"/>
                <w:szCs w:val="21"/>
                <w:lang w:eastAsia="zh-CN"/>
              </w:rPr>
              <w:t>实际建设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4" w:type="pct"/>
            <w:vMerge w:val="continue"/>
            <w:shd w:val="clear" w:color="auto" w:fill="auto"/>
            <w:vAlign w:val="center"/>
          </w:tcPr>
          <w:p>
            <w:pPr>
              <w:adjustRightInd w:val="0"/>
              <w:snapToGrid w:val="0"/>
              <w:spacing w:line="276" w:lineRule="auto"/>
              <w:jc w:val="center"/>
              <w:rPr>
                <w:rFonts w:hint="default" w:ascii="Times New Roman" w:hAnsi="Times New Roman" w:eastAsia="宋体" w:cs="Times New Roman"/>
                <w:b/>
                <w:bCs/>
                <w:color w:val="auto"/>
                <w:kern w:val="0"/>
                <w:sz w:val="21"/>
                <w:szCs w:val="21"/>
              </w:rPr>
            </w:pPr>
          </w:p>
        </w:tc>
        <w:tc>
          <w:tcPr>
            <w:tcW w:w="1030" w:type="pct"/>
            <w:vMerge w:val="continue"/>
            <w:shd w:val="clear" w:color="auto" w:fill="auto"/>
            <w:vAlign w:val="center"/>
          </w:tcPr>
          <w:p>
            <w:pPr>
              <w:adjustRightInd w:val="0"/>
              <w:snapToGrid w:val="0"/>
              <w:spacing w:line="276" w:lineRule="auto"/>
              <w:jc w:val="center"/>
              <w:rPr>
                <w:rFonts w:hint="default" w:ascii="Times New Roman" w:hAnsi="Times New Roman" w:eastAsia="宋体" w:cs="Times New Roman"/>
                <w:b/>
                <w:bCs/>
                <w:color w:val="auto"/>
                <w:kern w:val="0"/>
                <w:sz w:val="21"/>
                <w:szCs w:val="21"/>
              </w:rPr>
            </w:pPr>
          </w:p>
        </w:tc>
        <w:tc>
          <w:tcPr>
            <w:tcW w:w="926" w:type="pct"/>
            <w:shd w:val="clear" w:color="auto" w:fill="auto"/>
            <w:vAlign w:val="center"/>
          </w:tcPr>
          <w:p>
            <w:pPr>
              <w:adjustRightInd w:val="0"/>
              <w:snapToGrid w:val="0"/>
              <w:spacing w:line="276" w:lineRule="auto"/>
              <w:ind w:left="0" w:leftChars="0" w:right="0" w:rightChars="0"/>
              <w:jc w:val="center"/>
              <w:rPr>
                <w:rFonts w:hint="default" w:ascii="Times New Roman" w:hAnsi="Times New Roman" w:eastAsia="宋体" w:cs="Times New Roman"/>
                <w:b/>
                <w:bCs/>
                <w:color w:val="auto"/>
                <w:kern w:val="0"/>
                <w:sz w:val="21"/>
                <w:szCs w:val="21"/>
                <w:lang w:val="en-US" w:eastAsia="en-US" w:bidi="ar-SA"/>
              </w:rPr>
            </w:pPr>
            <w:r>
              <w:rPr>
                <w:rFonts w:hint="default" w:ascii="Times New Roman" w:hAnsi="Times New Roman" w:eastAsia="宋体" w:cs="Times New Roman"/>
                <w:b/>
                <w:bCs/>
                <w:color w:val="auto"/>
                <w:kern w:val="0"/>
                <w:sz w:val="21"/>
                <w:szCs w:val="21"/>
              </w:rPr>
              <w:t>治理措施</w:t>
            </w:r>
          </w:p>
        </w:tc>
        <w:tc>
          <w:tcPr>
            <w:tcW w:w="844" w:type="pct"/>
            <w:shd w:val="clear" w:color="auto" w:fill="auto"/>
            <w:vAlign w:val="center"/>
          </w:tcPr>
          <w:p>
            <w:pPr>
              <w:adjustRightInd w:val="0"/>
              <w:snapToGrid w:val="0"/>
              <w:spacing w:line="276" w:lineRule="auto"/>
              <w:jc w:val="center"/>
              <w:rPr>
                <w:rFonts w:hint="default" w:ascii="Times New Roman" w:hAnsi="Times New Roman" w:eastAsia="宋体" w:cs="Times New Roman"/>
                <w:b/>
                <w:bCs/>
                <w:color w:val="auto"/>
                <w:kern w:val="0"/>
                <w:sz w:val="21"/>
                <w:szCs w:val="21"/>
                <w:lang w:val="en-US" w:eastAsia="en-US" w:bidi="ar-SA"/>
              </w:rPr>
            </w:pPr>
            <w:r>
              <w:rPr>
                <w:rFonts w:hint="default" w:ascii="Times New Roman" w:hAnsi="Times New Roman" w:eastAsia="宋体" w:cs="Times New Roman"/>
                <w:b/>
                <w:bCs/>
                <w:color w:val="auto"/>
                <w:kern w:val="0"/>
                <w:sz w:val="21"/>
                <w:szCs w:val="21"/>
                <w:lang w:eastAsia="zh-CN"/>
              </w:rPr>
              <w:t>排气筒</w:t>
            </w:r>
            <w:r>
              <w:rPr>
                <w:rFonts w:hint="default" w:ascii="Times New Roman" w:hAnsi="Times New Roman" w:eastAsia="宋体" w:cs="Times New Roman"/>
                <w:b/>
                <w:bCs/>
                <w:color w:val="auto"/>
                <w:kern w:val="0"/>
                <w:sz w:val="21"/>
                <w:szCs w:val="21"/>
              </w:rPr>
              <w:t>高度m</w:t>
            </w:r>
          </w:p>
        </w:tc>
        <w:tc>
          <w:tcPr>
            <w:tcW w:w="691" w:type="pct"/>
            <w:shd w:val="clear" w:color="auto" w:fill="auto"/>
            <w:vAlign w:val="center"/>
          </w:tcPr>
          <w:p>
            <w:pPr>
              <w:adjustRightInd w:val="0"/>
              <w:snapToGrid w:val="0"/>
              <w:spacing w:line="276" w:lineRule="auto"/>
              <w:ind w:left="0" w:leftChars="0" w:right="0" w:rightChars="0"/>
              <w:jc w:val="center"/>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排气筒</w:t>
            </w:r>
            <w:r>
              <w:rPr>
                <w:rFonts w:hint="default" w:ascii="Times New Roman" w:hAnsi="Times New Roman" w:eastAsia="宋体" w:cs="Times New Roman"/>
                <w:b/>
                <w:bCs/>
                <w:color w:val="auto"/>
                <w:kern w:val="0"/>
                <w:sz w:val="21"/>
                <w:szCs w:val="21"/>
              </w:rPr>
              <w:t>编号</w:t>
            </w:r>
          </w:p>
        </w:tc>
        <w:tc>
          <w:tcPr>
            <w:tcW w:w="722" w:type="pct"/>
            <w:vMerge w:val="continue"/>
            <w:shd w:val="clear" w:color="auto" w:fill="auto"/>
            <w:vAlign w:val="center"/>
          </w:tcPr>
          <w:p>
            <w:pPr>
              <w:adjustRightInd w:val="0"/>
              <w:snapToGrid w:val="0"/>
              <w:spacing w:line="276" w:lineRule="auto"/>
              <w:jc w:val="center"/>
              <w:rPr>
                <w:rFonts w:hint="default" w:ascii="Times New Roman" w:hAnsi="Times New Roman" w:eastAsia="宋体" w:cs="Times New Roman"/>
                <w:color w:val="auto"/>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4" w:type="pct"/>
            <w:shd w:val="clear" w:color="auto" w:fill="auto"/>
            <w:vAlign w:val="center"/>
          </w:tcPr>
          <w:p>
            <w:pPr>
              <w:adjustRightInd w:val="0"/>
              <w:snapToGrid w:val="0"/>
              <w:spacing w:line="276"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投料粉尘</w:t>
            </w:r>
          </w:p>
        </w:tc>
        <w:tc>
          <w:tcPr>
            <w:tcW w:w="1030" w:type="pct"/>
            <w:shd w:val="clear" w:color="auto" w:fill="auto"/>
            <w:vAlign w:val="center"/>
          </w:tcPr>
          <w:p>
            <w:pPr>
              <w:adjustRightInd w:val="0"/>
              <w:snapToGrid w:val="0"/>
              <w:spacing w:line="276"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粉尘</w:t>
            </w:r>
          </w:p>
        </w:tc>
        <w:tc>
          <w:tcPr>
            <w:tcW w:w="926" w:type="pct"/>
            <w:shd w:val="clear" w:color="auto" w:fill="auto"/>
            <w:vAlign w:val="center"/>
          </w:tcPr>
          <w:p>
            <w:pPr>
              <w:adjustRightInd w:val="0"/>
              <w:snapToGrid w:val="0"/>
              <w:spacing w:line="276"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布袋除尘</w:t>
            </w:r>
            <w:r>
              <w:rPr>
                <w:rFonts w:hint="default" w:ascii="Times New Roman" w:hAnsi="Times New Roman" w:eastAsia="宋体" w:cs="Times New Roman"/>
                <w:color w:val="auto"/>
                <w:kern w:val="0"/>
                <w:sz w:val="21"/>
                <w:szCs w:val="21"/>
                <w:lang w:eastAsia="zh-CN"/>
              </w:rPr>
              <w:t>器</w:t>
            </w:r>
          </w:p>
        </w:tc>
        <w:tc>
          <w:tcPr>
            <w:tcW w:w="844" w:type="pct"/>
            <w:shd w:val="clear" w:color="auto" w:fill="auto"/>
            <w:vAlign w:val="center"/>
          </w:tcPr>
          <w:p>
            <w:pPr>
              <w:adjustRightInd w:val="0"/>
              <w:snapToGrid w:val="0"/>
              <w:spacing w:line="276"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15</w:t>
            </w:r>
          </w:p>
        </w:tc>
        <w:tc>
          <w:tcPr>
            <w:tcW w:w="691" w:type="pct"/>
            <w:shd w:val="clear" w:color="auto" w:fill="auto"/>
            <w:vAlign w:val="center"/>
          </w:tcPr>
          <w:p>
            <w:pPr>
              <w:adjustRightInd w:val="0"/>
              <w:snapToGrid w:val="0"/>
              <w:spacing w:line="276" w:lineRule="auto"/>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722" w:type="pct"/>
            <w:shd w:val="clear" w:color="auto" w:fill="auto"/>
            <w:vAlign w:val="center"/>
          </w:tcPr>
          <w:p>
            <w:pPr>
              <w:adjustRightInd w:val="0"/>
              <w:snapToGrid w:val="0"/>
              <w:spacing w:line="276"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eastAsia="zh-CN"/>
              </w:rPr>
              <w:t>实际</w:t>
            </w:r>
            <w:r>
              <w:rPr>
                <w:rFonts w:hint="default" w:ascii="Times New Roman" w:hAnsi="Times New Roman" w:eastAsia="宋体" w:cs="Times New Roman"/>
                <w:color w:val="auto"/>
                <w:kern w:val="0"/>
                <w:sz w:val="21"/>
                <w:szCs w:val="21"/>
                <w:lang w:val="en-US" w:eastAsia="zh-CN"/>
              </w:rPr>
              <w:t>43m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4" w:type="pct"/>
            <w:shd w:val="clear" w:color="auto" w:fill="auto"/>
            <w:vAlign w:val="center"/>
          </w:tcPr>
          <w:p>
            <w:pPr>
              <w:adjustRightInd w:val="0"/>
              <w:snapToGrid w:val="0"/>
              <w:spacing w:line="276"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清釜废气、工艺废气</w:t>
            </w:r>
          </w:p>
        </w:tc>
        <w:tc>
          <w:tcPr>
            <w:tcW w:w="1030" w:type="pct"/>
            <w:shd w:val="clear" w:color="auto" w:fill="auto"/>
            <w:vAlign w:val="center"/>
          </w:tcPr>
          <w:p>
            <w:pPr>
              <w:adjustRightInd w:val="0"/>
              <w:snapToGrid w:val="0"/>
              <w:spacing w:line="276"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异丙醇、非甲烷总烃、臭气浓度</w:t>
            </w:r>
          </w:p>
        </w:tc>
        <w:tc>
          <w:tcPr>
            <w:tcW w:w="926" w:type="pct"/>
            <w:shd w:val="clear" w:color="auto" w:fill="auto"/>
            <w:vAlign w:val="center"/>
          </w:tcPr>
          <w:p>
            <w:pPr>
              <w:adjustRightInd w:val="0"/>
              <w:snapToGrid w:val="0"/>
              <w:spacing w:line="276"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多级冷凝+热井+活性炭吸附</w:t>
            </w:r>
          </w:p>
        </w:tc>
        <w:tc>
          <w:tcPr>
            <w:tcW w:w="844" w:type="pct"/>
            <w:shd w:val="clear" w:color="auto" w:fill="auto"/>
            <w:vAlign w:val="center"/>
          </w:tcPr>
          <w:p>
            <w:pPr>
              <w:adjustRightInd w:val="0"/>
              <w:snapToGrid w:val="0"/>
              <w:spacing w:line="276" w:lineRule="auto"/>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15</w:t>
            </w:r>
          </w:p>
        </w:tc>
        <w:tc>
          <w:tcPr>
            <w:tcW w:w="691" w:type="pct"/>
            <w:shd w:val="clear" w:color="auto" w:fill="auto"/>
            <w:vAlign w:val="center"/>
          </w:tcPr>
          <w:p>
            <w:pPr>
              <w:adjustRightInd w:val="0"/>
              <w:snapToGrid w:val="0"/>
              <w:spacing w:line="276" w:lineRule="auto"/>
              <w:ind w:left="0" w:leftChars="0" w:right="0" w:right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2#</w:t>
            </w:r>
          </w:p>
        </w:tc>
        <w:tc>
          <w:tcPr>
            <w:tcW w:w="722" w:type="pct"/>
            <w:shd w:val="clear" w:color="auto" w:fill="auto"/>
            <w:vAlign w:val="center"/>
          </w:tcPr>
          <w:p>
            <w:pPr>
              <w:adjustRightInd w:val="0"/>
              <w:snapToGrid w:val="0"/>
              <w:spacing w:line="276" w:lineRule="auto"/>
              <w:ind w:left="0" w:leftChars="0" w:right="0" w:rightChars="0"/>
              <w:jc w:val="center"/>
              <w:rPr>
                <w:rFonts w:hint="default" w:ascii="Times New Roman" w:hAnsi="Times New Roman" w:eastAsia="宋体" w:cs="Times New Roman"/>
                <w:color w:val="auto"/>
                <w:kern w:val="0"/>
                <w:sz w:val="21"/>
                <w:szCs w:val="21"/>
                <w:lang w:val="en-US"/>
              </w:rPr>
            </w:pPr>
            <w:r>
              <w:rPr>
                <w:rFonts w:hint="default" w:ascii="Times New Roman" w:hAnsi="Times New Roman" w:eastAsia="宋体" w:cs="Times New Roman"/>
                <w:color w:val="auto"/>
                <w:kern w:val="0"/>
                <w:sz w:val="21"/>
                <w:szCs w:val="21"/>
                <w:lang w:eastAsia="zh-CN"/>
              </w:rPr>
              <w:t>实际</w:t>
            </w:r>
            <w:r>
              <w:rPr>
                <w:rFonts w:hint="default" w:ascii="Times New Roman" w:hAnsi="Times New Roman" w:eastAsia="宋体" w:cs="Times New Roman"/>
                <w:color w:val="auto"/>
                <w:kern w:val="0"/>
                <w:sz w:val="21"/>
                <w:szCs w:val="21"/>
                <w:lang w:val="en-US" w:eastAsia="zh-CN"/>
              </w:rPr>
              <w:t>24m</w:t>
            </w:r>
          </w:p>
        </w:tc>
      </w:tr>
    </w:tbl>
    <w:p>
      <w:pPr>
        <w:keepNext w:val="0"/>
        <w:keepLines w:val="0"/>
        <w:pageBreakBefore w:val="0"/>
        <w:widowControl w:val="0"/>
        <w:kinsoku/>
        <w:wordWrap/>
        <w:overflowPunct/>
        <w:topLinePunct w:val="0"/>
        <w:autoSpaceDE w:val="0"/>
        <w:autoSpaceDN w:val="0"/>
        <w:bidi w:val="0"/>
        <w:adjustRightInd/>
        <w:spacing w:line="360" w:lineRule="auto"/>
        <w:ind w:right="0" w:rightChars="0"/>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4.1.2.2 无组织排放</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rPr>
        <w:t>本项目的无组织排放主要为车间内未经收集的投料粉尘</w:t>
      </w:r>
      <w:r>
        <w:rPr>
          <w:rFonts w:hint="default" w:ascii="Times New Roman" w:hAnsi="Times New Roman" w:eastAsia="宋体" w:cs="Times New Roman"/>
          <w:color w:val="auto"/>
          <w:sz w:val="24"/>
          <w:szCs w:val="24"/>
          <w:lang w:eastAsia="zh-CN"/>
        </w:rPr>
        <w:t>、装置区的动静密封点废气、罐区的储罐废气及灌装区未经收集的有机废气</w:t>
      </w:r>
      <w:r>
        <w:rPr>
          <w:rFonts w:hint="default" w:ascii="Times New Roman" w:hAnsi="Times New Roman" w:eastAsia="宋体" w:cs="Times New Roman"/>
          <w:color w:val="auto"/>
          <w:sz w:val="24"/>
          <w:szCs w:val="24"/>
        </w:rPr>
        <w:t>。工程对</w:t>
      </w:r>
      <w:r>
        <w:rPr>
          <w:rFonts w:hint="default" w:ascii="Times New Roman" w:hAnsi="Times New Roman" w:eastAsia="宋体" w:cs="Times New Roman"/>
          <w:color w:val="auto"/>
          <w:sz w:val="24"/>
          <w:szCs w:val="24"/>
          <w:lang w:eastAsia="zh-CN"/>
        </w:rPr>
        <w:t>车间</w:t>
      </w:r>
      <w:r>
        <w:rPr>
          <w:rFonts w:hint="default" w:ascii="Times New Roman" w:hAnsi="Times New Roman" w:eastAsia="宋体" w:cs="Times New Roman"/>
          <w:color w:val="auto"/>
          <w:sz w:val="24"/>
          <w:szCs w:val="24"/>
        </w:rPr>
        <w:t>投料粉尘</w:t>
      </w:r>
      <w:r>
        <w:rPr>
          <w:rFonts w:hint="default" w:ascii="Times New Roman" w:hAnsi="Times New Roman" w:eastAsia="宋体" w:cs="Times New Roman"/>
          <w:color w:val="auto"/>
          <w:sz w:val="24"/>
          <w:szCs w:val="24"/>
          <w:lang w:eastAsia="zh-CN"/>
        </w:rPr>
        <w:t>进行密闭收集处理；异丙醇储罐废气采用“管道</w:t>
      </w:r>
      <w:r>
        <w:rPr>
          <w:rFonts w:hint="default" w:ascii="Times New Roman" w:hAnsi="Times New Roman" w:eastAsia="宋体" w:cs="Times New Roman"/>
          <w:color w:val="auto"/>
          <w:sz w:val="24"/>
          <w:szCs w:val="24"/>
          <w:lang w:val="en-US" w:eastAsia="zh-CN"/>
        </w:rPr>
        <w:t>+冷凝回流+</w:t>
      </w:r>
      <w:r>
        <w:rPr>
          <w:rFonts w:hint="default" w:ascii="Times New Roman" w:hAnsi="Times New Roman" w:eastAsia="宋体" w:cs="Times New Roman"/>
          <w:color w:val="auto"/>
          <w:sz w:val="24"/>
          <w:szCs w:val="24"/>
          <w:lang w:eastAsia="zh-CN"/>
        </w:rPr>
        <w:t>活性炭</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气相平衡管”处理，其余原料及产品储罐废气采用气相平衡管处理；灌装废气依托现有项目灌装车间的换气系统收集后经活性炭过滤后无组织排放；采样废气及装置区的动静密封点废气直接无组织排放。</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eastAsia="zh-CN"/>
        </w:rPr>
        <w:t>按照环评要求，在保留现有卫生防护距离的基础上，增加以改建项目边界起设置</w:t>
      </w:r>
      <w:r>
        <w:rPr>
          <w:rFonts w:hint="default" w:ascii="Times New Roman" w:hAnsi="Times New Roman" w:eastAsia="宋体" w:cs="Times New Roman"/>
          <w:color w:val="auto"/>
          <w:sz w:val="24"/>
          <w:szCs w:val="24"/>
          <w:lang w:val="en-US" w:eastAsia="zh-CN"/>
        </w:rPr>
        <w:t>100m卫生防护距离，</w:t>
      </w:r>
      <w:r>
        <w:rPr>
          <w:rFonts w:hint="default" w:ascii="Times New Roman" w:hAnsi="Times New Roman" w:eastAsia="宋体" w:cs="Times New Roman"/>
          <w:color w:val="auto"/>
          <w:sz w:val="24"/>
          <w:szCs w:val="24"/>
        </w:rPr>
        <w:t>该卫生防护距离内无</w:t>
      </w:r>
      <w:r>
        <w:rPr>
          <w:rFonts w:hint="default" w:ascii="Times New Roman" w:hAnsi="Times New Roman" w:eastAsia="宋体" w:cs="Times New Roman"/>
          <w:color w:val="auto"/>
          <w:sz w:val="24"/>
          <w:szCs w:val="24"/>
          <w:lang w:eastAsia="zh-CN"/>
        </w:rPr>
        <w:t>居民点等</w:t>
      </w:r>
      <w:r>
        <w:rPr>
          <w:rFonts w:hint="default" w:ascii="Times New Roman" w:hAnsi="Times New Roman" w:eastAsia="宋体" w:cs="Times New Roman"/>
          <w:color w:val="auto"/>
          <w:sz w:val="24"/>
          <w:szCs w:val="24"/>
        </w:rPr>
        <w:t>环境敏感目标。</w:t>
      </w:r>
    </w:p>
    <w:p>
      <w:pP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br w:type="page"/>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56"/>
        <w:gridCol w:w="46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56"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vertAlign w:val="baseline"/>
                <w:lang w:eastAsia="zh-CN"/>
              </w:rPr>
            </w:pPr>
            <w:r>
              <w:rPr>
                <w:rFonts w:hint="default" w:ascii="Times New Roman" w:hAnsi="Times New Roman" w:eastAsia="宋体" w:cs="Times New Roman"/>
                <w:snapToGrid w:val="0"/>
                <w:color w:val="auto"/>
                <w:kern w:val="0"/>
                <w:sz w:val="21"/>
                <w:szCs w:val="21"/>
                <w:vertAlign w:val="baseline"/>
                <w:lang w:eastAsia="zh-CN"/>
              </w:rPr>
              <w:drawing>
                <wp:inline distT="0" distB="0" distL="114300" distR="114300">
                  <wp:extent cx="2815590" cy="2099310"/>
                  <wp:effectExtent l="0" t="0" r="3810" b="15240"/>
                  <wp:docPr id="32" name="图片 32" descr="16366368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36636897(1)"/>
                          <pic:cNvPicPr>
                            <a:picLocks noChangeAspect="1"/>
                          </pic:cNvPicPr>
                        </pic:nvPicPr>
                        <pic:blipFill>
                          <a:blip r:embed="rId23"/>
                          <a:stretch>
                            <a:fillRect/>
                          </a:stretch>
                        </pic:blipFill>
                        <pic:spPr>
                          <a:xfrm>
                            <a:off x="0" y="0"/>
                            <a:ext cx="2815590" cy="2099310"/>
                          </a:xfrm>
                          <a:prstGeom prst="rect">
                            <a:avLst/>
                          </a:prstGeom>
                        </pic:spPr>
                      </pic:pic>
                    </a:graphicData>
                  </a:graphic>
                </wp:inline>
              </w:drawing>
            </w:r>
          </w:p>
        </w:tc>
        <w:tc>
          <w:tcPr>
            <w:tcW w:w="463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vertAlign w:val="baseline"/>
                <w:lang w:eastAsia="zh-CN"/>
              </w:rPr>
            </w:pPr>
            <w:r>
              <w:rPr>
                <w:rFonts w:hint="default" w:ascii="Times New Roman" w:hAnsi="Times New Roman" w:eastAsia="宋体" w:cs="Times New Roman"/>
                <w:snapToGrid w:val="0"/>
                <w:color w:val="auto"/>
                <w:kern w:val="0"/>
                <w:sz w:val="21"/>
                <w:szCs w:val="21"/>
                <w:vertAlign w:val="baseline"/>
                <w:lang w:eastAsia="zh-CN"/>
              </w:rPr>
              <w:drawing>
                <wp:inline distT="0" distB="0" distL="114300" distR="114300">
                  <wp:extent cx="1618615" cy="2202815"/>
                  <wp:effectExtent l="0" t="0" r="635" b="6985"/>
                  <wp:docPr id="33" name="图片 33" descr="1636636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36636941(1)"/>
                          <pic:cNvPicPr>
                            <a:picLocks noChangeAspect="1"/>
                          </pic:cNvPicPr>
                        </pic:nvPicPr>
                        <pic:blipFill>
                          <a:blip r:embed="rId24"/>
                          <a:stretch>
                            <a:fillRect/>
                          </a:stretch>
                        </pic:blipFill>
                        <pic:spPr>
                          <a:xfrm>
                            <a:off x="0" y="0"/>
                            <a:ext cx="1618615" cy="22028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6" w:type="dxa"/>
            <w:gridSpan w:val="2"/>
            <w:vAlign w:val="center"/>
          </w:tcPr>
          <w:p>
            <w:pPr>
              <w:keepNext w:val="0"/>
              <w:keepLines w:val="0"/>
              <w:pageBreakBefore w:val="0"/>
              <w:widowControl w:val="0"/>
              <w:kinsoku/>
              <w:wordWrap/>
              <w:overflowPunct/>
              <w:topLinePunct w:val="0"/>
              <w:autoSpaceDE w:val="0"/>
              <w:autoSpaceDN w:val="0"/>
              <w:bidi w:val="0"/>
              <w:spacing w:line="240" w:lineRule="auto"/>
              <w:jc w:val="center"/>
              <w:textAlignment w:val="auto"/>
              <w:rPr>
                <w:rFonts w:hint="default" w:ascii="Times New Roman" w:hAnsi="Times New Roman" w:eastAsia="宋体" w:cs="Times New Roman"/>
                <w:snapToGrid w:val="0"/>
                <w:color w:val="auto"/>
                <w:kern w:val="0"/>
                <w:sz w:val="21"/>
                <w:szCs w:val="21"/>
                <w:vertAlign w:val="baseline"/>
              </w:rPr>
            </w:pPr>
            <w:r>
              <w:rPr>
                <w:rFonts w:hint="default" w:ascii="Times New Roman" w:hAnsi="Times New Roman" w:eastAsia="宋体" w:cs="Times New Roman"/>
                <w:snapToGrid w:val="0"/>
                <w:color w:val="auto"/>
                <w:kern w:val="0"/>
                <w:sz w:val="21"/>
                <w:szCs w:val="21"/>
                <w:vertAlign w:val="baseline"/>
                <w:lang w:eastAsia="zh-CN"/>
              </w:rPr>
              <w:t>罐区管道</w:t>
            </w:r>
            <w:r>
              <w:rPr>
                <w:rFonts w:hint="default" w:ascii="Times New Roman" w:hAnsi="Times New Roman" w:eastAsia="宋体" w:cs="Times New Roman"/>
                <w:snapToGrid w:val="0"/>
                <w:color w:val="auto"/>
                <w:kern w:val="0"/>
                <w:sz w:val="21"/>
                <w:szCs w:val="21"/>
                <w:vertAlign w:val="baseline"/>
                <w:lang w:val="en-US" w:eastAsia="zh-CN"/>
              </w:rPr>
              <w:t>+冷凝回流+</w:t>
            </w:r>
            <w:r>
              <w:rPr>
                <w:rFonts w:hint="default" w:ascii="Times New Roman" w:hAnsi="Times New Roman" w:eastAsia="宋体" w:cs="Times New Roman"/>
                <w:snapToGrid w:val="0"/>
                <w:color w:val="auto"/>
                <w:kern w:val="0"/>
                <w:sz w:val="21"/>
                <w:szCs w:val="21"/>
                <w:vertAlign w:val="baseline"/>
                <w:lang w:eastAsia="zh-CN"/>
              </w:rPr>
              <w:t>活性炭</w:t>
            </w:r>
            <w:r>
              <w:rPr>
                <w:rFonts w:hint="default" w:ascii="Times New Roman" w:hAnsi="Times New Roman" w:eastAsia="宋体" w:cs="Times New Roman"/>
                <w:snapToGrid w:val="0"/>
                <w:color w:val="auto"/>
                <w:kern w:val="0"/>
                <w:sz w:val="21"/>
                <w:szCs w:val="21"/>
                <w:vertAlign w:val="baseline"/>
                <w:lang w:val="en-US" w:eastAsia="zh-CN"/>
              </w:rPr>
              <w:t>+</w:t>
            </w:r>
            <w:r>
              <w:rPr>
                <w:rFonts w:hint="default" w:ascii="Times New Roman" w:hAnsi="Times New Roman" w:eastAsia="宋体" w:cs="Times New Roman"/>
                <w:snapToGrid w:val="0"/>
                <w:color w:val="auto"/>
                <w:kern w:val="0"/>
                <w:sz w:val="21"/>
                <w:szCs w:val="21"/>
                <w:vertAlign w:val="baseline"/>
                <w:lang w:eastAsia="zh-CN"/>
              </w:rPr>
              <w:t>气相平衡管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56" w:type="dxa"/>
            <w:tcBorders>
              <w:bottom w:val="nil"/>
              <w:right w:val="nil"/>
            </w:tcBorders>
            <w:vAlign w:val="center"/>
          </w:tcPr>
          <w:p>
            <w:pPr>
              <w:keepNext w:val="0"/>
              <w:keepLines w:val="0"/>
              <w:pageBreakBefore w:val="0"/>
              <w:widowControl w:val="0"/>
              <w:kinsoku/>
              <w:wordWrap/>
              <w:overflowPunct/>
              <w:topLinePunct w:val="0"/>
              <w:autoSpaceDE w:val="0"/>
              <w:autoSpaceDN w:val="0"/>
              <w:bidi w:val="0"/>
              <w:spacing w:line="240" w:lineRule="auto"/>
              <w:jc w:val="center"/>
              <w:textAlignment w:val="auto"/>
              <w:rPr>
                <w:rFonts w:hint="default" w:ascii="Times New Roman" w:hAnsi="Times New Roman" w:eastAsia="宋体" w:cs="Times New Roman"/>
                <w:snapToGrid w:val="0"/>
                <w:color w:val="auto"/>
                <w:kern w:val="0"/>
                <w:sz w:val="21"/>
                <w:szCs w:val="21"/>
                <w:vertAlign w:val="baseline"/>
                <w:lang w:eastAsia="zh-CN"/>
              </w:rPr>
            </w:pPr>
            <w:r>
              <w:rPr>
                <w:rFonts w:hint="default" w:ascii="Times New Roman" w:hAnsi="Times New Roman" w:eastAsia="宋体" w:cs="Times New Roman"/>
                <w:snapToGrid w:val="0"/>
                <w:color w:val="auto"/>
                <w:kern w:val="0"/>
                <w:sz w:val="21"/>
                <w:szCs w:val="21"/>
                <w:vertAlign w:val="baseline"/>
                <w:lang w:eastAsia="zh-CN"/>
              </w:rPr>
              <w:drawing>
                <wp:inline distT="0" distB="0" distL="114300" distR="114300">
                  <wp:extent cx="1978025" cy="2663190"/>
                  <wp:effectExtent l="0" t="0" r="3175" b="3810"/>
                  <wp:docPr id="30" name="图片 30" descr="1636636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36636739(1)"/>
                          <pic:cNvPicPr>
                            <a:picLocks noChangeAspect="1"/>
                          </pic:cNvPicPr>
                        </pic:nvPicPr>
                        <pic:blipFill>
                          <a:blip r:embed="rId25"/>
                          <a:stretch>
                            <a:fillRect/>
                          </a:stretch>
                        </pic:blipFill>
                        <pic:spPr>
                          <a:xfrm>
                            <a:off x="0" y="0"/>
                            <a:ext cx="1978025" cy="2663190"/>
                          </a:xfrm>
                          <a:prstGeom prst="rect">
                            <a:avLst/>
                          </a:prstGeom>
                        </pic:spPr>
                      </pic:pic>
                    </a:graphicData>
                  </a:graphic>
                </wp:inline>
              </w:drawing>
            </w:r>
          </w:p>
        </w:tc>
        <w:tc>
          <w:tcPr>
            <w:tcW w:w="4630" w:type="dxa"/>
            <w:tcBorders>
              <w:left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vertAlign w:val="baseline"/>
                <w:lang w:eastAsia="zh-CN"/>
              </w:rPr>
            </w:pPr>
            <w:r>
              <w:rPr>
                <w:rFonts w:hint="default" w:ascii="Times New Roman" w:hAnsi="Times New Roman" w:eastAsia="宋体" w:cs="Times New Roman"/>
                <w:snapToGrid w:val="0"/>
                <w:color w:val="auto"/>
                <w:kern w:val="0"/>
                <w:sz w:val="21"/>
                <w:szCs w:val="21"/>
                <w:vertAlign w:val="baseline"/>
                <w:lang w:eastAsia="zh-CN"/>
              </w:rPr>
              <w:drawing>
                <wp:inline distT="0" distB="0" distL="114300" distR="114300">
                  <wp:extent cx="2048510" cy="2732405"/>
                  <wp:effectExtent l="0" t="0" r="8890" b="10795"/>
                  <wp:docPr id="15" name="图片 15" descr="C:/Users/Administrator/AppData/Local/Temp/picturecompress_2021110912050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AppData/Local/Temp/picturecompress_20211109120500/output_1.jpgoutput_1"/>
                          <pic:cNvPicPr>
                            <a:picLocks noChangeAspect="1"/>
                          </pic:cNvPicPr>
                        </pic:nvPicPr>
                        <pic:blipFill>
                          <a:blip r:embed="rId26"/>
                          <a:stretch>
                            <a:fillRect/>
                          </a:stretch>
                        </pic:blipFill>
                        <pic:spPr>
                          <a:xfrm>
                            <a:off x="0" y="0"/>
                            <a:ext cx="2048510" cy="273240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 w:hRule="atLeast"/>
        </w:trPr>
        <w:tc>
          <w:tcPr>
            <w:tcW w:w="9286" w:type="dxa"/>
            <w:gridSpan w:val="2"/>
            <w:tcBorders>
              <w:top w:val="nil"/>
              <w:bottom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napToGrid w:val="0"/>
                <w:color w:val="auto"/>
                <w:kern w:val="0"/>
                <w:sz w:val="21"/>
                <w:szCs w:val="21"/>
                <w:vertAlign w:val="baseline"/>
                <w:lang w:val="en-US" w:eastAsia="zh-CN"/>
              </w:rPr>
            </w:pPr>
            <w:r>
              <w:rPr>
                <w:rFonts w:hint="default" w:ascii="Times New Roman" w:hAnsi="Times New Roman" w:eastAsia="宋体" w:cs="Times New Roman"/>
                <w:color w:val="auto"/>
                <w:kern w:val="0"/>
                <w:sz w:val="21"/>
                <w:szCs w:val="21"/>
                <w:lang w:eastAsia="zh-CN"/>
              </w:rPr>
              <w:t>清釜废气、工艺废气配套的</w:t>
            </w:r>
            <w:r>
              <w:rPr>
                <w:rFonts w:hint="default" w:ascii="Times New Roman" w:hAnsi="Times New Roman" w:eastAsia="宋体" w:cs="Times New Roman"/>
                <w:color w:val="auto"/>
                <w:kern w:val="0"/>
                <w:sz w:val="21"/>
                <w:szCs w:val="21"/>
              </w:rPr>
              <w:t>热井+活性炭吸附</w:t>
            </w:r>
            <w:r>
              <w:rPr>
                <w:rFonts w:hint="default" w:ascii="Times New Roman" w:hAnsi="Times New Roman" w:eastAsia="宋体" w:cs="Times New Roman"/>
                <w:color w:val="auto"/>
                <w:kern w:val="0"/>
                <w:sz w:val="21"/>
                <w:szCs w:val="21"/>
                <w:lang w:val="en-US" w:eastAsia="zh-CN"/>
              </w:rPr>
              <w:t>+24m排气筒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2" w:hRule="atLeast"/>
        </w:trPr>
        <w:tc>
          <w:tcPr>
            <w:tcW w:w="4656" w:type="dxa"/>
            <w:tcBorders>
              <w:top w:val="nil"/>
              <w:bottom w:val="nil"/>
              <w:right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lang w:eastAsia="zh-CN"/>
              </w:rPr>
            </w:pPr>
            <w:r>
              <w:drawing>
                <wp:inline distT="0" distB="0" distL="114300" distR="114300">
                  <wp:extent cx="1866900" cy="2471420"/>
                  <wp:effectExtent l="0" t="0" r="0" b="508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27"/>
                          <a:stretch>
                            <a:fillRect/>
                          </a:stretch>
                        </pic:blipFill>
                        <pic:spPr>
                          <a:xfrm>
                            <a:off x="0" y="0"/>
                            <a:ext cx="1866900" cy="2471420"/>
                          </a:xfrm>
                          <a:prstGeom prst="rect">
                            <a:avLst/>
                          </a:prstGeom>
                          <a:noFill/>
                          <a:ln>
                            <a:noFill/>
                          </a:ln>
                        </pic:spPr>
                      </pic:pic>
                    </a:graphicData>
                  </a:graphic>
                </wp:inline>
              </w:drawing>
            </w:r>
          </w:p>
        </w:tc>
        <w:tc>
          <w:tcPr>
            <w:tcW w:w="4630" w:type="dxa"/>
            <w:tcBorders>
              <w:top w:val="nil"/>
              <w:left w:val="nil"/>
              <w:bottom w:val="nil"/>
            </w:tcBorders>
            <w:shd w:val="clear" w:color="auto" w:fill="auto"/>
            <w:vAlign w:val="center"/>
          </w:tcPr>
          <w:p>
            <w:pPr>
              <w:pStyle w:val="2"/>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drawing>
                <wp:inline distT="0" distB="0" distL="114300" distR="114300">
                  <wp:extent cx="1790700" cy="2378075"/>
                  <wp:effectExtent l="0" t="0" r="0" b="3175"/>
                  <wp:docPr id="31" name="图片 31" descr="1636636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36636842(1)"/>
                          <pic:cNvPicPr>
                            <a:picLocks noChangeAspect="1"/>
                          </pic:cNvPicPr>
                        </pic:nvPicPr>
                        <pic:blipFill>
                          <a:blip r:embed="rId28"/>
                          <a:stretch>
                            <a:fillRect/>
                          </a:stretch>
                        </pic:blipFill>
                        <pic:spPr>
                          <a:xfrm>
                            <a:off x="0" y="0"/>
                            <a:ext cx="1790700" cy="23780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trPr>
        <w:tc>
          <w:tcPr>
            <w:tcW w:w="9286" w:type="dxa"/>
            <w:gridSpan w:val="2"/>
            <w:tcBorders>
              <w:top w:val="nil"/>
              <w:bottom w:val="nil"/>
            </w:tcBorders>
            <w:shd w:val="clear" w:color="auto" w:fill="auto"/>
            <w:vAlign w:val="center"/>
          </w:tcPr>
          <w:p>
            <w:pPr>
              <w:pStyle w:val="2"/>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投料粉尘经布袋除尘器处理后通过43m高排气筒（位于甲类生产装置顶部）</w:t>
            </w:r>
          </w:p>
        </w:tc>
      </w:tr>
    </w:tbl>
    <w:p>
      <w:pPr>
        <w:adjustRightInd w:val="0"/>
        <w:snapToGrid w:val="0"/>
        <w:spacing w:line="240" w:lineRule="exact"/>
        <w:rPr>
          <w:rFonts w:hint="default" w:ascii="Times New Roman" w:hAnsi="Times New Roman" w:eastAsia="宋体" w:cs="Times New Roman"/>
          <w:snapToGrid w:val="0"/>
          <w:color w:val="auto"/>
          <w:kern w:val="0"/>
          <w:sz w:val="28"/>
          <w:szCs w:val="28"/>
        </w:rPr>
        <w:sectPr>
          <w:pgSz w:w="11906" w:h="16838"/>
          <w:pgMar w:top="1474" w:right="1418" w:bottom="1474" w:left="1418" w:header="851" w:footer="851" w:gutter="0"/>
          <w:pgBorders>
            <w:top w:val="none" w:sz="0" w:space="0"/>
            <w:left w:val="none" w:sz="0" w:space="0"/>
            <w:bottom w:val="none" w:sz="0" w:space="0"/>
            <w:right w:val="none" w:sz="0" w:space="0"/>
          </w:pgBorders>
          <w:pgNumType w:fmt="decimal"/>
          <w:cols w:space="425" w:num="1"/>
          <w:docGrid w:type="lines" w:linePitch="354" w:charSpace="0"/>
        </w:sectPr>
      </w:pPr>
    </w:p>
    <w:p>
      <w:pPr>
        <w:keepNext w:val="0"/>
        <w:keepLines w:val="0"/>
        <w:pageBreakBefore w:val="0"/>
        <w:widowControl w:val="0"/>
        <w:kinsoku/>
        <w:wordWrap/>
        <w:overflowPunct/>
        <w:topLinePunct w:val="0"/>
        <w:autoSpaceDE w:val="0"/>
        <w:autoSpaceDN w:val="0"/>
        <w:bidi w:val="0"/>
        <w:adjustRightInd/>
        <w:snapToGrid/>
        <w:spacing w:line="360" w:lineRule="auto"/>
        <w:ind w:right="0" w:rightChars="0"/>
        <w:textAlignment w:val="auto"/>
        <w:outlineLvl w:val="9"/>
        <w:rPr>
          <w:rFonts w:hint="default" w:ascii="Times New Roman" w:hAnsi="Times New Roman" w:eastAsia="宋体" w:cs="Times New Roman"/>
          <w:b/>
          <w:bCs/>
          <w:color w:val="auto"/>
          <w:sz w:val="24"/>
          <w:szCs w:val="24"/>
          <w:lang w:val="en-US" w:eastAsia="en-US"/>
        </w:rPr>
      </w:pPr>
      <w:r>
        <w:rPr>
          <w:rFonts w:hint="default" w:ascii="Times New Roman" w:hAnsi="Times New Roman" w:eastAsia="宋体" w:cs="Times New Roman"/>
          <w:b/>
          <w:bCs/>
          <w:color w:val="auto"/>
          <w:sz w:val="24"/>
          <w:szCs w:val="24"/>
          <w:lang w:val="en-US" w:eastAsia="zh-CN"/>
        </w:rPr>
        <w:t>4.1.3 噪声</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eastAsia="宋体" w:cs="Times New Roman"/>
          <w:color w:val="auto"/>
          <w:sz w:val="24"/>
          <w:szCs w:val="24"/>
        </w:rPr>
      </w:pPr>
      <w:bookmarkStart w:id="24" w:name="_Hlk528677139"/>
      <w:bookmarkStart w:id="25" w:name="_Toc171927556"/>
      <w:bookmarkStart w:id="26" w:name="_Toc152511743"/>
      <w:bookmarkStart w:id="27" w:name="_Toc135637714"/>
      <w:bookmarkStart w:id="28" w:name="_Toc137606427"/>
      <w:bookmarkStart w:id="29" w:name="_Toc153683355"/>
      <w:bookmarkStart w:id="30" w:name="_Toc161680981"/>
      <w:bookmarkStart w:id="31" w:name="_Toc135637592"/>
      <w:bookmarkStart w:id="32" w:name="_Toc164847777"/>
      <w:bookmarkStart w:id="33" w:name="_Hlk528680359"/>
      <w:bookmarkStart w:id="34" w:name="_Toc135202906"/>
      <w:bookmarkStart w:id="35" w:name="_Toc160335893"/>
      <w:bookmarkStart w:id="36" w:name="_Toc87412731"/>
      <w:r>
        <w:rPr>
          <w:rFonts w:hint="default" w:ascii="Times New Roman" w:hAnsi="Times New Roman" w:eastAsia="宋体" w:cs="Times New Roman"/>
          <w:color w:val="auto"/>
          <w:sz w:val="24"/>
          <w:szCs w:val="24"/>
          <w:lang w:eastAsia="zh-CN"/>
        </w:rPr>
        <w:t>本</w:t>
      </w:r>
      <w:r>
        <w:rPr>
          <w:rFonts w:hint="default" w:ascii="Times New Roman" w:hAnsi="Times New Roman" w:eastAsia="宋体" w:cs="Times New Roman"/>
          <w:color w:val="auto"/>
          <w:sz w:val="24"/>
          <w:szCs w:val="24"/>
        </w:rPr>
        <w:t>项目产生的噪声主要物料泵、真空系统、冷却塔、风机等，主要控制措施如下</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1）合理布置以减轻噪声影响</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项目总平面布置在满足工艺生产及运输要求下，将噪声高的生产单元或设施布置在厂区中部，减小噪声对环境的影响。对一些目前尚无有效治理方法的声源布置在室内或地下，利用建筑隔声。</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2）选用低噪声设备</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在设备选用上充分选择低噪声的设备。</w:t>
      </w:r>
      <w:bookmarkEnd w:id="24"/>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3）噪声控制措施</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对</w:t>
      </w:r>
      <w:r>
        <w:rPr>
          <w:rFonts w:hint="default" w:ascii="Times New Roman" w:hAnsi="Times New Roman" w:eastAsia="宋体" w:cs="Times New Roman"/>
          <w:color w:val="auto"/>
          <w:sz w:val="24"/>
          <w:szCs w:val="24"/>
          <w:lang w:eastAsia="zh-CN"/>
        </w:rPr>
        <w:t>噪声源采取了</w:t>
      </w:r>
      <w:r>
        <w:rPr>
          <w:rFonts w:hint="default" w:ascii="Times New Roman" w:hAnsi="Times New Roman" w:eastAsia="宋体" w:cs="Times New Roman"/>
          <w:color w:val="auto"/>
          <w:sz w:val="24"/>
          <w:szCs w:val="24"/>
        </w:rPr>
        <w:t>减振隔声措施</w:t>
      </w:r>
      <w:r>
        <w:rPr>
          <w:rFonts w:hint="default" w:ascii="Times New Roman" w:hAnsi="Times New Roman" w:eastAsia="宋体" w:cs="Times New Roman"/>
          <w:color w:val="auto"/>
          <w:sz w:val="24"/>
          <w:szCs w:val="24"/>
          <w:lang w:eastAsia="zh-CN"/>
        </w:rPr>
        <w:t>，外在厂区设置绿化带，种植高大乔木以降低噪声对环境的影响</w:t>
      </w:r>
      <w:r>
        <w:rPr>
          <w:rFonts w:hint="default" w:ascii="Times New Roman" w:hAnsi="Times New Roman" w:eastAsia="宋体" w:cs="Times New Roman"/>
          <w:color w:val="auto"/>
          <w:sz w:val="24"/>
          <w:szCs w:val="24"/>
        </w:rPr>
        <w:t>。</w:t>
      </w:r>
    </w:p>
    <w:bookmarkEnd w:id="25"/>
    <w:bookmarkEnd w:id="26"/>
    <w:bookmarkEnd w:id="27"/>
    <w:bookmarkEnd w:id="28"/>
    <w:bookmarkEnd w:id="29"/>
    <w:bookmarkEnd w:id="30"/>
    <w:bookmarkEnd w:id="31"/>
    <w:bookmarkEnd w:id="32"/>
    <w:bookmarkEnd w:id="33"/>
    <w:bookmarkEnd w:id="34"/>
    <w:bookmarkEnd w:id="35"/>
    <w:bookmarkEnd w:id="36"/>
    <w:p>
      <w:pPr>
        <w:keepNext w:val="0"/>
        <w:keepLines w:val="0"/>
        <w:pageBreakBefore w:val="0"/>
        <w:widowControl w:val="0"/>
        <w:tabs>
          <w:tab w:val="left" w:pos="360"/>
        </w:tabs>
        <w:kinsoku/>
        <w:wordWrap/>
        <w:overflowPunct/>
        <w:topLinePunct w:val="0"/>
        <w:autoSpaceDE/>
        <w:autoSpaceDN/>
        <w:bidi w:val="0"/>
        <w:adjustRightInd/>
        <w:snapToGrid/>
        <w:spacing w:before="157" w:beforeLines="50" w:after="0" w:line="360" w:lineRule="auto"/>
        <w:ind w:left="0" w:leftChars="0" w:right="0" w:rightChars="0" w:firstLine="0" w:firstLineChars="0"/>
        <w:jc w:val="both"/>
        <w:textAlignment w:val="auto"/>
        <w:outlineLvl w:val="9"/>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4.</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4 固体废弃物</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产生的固体废弃物为工业固废和生活垃圾。其中固体废物有：①废滤饼（催化剂），产生于中间产品过滤工艺；②废活性炭，产生于有机废气吸附处理装置的定期更换；③除尘灰，产生于布袋除尘环节；④破损布袋，产生于布袋除尘器布袋更换；⑤废包装袋，为白土、活性炭、硅藻土的包装袋；⑥废催化剂桶；⑦污泥，产生于废水处理过程。</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废滤饼、废活性炭、废催化剂</w:t>
      </w:r>
      <w:r>
        <w:rPr>
          <w:rFonts w:hint="default" w:ascii="Times New Roman" w:hAnsi="Times New Roman" w:eastAsia="宋体" w:cs="Times New Roman"/>
          <w:color w:val="auto"/>
          <w:sz w:val="24"/>
          <w:szCs w:val="24"/>
          <w:lang w:eastAsia="zh-CN"/>
        </w:rPr>
        <w:t>委托南通国启环保科技有限公司处置</w:t>
      </w:r>
      <w:r>
        <w:rPr>
          <w:rFonts w:hint="eastAsia" w:ascii="Times New Roman" w:hAnsi="Times New Roman" w:eastAsia="宋体" w:cs="Times New Roman"/>
          <w:color w:val="auto"/>
          <w:sz w:val="24"/>
          <w:szCs w:val="24"/>
          <w:lang w:eastAsia="zh-CN"/>
        </w:rPr>
        <w:t>，除尘灰、破损布袋、废包装袋、污泥为一般固废，</w:t>
      </w:r>
      <w:r>
        <w:rPr>
          <w:rFonts w:hint="default" w:ascii="Times New Roman" w:hAnsi="Times New Roman" w:eastAsia="宋体" w:cs="Times New Roman"/>
          <w:color w:val="auto"/>
          <w:sz w:val="24"/>
          <w:szCs w:val="24"/>
          <w:lang w:eastAsia="zh-CN"/>
        </w:rPr>
        <w:t>委托张家港市合力能源处置有限公司处置</w:t>
      </w:r>
      <w:r>
        <w:rPr>
          <w:rFonts w:hint="eastAsia" w:ascii="Times New Roman" w:hAnsi="Times New Roman" w:eastAsia="宋体" w:cs="Times New Roman"/>
          <w:color w:val="auto"/>
          <w:sz w:val="24"/>
          <w:szCs w:val="24"/>
          <w:lang w:eastAsia="zh-CN"/>
        </w:rPr>
        <w:t>，生活垃圾环卫拖运。</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厂内目前共建有一个65㎡的危废仓库，一个70㎡的一般工业固废仓库，位于厂区南侧，本项目产生的固废贮存依托现有设施。</w:t>
      </w:r>
      <w:r>
        <w:rPr>
          <w:rFonts w:hint="eastAsia" w:ascii="Times New Roman" w:hAnsi="Times New Roman" w:eastAsia="宋体" w:cs="Times New Roman"/>
          <w:color w:val="auto"/>
          <w:sz w:val="24"/>
          <w:szCs w:val="24"/>
          <w:lang w:eastAsia="zh-CN"/>
        </w:rPr>
        <w:t>危废仓库的建设符合《危险废物贮存污染控制标准》（GB18597-2001）的要求，设置了防渗、防漏、防雨、防火等措施。一般工业固废仓库按照《一般工业固体废物贮存、处置场污染控制标准》（GB18599-2001）的要求规范建设和维护使用。根据《环境保护图形标志——固体废物贮存（处置场）》（GB15562.2-1995）在固废贮存场所设置了环保标志。危险固废暂存堆场应由砌筑的防火墙及铺设有混凝土地面的干库房式构筑物所组成，基本能够做到防漏、防渗、防风、防洪水冲刷等，仓库内的物料储存区及危废堆放区间设有隔断，符合危废的存放要求。</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本项目主要固废产生及处置情况见表</w:t>
      </w:r>
      <w:r>
        <w:rPr>
          <w:rFonts w:hint="default" w:ascii="Times New Roman" w:hAnsi="Times New Roman" w:eastAsia="宋体" w:cs="Times New Roman"/>
          <w:color w:val="auto"/>
          <w:sz w:val="24"/>
          <w:szCs w:val="24"/>
          <w:lang w:val="en-US" w:eastAsia="zh-CN"/>
        </w:rPr>
        <w:t>4-3。</w:t>
      </w:r>
    </w:p>
    <w:p>
      <w:pPr>
        <w:jc w:val="center"/>
        <w:rPr>
          <w:rFonts w:hint="default" w:ascii="Times New Roman" w:hAnsi="Times New Roman" w:eastAsia="宋体" w:cs="Times New Roman"/>
          <w:b/>
          <w:color w:val="auto"/>
          <w:highlight w:val="none"/>
          <w:lang w:eastAsia="zh-CN"/>
        </w:rPr>
      </w:pPr>
      <w:r>
        <w:rPr>
          <w:rFonts w:hint="default" w:ascii="Times New Roman" w:hAnsi="Times New Roman" w:eastAsia="宋体" w:cs="Times New Roman"/>
          <w:b/>
          <w:color w:val="auto"/>
          <w:highlight w:val="none"/>
        </w:rPr>
        <w:t>表</w:t>
      </w:r>
      <w:r>
        <w:rPr>
          <w:rFonts w:hint="default" w:ascii="Times New Roman" w:hAnsi="Times New Roman" w:eastAsia="宋体" w:cs="Times New Roman"/>
          <w:b/>
          <w:color w:val="auto"/>
          <w:highlight w:val="none"/>
          <w:lang w:val="en-US" w:eastAsia="zh-CN"/>
        </w:rPr>
        <w:t>4-3</w:t>
      </w:r>
      <w:r>
        <w:rPr>
          <w:rFonts w:hint="default" w:ascii="Times New Roman" w:hAnsi="Times New Roman" w:eastAsia="宋体" w:cs="Times New Roman"/>
          <w:b/>
          <w:color w:val="auto"/>
          <w:highlight w:val="none"/>
        </w:rPr>
        <w:t xml:space="preserve">   项目固废产生及处置</w:t>
      </w:r>
      <w:r>
        <w:rPr>
          <w:rFonts w:hint="default" w:ascii="Times New Roman" w:hAnsi="Times New Roman" w:eastAsia="宋体" w:cs="Times New Roman"/>
          <w:b/>
          <w:color w:val="auto"/>
          <w:highlight w:val="none"/>
          <w:lang w:eastAsia="zh-CN"/>
        </w:rPr>
        <w:t>情况表</w:t>
      </w:r>
    </w:p>
    <w:tbl>
      <w:tblPr>
        <w:tblStyle w:val="8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720"/>
        <w:gridCol w:w="1525"/>
        <w:gridCol w:w="776"/>
        <w:gridCol w:w="1046"/>
        <w:gridCol w:w="944"/>
        <w:gridCol w:w="946"/>
        <w:gridCol w:w="2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48" w:type="pct"/>
            <w:vMerge w:val="restart"/>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rPr>
            </w:pPr>
            <w:bookmarkStart w:id="37" w:name="_Hlk525142883"/>
            <w:r>
              <w:rPr>
                <w:rFonts w:hint="default" w:ascii="Times New Roman" w:hAnsi="Times New Roman" w:eastAsia="宋体" w:cs="Times New Roman"/>
                <w:b/>
                <w:bCs/>
                <w:color w:val="auto"/>
                <w:kern w:val="0"/>
                <w:sz w:val="21"/>
                <w:szCs w:val="21"/>
              </w:rPr>
              <w:t>固废名称</w:t>
            </w:r>
          </w:p>
        </w:tc>
        <w:tc>
          <w:tcPr>
            <w:tcW w:w="411" w:type="pct"/>
            <w:vMerge w:val="restart"/>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属性</w:t>
            </w:r>
          </w:p>
        </w:tc>
        <w:tc>
          <w:tcPr>
            <w:tcW w:w="869" w:type="pct"/>
            <w:vMerge w:val="restart"/>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产生工序</w:t>
            </w:r>
          </w:p>
        </w:tc>
        <w:tc>
          <w:tcPr>
            <w:tcW w:w="441" w:type="pct"/>
            <w:vMerge w:val="restart"/>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废物类别</w:t>
            </w:r>
          </w:p>
        </w:tc>
        <w:tc>
          <w:tcPr>
            <w:tcW w:w="596" w:type="pct"/>
            <w:vMerge w:val="restart"/>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废物代码</w:t>
            </w:r>
          </w:p>
        </w:tc>
        <w:tc>
          <w:tcPr>
            <w:tcW w:w="1077" w:type="pct"/>
            <w:gridSpan w:val="2"/>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产生量t/a</w:t>
            </w:r>
          </w:p>
        </w:tc>
        <w:tc>
          <w:tcPr>
            <w:tcW w:w="1153" w:type="pct"/>
            <w:vMerge w:val="restart"/>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bCs/>
                <w:i w:val="0"/>
                <w:iCs w:val="0"/>
                <w:color w:val="auto"/>
                <w:kern w:val="0"/>
                <w:sz w:val="21"/>
                <w:szCs w:val="21"/>
              </w:rPr>
              <w:t>处置方法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48" w:type="pct"/>
            <w:vMerge w:val="continue"/>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rPr>
            </w:pPr>
          </w:p>
        </w:tc>
        <w:tc>
          <w:tcPr>
            <w:tcW w:w="411" w:type="pct"/>
            <w:vMerge w:val="continue"/>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rPr>
            </w:pPr>
          </w:p>
        </w:tc>
        <w:tc>
          <w:tcPr>
            <w:tcW w:w="869" w:type="pct"/>
            <w:vMerge w:val="continue"/>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rPr>
            </w:pPr>
          </w:p>
        </w:tc>
        <w:tc>
          <w:tcPr>
            <w:tcW w:w="441" w:type="pct"/>
            <w:vMerge w:val="continue"/>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rPr>
            </w:pPr>
          </w:p>
        </w:tc>
        <w:tc>
          <w:tcPr>
            <w:tcW w:w="596" w:type="pct"/>
            <w:vMerge w:val="continue"/>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rPr>
            </w:pPr>
          </w:p>
        </w:tc>
        <w:tc>
          <w:tcPr>
            <w:tcW w:w="538" w:type="pct"/>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环评</w:t>
            </w:r>
          </w:p>
        </w:tc>
        <w:tc>
          <w:tcPr>
            <w:tcW w:w="539" w:type="pct"/>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实际</w:t>
            </w:r>
          </w:p>
        </w:tc>
        <w:tc>
          <w:tcPr>
            <w:tcW w:w="1153" w:type="pct"/>
            <w:vMerge w:val="continue"/>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48" w:type="pct"/>
            <w:shd w:val="clear" w:color="auto" w:fill="auto"/>
            <w:vAlign w:val="center"/>
          </w:tcPr>
          <w:p>
            <w:pPr>
              <w:adjustRightInd w:val="0"/>
              <w:snapToGrid w:val="0"/>
              <w:spacing w:beforeLines="0" w:afterLines="0" w:line="240" w:lineRule="auto"/>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废滤饼</w:t>
            </w:r>
          </w:p>
        </w:tc>
        <w:tc>
          <w:tcPr>
            <w:tcW w:w="411" w:type="pct"/>
            <w:shd w:val="clear" w:color="auto" w:fill="auto"/>
            <w:vAlign w:val="center"/>
          </w:tcPr>
          <w:p>
            <w:pPr>
              <w:snapToGrid w:val="0"/>
              <w:spacing w:beforeLines="0" w:afterLines="0" w:line="240" w:lineRule="auto"/>
              <w:ind w:left="-48" w:leftChars="-20" w:right="-48" w:rightChars="-20"/>
              <w:jc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危险固废</w:t>
            </w:r>
          </w:p>
        </w:tc>
        <w:tc>
          <w:tcPr>
            <w:tcW w:w="869" w:type="pct"/>
            <w:shd w:val="clear" w:color="auto" w:fill="auto"/>
            <w:vAlign w:val="center"/>
          </w:tcPr>
          <w:p>
            <w:pPr>
              <w:adjustRightInd w:val="0"/>
              <w:snapToGrid w:val="0"/>
              <w:spacing w:beforeLines="0" w:afterLines="0" w:line="240" w:lineRule="auto"/>
              <w:ind w:left="0" w:leftChars="0" w:right="0" w:rightChars="0"/>
              <w:jc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中间产品过滤</w:t>
            </w:r>
          </w:p>
        </w:tc>
        <w:tc>
          <w:tcPr>
            <w:tcW w:w="441" w:type="pct"/>
            <w:shd w:val="clear" w:color="auto" w:fill="auto"/>
            <w:vAlign w:val="center"/>
          </w:tcPr>
          <w:p>
            <w:pPr>
              <w:pStyle w:val="87"/>
              <w:snapToGrid w:val="0"/>
              <w:spacing w:before="0" w:beforeLines="0" w:afterLines="0"/>
              <w:ind w:left="0" w:leftChars="0" w:right="0" w:rightChars="0"/>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HW49</w:t>
            </w:r>
          </w:p>
        </w:tc>
        <w:tc>
          <w:tcPr>
            <w:tcW w:w="596" w:type="pct"/>
            <w:shd w:val="clear" w:color="auto" w:fill="auto"/>
            <w:vAlign w:val="center"/>
          </w:tcPr>
          <w:p>
            <w:pPr>
              <w:pStyle w:val="87"/>
              <w:snapToGrid w:val="0"/>
              <w:spacing w:before="0" w:beforeLines="0" w:afterLines="0"/>
              <w:ind w:left="0" w:leftChars="0" w:right="0" w:rightChars="0"/>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900-</w:t>
            </w:r>
            <w:r>
              <w:rPr>
                <w:rFonts w:hint="default" w:ascii="Times New Roman" w:hAnsi="Times New Roman" w:eastAsia="宋体" w:cs="Times New Roman"/>
                <w:color w:val="auto"/>
                <w:sz w:val="21"/>
                <w:szCs w:val="21"/>
                <w:lang w:val="en-US" w:eastAsia="zh-CN"/>
              </w:rPr>
              <w:t>039</w:t>
            </w:r>
            <w:r>
              <w:rPr>
                <w:rFonts w:hint="default" w:ascii="Times New Roman" w:hAnsi="Times New Roman" w:eastAsia="宋体" w:cs="Times New Roman"/>
                <w:color w:val="auto"/>
                <w:sz w:val="21"/>
                <w:szCs w:val="21"/>
              </w:rPr>
              <w:t>-49</w:t>
            </w:r>
          </w:p>
        </w:tc>
        <w:tc>
          <w:tcPr>
            <w:tcW w:w="538" w:type="pct"/>
            <w:shd w:val="clear" w:color="auto" w:fill="auto"/>
            <w:vAlign w:val="center"/>
          </w:tcPr>
          <w:p>
            <w:pPr>
              <w:adjustRightInd w:val="0"/>
              <w:snapToGrid w:val="0"/>
              <w:spacing w:beforeLines="0" w:afterLines="0" w:line="240" w:lineRule="auto"/>
              <w:ind w:left="0" w:leftChars="0" w:right="0" w:rightChars="0"/>
              <w:jc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917</w:t>
            </w:r>
          </w:p>
        </w:tc>
        <w:tc>
          <w:tcPr>
            <w:tcW w:w="539" w:type="pct"/>
            <w:shd w:val="clear" w:color="auto" w:fill="auto"/>
            <w:vAlign w:val="center"/>
          </w:tcPr>
          <w:p>
            <w:pPr>
              <w:adjustRightInd w:val="0"/>
              <w:snapToGrid w:val="0"/>
              <w:spacing w:beforeLines="0" w:afterLines="0" w:line="240" w:lineRule="auto"/>
              <w:ind w:left="0" w:leftChars="0" w:right="0" w:right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val="en-US" w:eastAsia="zh-CN"/>
              </w:rPr>
              <w:t>500</w:t>
            </w:r>
          </w:p>
        </w:tc>
        <w:tc>
          <w:tcPr>
            <w:tcW w:w="1153" w:type="pct"/>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委托南通国启环保科技有限公司处置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48" w:type="pct"/>
            <w:shd w:val="clear" w:color="auto" w:fill="auto"/>
            <w:vAlign w:val="center"/>
          </w:tcPr>
          <w:p>
            <w:pPr>
              <w:adjustRightInd w:val="0"/>
              <w:snapToGrid w:val="0"/>
              <w:spacing w:beforeLines="0" w:afterLines="0" w:line="240" w:lineRule="auto"/>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废活性炭</w:t>
            </w:r>
          </w:p>
        </w:tc>
        <w:tc>
          <w:tcPr>
            <w:tcW w:w="411" w:type="pct"/>
            <w:shd w:val="clear" w:color="auto" w:fill="auto"/>
            <w:vAlign w:val="center"/>
          </w:tcPr>
          <w:p>
            <w:pPr>
              <w:pStyle w:val="87"/>
              <w:snapToGrid w:val="0"/>
              <w:spacing w:before="0" w:beforeLines="0" w:afterLines="0"/>
              <w:ind w:left="0" w:leftChars="0" w:right="0" w:rightChars="0"/>
              <w:rPr>
                <w:rFonts w:hint="default" w:ascii="Times New Roman" w:hAnsi="Times New Roman" w:eastAsia="宋体" w:cs="Times New Roman"/>
                <w:color w:val="auto"/>
                <w:kern w:val="21"/>
                <w:sz w:val="21"/>
                <w:szCs w:val="21"/>
                <w:lang w:val="en-US" w:eastAsia="en-US" w:bidi="ar-SA"/>
              </w:rPr>
            </w:pPr>
            <w:r>
              <w:rPr>
                <w:rFonts w:hint="default" w:ascii="Times New Roman" w:hAnsi="Times New Roman" w:eastAsia="宋体" w:cs="Times New Roman"/>
                <w:color w:val="auto"/>
                <w:sz w:val="21"/>
                <w:szCs w:val="21"/>
              </w:rPr>
              <w:t>危险固废</w:t>
            </w:r>
          </w:p>
        </w:tc>
        <w:tc>
          <w:tcPr>
            <w:tcW w:w="869" w:type="pct"/>
            <w:shd w:val="clear" w:color="auto" w:fill="auto"/>
            <w:vAlign w:val="center"/>
          </w:tcPr>
          <w:p>
            <w:pPr>
              <w:adjustRightInd w:val="0"/>
              <w:snapToGrid w:val="0"/>
              <w:spacing w:beforeLines="0" w:afterLines="0" w:line="240" w:lineRule="auto"/>
              <w:ind w:left="0" w:leftChars="0" w:right="0" w:rightChars="0"/>
              <w:jc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废气治理</w:t>
            </w:r>
          </w:p>
        </w:tc>
        <w:tc>
          <w:tcPr>
            <w:tcW w:w="441" w:type="pct"/>
            <w:shd w:val="clear" w:color="auto" w:fill="auto"/>
            <w:vAlign w:val="center"/>
          </w:tcPr>
          <w:p>
            <w:pPr>
              <w:pStyle w:val="87"/>
              <w:snapToGrid w:val="0"/>
              <w:spacing w:before="0" w:beforeLines="0" w:afterLines="0"/>
              <w:ind w:left="0" w:leftChars="0" w:right="0" w:rightChars="0"/>
              <w:rPr>
                <w:rFonts w:hint="default" w:ascii="Times New Roman" w:hAnsi="Times New Roman" w:eastAsia="宋体" w:cs="Times New Roman"/>
                <w:color w:val="auto"/>
                <w:kern w:val="21"/>
                <w:sz w:val="21"/>
                <w:szCs w:val="21"/>
                <w:lang w:val="en-US" w:eastAsia="en-US" w:bidi="ar-SA"/>
              </w:rPr>
            </w:pPr>
            <w:r>
              <w:rPr>
                <w:rFonts w:hint="default" w:ascii="Times New Roman" w:hAnsi="Times New Roman" w:eastAsia="宋体" w:cs="Times New Roman"/>
                <w:color w:val="auto"/>
                <w:sz w:val="21"/>
                <w:szCs w:val="21"/>
              </w:rPr>
              <w:t>HW49</w:t>
            </w:r>
          </w:p>
        </w:tc>
        <w:tc>
          <w:tcPr>
            <w:tcW w:w="596" w:type="pct"/>
            <w:shd w:val="clear" w:color="auto" w:fill="auto"/>
            <w:vAlign w:val="center"/>
          </w:tcPr>
          <w:p>
            <w:pPr>
              <w:pStyle w:val="87"/>
              <w:snapToGrid w:val="0"/>
              <w:spacing w:before="0" w:beforeLines="0" w:afterLines="0"/>
              <w:ind w:left="0" w:leftChars="0" w:right="0" w:rightChars="0"/>
              <w:rPr>
                <w:rFonts w:hint="default" w:ascii="Times New Roman" w:hAnsi="Times New Roman" w:eastAsia="宋体" w:cs="Times New Roman"/>
                <w:color w:val="auto"/>
                <w:kern w:val="21"/>
                <w:sz w:val="21"/>
                <w:szCs w:val="21"/>
                <w:lang w:val="en-US" w:eastAsia="en-US" w:bidi="ar-SA"/>
              </w:rPr>
            </w:pPr>
            <w:r>
              <w:rPr>
                <w:rFonts w:hint="default" w:ascii="Times New Roman" w:hAnsi="Times New Roman" w:eastAsia="宋体" w:cs="Times New Roman"/>
                <w:color w:val="auto"/>
                <w:sz w:val="21"/>
                <w:szCs w:val="21"/>
              </w:rPr>
              <w:t>900-</w:t>
            </w:r>
            <w:r>
              <w:rPr>
                <w:rFonts w:hint="default" w:ascii="Times New Roman" w:hAnsi="Times New Roman" w:eastAsia="宋体" w:cs="Times New Roman"/>
                <w:color w:val="auto"/>
                <w:sz w:val="21"/>
                <w:szCs w:val="21"/>
                <w:lang w:val="en-US" w:eastAsia="zh-CN"/>
              </w:rPr>
              <w:t>039</w:t>
            </w:r>
            <w:r>
              <w:rPr>
                <w:rFonts w:hint="default" w:ascii="Times New Roman" w:hAnsi="Times New Roman" w:eastAsia="宋体" w:cs="Times New Roman"/>
                <w:color w:val="auto"/>
                <w:sz w:val="21"/>
                <w:szCs w:val="21"/>
              </w:rPr>
              <w:t>-49</w:t>
            </w:r>
          </w:p>
        </w:tc>
        <w:tc>
          <w:tcPr>
            <w:tcW w:w="538" w:type="pct"/>
            <w:shd w:val="clear" w:color="auto" w:fill="auto"/>
            <w:vAlign w:val="center"/>
          </w:tcPr>
          <w:p>
            <w:pPr>
              <w:adjustRightInd w:val="0"/>
              <w:snapToGrid w:val="0"/>
              <w:spacing w:beforeLines="0" w:afterLines="0" w:line="240" w:lineRule="auto"/>
              <w:ind w:left="0" w:leftChars="0" w:right="0" w:rightChars="0"/>
              <w:jc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13.6</w:t>
            </w:r>
          </w:p>
        </w:tc>
        <w:tc>
          <w:tcPr>
            <w:tcW w:w="539" w:type="pct"/>
            <w:shd w:val="clear" w:color="auto" w:fill="auto"/>
            <w:vAlign w:val="center"/>
          </w:tcPr>
          <w:p>
            <w:pPr>
              <w:adjustRightInd w:val="0"/>
              <w:snapToGrid w:val="0"/>
              <w:spacing w:beforeLines="0" w:afterLines="0" w:line="240" w:lineRule="auto"/>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13.6</w:t>
            </w:r>
          </w:p>
        </w:tc>
        <w:tc>
          <w:tcPr>
            <w:tcW w:w="1153" w:type="pct"/>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委托卡尔冈碳素（苏州）有限公司处置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48" w:type="pct"/>
            <w:shd w:val="clear" w:color="auto" w:fill="auto"/>
            <w:vAlign w:val="center"/>
          </w:tcPr>
          <w:p>
            <w:pPr>
              <w:adjustRightInd w:val="0"/>
              <w:snapToGrid w:val="0"/>
              <w:spacing w:beforeLines="0" w:afterLines="0" w:line="240" w:lineRule="auto"/>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废催化剂桶</w:t>
            </w:r>
          </w:p>
        </w:tc>
        <w:tc>
          <w:tcPr>
            <w:tcW w:w="411" w:type="pct"/>
            <w:shd w:val="clear" w:color="auto" w:fill="auto"/>
            <w:vAlign w:val="center"/>
          </w:tcPr>
          <w:p>
            <w:pPr>
              <w:snapToGrid w:val="0"/>
              <w:spacing w:beforeLines="0" w:afterLines="0" w:line="240" w:lineRule="auto"/>
              <w:ind w:left="-48" w:leftChars="-20" w:right="-48" w:rightChars="-20"/>
              <w:jc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危险废物</w:t>
            </w:r>
          </w:p>
        </w:tc>
        <w:tc>
          <w:tcPr>
            <w:tcW w:w="869" w:type="pct"/>
            <w:shd w:val="clear" w:color="auto" w:fill="auto"/>
            <w:vAlign w:val="center"/>
          </w:tcPr>
          <w:p>
            <w:pPr>
              <w:adjustRightInd w:val="0"/>
              <w:snapToGrid w:val="0"/>
              <w:spacing w:beforeLines="0" w:afterLines="0" w:line="240" w:lineRule="auto"/>
              <w:ind w:left="0" w:leftChars="0" w:right="0" w:rightChars="0"/>
              <w:jc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原辅料使用</w:t>
            </w:r>
          </w:p>
        </w:tc>
        <w:tc>
          <w:tcPr>
            <w:tcW w:w="441" w:type="pct"/>
            <w:shd w:val="clear" w:color="auto" w:fill="auto"/>
            <w:vAlign w:val="center"/>
          </w:tcPr>
          <w:p>
            <w:pPr>
              <w:snapToGrid w:val="0"/>
              <w:spacing w:beforeLines="0" w:afterLines="0" w:line="240" w:lineRule="auto"/>
              <w:ind w:left="-48" w:leftChars="-20" w:right="-48" w:rightChars="-20"/>
              <w:jc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HW49</w:t>
            </w:r>
          </w:p>
        </w:tc>
        <w:tc>
          <w:tcPr>
            <w:tcW w:w="596" w:type="pct"/>
            <w:shd w:val="clear" w:color="auto" w:fill="auto"/>
            <w:vAlign w:val="center"/>
          </w:tcPr>
          <w:p>
            <w:pPr>
              <w:snapToGrid w:val="0"/>
              <w:spacing w:beforeLines="0" w:afterLines="0" w:line="240" w:lineRule="auto"/>
              <w:ind w:left="-48" w:leftChars="-20" w:right="-48" w:rightChars="-20"/>
              <w:jc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900-041-49</w:t>
            </w:r>
          </w:p>
        </w:tc>
        <w:tc>
          <w:tcPr>
            <w:tcW w:w="538" w:type="pct"/>
            <w:shd w:val="clear" w:color="auto" w:fill="auto"/>
            <w:vAlign w:val="center"/>
          </w:tcPr>
          <w:p>
            <w:pPr>
              <w:adjustRightInd w:val="0"/>
              <w:snapToGrid w:val="0"/>
              <w:spacing w:beforeLines="0" w:afterLines="0" w:line="240" w:lineRule="auto"/>
              <w:ind w:left="0" w:leftChars="0" w:right="0" w:right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180个</w:t>
            </w:r>
          </w:p>
        </w:tc>
        <w:tc>
          <w:tcPr>
            <w:tcW w:w="539" w:type="pct"/>
            <w:shd w:val="clear" w:color="auto" w:fill="auto"/>
            <w:vAlign w:val="center"/>
          </w:tcPr>
          <w:p>
            <w:pPr>
              <w:adjustRightInd w:val="0"/>
              <w:snapToGrid w:val="0"/>
              <w:spacing w:beforeLines="0" w:afterLines="0" w:line="240" w:lineRule="auto"/>
              <w:ind w:left="0" w:leftChars="0" w:right="0" w:right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rPr>
              <w:t>180个</w:t>
            </w:r>
          </w:p>
        </w:tc>
        <w:tc>
          <w:tcPr>
            <w:tcW w:w="1153" w:type="pct"/>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委托张家港中鼎包装处置有限公司处置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48" w:type="pct"/>
            <w:shd w:val="clear" w:color="auto" w:fill="auto"/>
            <w:vAlign w:val="center"/>
          </w:tcPr>
          <w:p>
            <w:pPr>
              <w:adjustRightInd w:val="0"/>
              <w:snapToGrid w:val="0"/>
              <w:spacing w:beforeLines="0" w:afterLines="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破损布袋</w:t>
            </w:r>
          </w:p>
        </w:tc>
        <w:tc>
          <w:tcPr>
            <w:tcW w:w="411" w:type="pct"/>
            <w:shd w:val="clear" w:color="auto" w:fill="auto"/>
            <w:vAlign w:val="center"/>
          </w:tcPr>
          <w:p>
            <w:pPr>
              <w:snapToGrid w:val="0"/>
              <w:spacing w:beforeLines="0" w:afterLines="0" w:line="240" w:lineRule="auto"/>
              <w:ind w:left="-48" w:leftChars="-20" w:right="-48" w:rightChars="-2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一般固废</w:t>
            </w:r>
          </w:p>
        </w:tc>
        <w:tc>
          <w:tcPr>
            <w:tcW w:w="869" w:type="pct"/>
            <w:shd w:val="clear" w:color="auto" w:fill="auto"/>
            <w:vAlign w:val="center"/>
          </w:tcPr>
          <w:p>
            <w:pPr>
              <w:adjustRightInd w:val="0"/>
              <w:snapToGrid w:val="0"/>
              <w:spacing w:beforeLines="0" w:afterLines="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布袋除尘</w:t>
            </w:r>
          </w:p>
        </w:tc>
        <w:tc>
          <w:tcPr>
            <w:tcW w:w="441" w:type="pct"/>
            <w:shd w:val="clear" w:color="auto" w:fill="auto"/>
            <w:vAlign w:val="center"/>
          </w:tcPr>
          <w:p>
            <w:pPr>
              <w:snapToGrid w:val="0"/>
              <w:spacing w:beforeLines="0" w:afterLines="0" w:line="240" w:lineRule="auto"/>
              <w:ind w:left="-48" w:leftChars="-20" w:right="-48" w:rightChar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96" w:type="pct"/>
            <w:shd w:val="clear" w:color="auto" w:fill="auto"/>
            <w:vAlign w:val="center"/>
          </w:tcPr>
          <w:p>
            <w:pPr>
              <w:snapToGrid w:val="0"/>
              <w:spacing w:beforeLines="0" w:afterLines="0" w:line="240" w:lineRule="auto"/>
              <w:ind w:left="-48" w:leftChars="-20" w:right="-48" w:rightChars="-2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99</w:t>
            </w:r>
          </w:p>
        </w:tc>
        <w:tc>
          <w:tcPr>
            <w:tcW w:w="538" w:type="pct"/>
            <w:shd w:val="clear" w:color="auto" w:fill="auto"/>
            <w:vAlign w:val="center"/>
          </w:tcPr>
          <w:p>
            <w:pPr>
              <w:adjustRightInd w:val="0"/>
              <w:snapToGrid w:val="0"/>
              <w:spacing w:beforeLines="0" w:afterLines="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w:t>
            </w:r>
          </w:p>
        </w:tc>
        <w:tc>
          <w:tcPr>
            <w:tcW w:w="539" w:type="pct"/>
            <w:shd w:val="clear" w:color="auto" w:fill="auto"/>
            <w:vAlign w:val="center"/>
          </w:tcPr>
          <w:p>
            <w:pPr>
              <w:adjustRightInd w:val="0"/>
              <w:snapToGrid w:val="0"/>
              <w:spacing w:beforeLines="0" w:afterLines="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w:t>
            </w:r>
          </w:p>
        </w:tc>
        <w:tc>
          <w:tcPr>
            <w:tcW w:w="1153" w:type="pct"/>
            <w:vMerge w:val="restart"/>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委托张家港</w:t>
            </w:r>
            <w:r>
              <w:rPr>
                <w:rFonts w:hint="default" w:ascii="Times New Roman" w:hAnsi="Times New Roman" w:eastAsia="宋体" w:cs="Times New Roman"/>
                <w:color w:val="auto"/>
                <w:kern w:val="0"/>
                <w:sz w:val="21"/>
                <w:szCs w:val="21"/>
                <w:highlight w:val="none"/>
                <w:lang w:eastAsia="zh-CN"/>
              </w:rPr>
              <w:t>市合力能源处置有限</w:t>
            </w:r>
            <w:r>
              <w:rPr>
                <w:rFonts w:hint="default" w:ascii="Times New Roman" w:hAnsi="Times New Roman" w:eastAsia="宋体" w:cs="Times New Roman"/>
                <w:color w:val="auto"/>
                <w:kern w:val="0"/>
                <w:sz w:val="21"/>
                <w:szCs w:val="21"/>
                <w:lang w:eastAsia="zh-CN"/>
              </w:rPr>
              <w:t>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48" w:type="pct"/>
            <w:shd w:val="clear" w:color="auto" w:fill="auto"/>
            <w:vAlign w:val="center"/>
          </w:tcPr>
          <w:p>
            <w:pPr>
              <w:adjustRightInd w:val="0"/>
              <w:snapToGrid w:val="0"/>
              <w:spacing w:beforeLines="0" w:afterLines="0" w:line="240" w:lineRule="auto"/>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除尘灰</w:t>
            </w:r>
          </w:p>
        </w:tc>
        <w:tc>
          <w:tcPr>
            <w:tcW w:w="411" w:type="pct"/>
            <w:shd w:val="clear" w:color="auto" w:fill="auto"/>
            <w:vAlign w:val="center"/>
          </w:tcPr>
          <w:p>
            <w:pPr>
              <w:snapToGrid w:val="0"/>
              <w:spacing w:beforeLines="0" w:afterLines="0" w:line="240" w:lineRule="auto"/>
              <w:ind w:left="-48" w:leftChars="-20" w:right="-48" w:rightChars="-20"/>
              <w:jc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一般固废</w:t>
            </w:r>
          </w:p>
        </w:tc>
        <w:tc>
          <w:tcPr>
            <w:tcW w:w="869" w:type="pct"/>
            <w:shd w:val="clear" w:color="auto" w:fill="auto"/>
            <w:vAlign w:val="center"/>
          </w:tcPr>
          <w:p>
            <w:pPr>
              <w:adjustRightInd w:val="0"/>
              <w:snapToGrid w:val="0"/>
              <w:spacing w:beforeLines="0" w:afterLines="0" w:line="240" w:lineRule="auto"/>
              <w:ind w:left="0" w:leftChars="0" w:right="0" w:rightChars="0"/>
              <w:jc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原辅料使用</w:t>
            </w:r>
          </w:p>
        </w:tc>
        <w:tc>
          <w:tcPr>
            <w:tcW w:w="441" w:type="pct"/>
            <w:shd w:val="clear" w:color="auto" w:fill="auto"/>
            <w:vAlign w:val="center"/>
          </w:tcPr>
          <w:p>
            <w:pPr>
              <w:snapToGrid w:val="0"/>
              <w:spacing w:beforeLines="0" w:afterLines="0" w:line="240" w:lineRule="auto"/>
              <w:ind w:left="-48" w:leftChars="-20" w:right="-48" w:rightChars="-20"/>
              <w:jc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w:t>
            </w:r>
          </w:p>
        </w:tc>
        <w:tc>
          <w:tcPr>
            <w:tcW w:w="596" w:type="pct"/>
            <w:shd w:val="clear" w:color="auto" w:fill="auto"/>
            <w:vAlign w:val="center"/>
          </w:tcPr>
          <w:p>
            <w:pPr>
              <w:snapToGrid w:val="0"/>
              <w:spacing w:beforeLines="0" w:afterLines="0" w:line="240" w:lineRule="auto"/>
              <w:ind w:left="-48" w:leftChars="-20" w:right="-48" w:rightChars="-20"/>
              <w:jc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99</w:t>
            </w:r>
          </w:p>
        </w:tc>
        <w:tc>
          <w:tcPr>
            <w:tcW w:w="538" w:type="pct"/>
            <w:shd w:val="clear" w:color="auto" w:fill="auto"/>
            <w:vAlign w:val="center"/>
          </w:tcPr>
          <w:p>
            <w:pPr>
              <w:adjustRightInd w:val="0"/>
              <w:snapToGrid w:val="0"/>
              <w:spacing w:beforeLines="0" w:afterLines="0" w:line="240" w:lineRule="auto"/>
              <w:ind w:left="0" w:leftChars="0" w:right="0" w:right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0.93</w:t>
            </w:r>
          </w:p>
        </w:tc>
        <w:tc>
          <w:tcPr>
            <w:tcW w:w="539" w:type="pct"/>
            <w:shd w:val="clear" w:color="auto" w:fill="auto"/>
            <w:vAlign w:val="center"/>
          </w:tcPr>
          <w:p>
            <w:pPr>
              <w:adjustRightInd w:val="0"/>
              <w:snapToGrid w:val="0"/>
              <w:spacing w:beforeLines="0" w:afterLines="0" w:line="240" w:lineRule="auto"/>
              <w:ind w:left="0" w:leftChars="0" w:right="0" w:right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val="en-US" w:eastAsia="zh-CN"/>
              </w:rPr>
              <w:t>0.6</w:t>
            </w:r>
          </w:p>
        </w:tc>
        <w:tc>
          <w:tcPr>
            <w:tcW w:w="1153" w:type="pct"/>
            <w:vMerge w:val="continue"/>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48" w:type="pct"/>
            <w:shd w:val="clear" w:color="auto" w:fill="auto"/>
            <w:vAlign w:val="center"/>
          </w:tcPr>
          <w:p>
            <w:pPr>
              <w:adjustRightInd w:val="0"/>
              <w:snapToGrid w:val="0"/>
              <w:spacing w:beforeLines="0" w:afterLines="0" w:line="240" w:lineRule="auto"/>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废包装袋</w:t>
            </w:r>
          </w:p>
        </w:tc>
        <w:tc>
          <w:tcPr>
            <w:tcW w:w="411" w:type="pct"/>
            <w:shd w:val="clear" w:color="auto" w:fill="auto"/>
            <w:vAlign w:val="center"/>
          </w:tcPr>
          <w:p>
            <w:pPr>
              <w:snapToGrid w:val="0"/>
              <w:spacing w:beforeLines="0" w:afterLines="0" w:line="240" w:lineRule="auto"/>
              <w:ind w:left="-48" w:leftChars="-20" w:right="-48" w:rightChars="-20"/>
              <w:jc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一般固废</w:t>
            </w:r>
          </w:p>
        </w:tc>
        <w:tc>
          <w:tcPr>
            <w:tcW w:w="869" w:type="pct"/>
            <w:shd w:val="clear" w:color="auto" w:fill="auto"/>
            <w:vAlign w:val="center"/>
          </w:tcPr>
          <w:p>
            <w:pPr>
              <w:adjustRightInd w:val="0"/>
              <w:snapToGrid w:val="0"/>
              <w:spacing w:beforeLines="0" w:afterLines="0" w:line="240" w:lineRule="auto"/>
              <w:ind w:left="0" w:leftChars="0" w:right="0" w:rightChars="0"/>
              <w:jc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布袋除尘</w:t>
            </w:r>
          </w:p>
        </w:tc>
        <w:tc>
          <w:tcPr>
            <w:tcW w:w="441" w:type="pct"/>
            <w:shd w:val="clear" w:color="auto" w:fill="auto"/>
            <w:vAlign w:val="center"/>
          </w:tcPr>
          <w:p>
            <w:pPr>
              <w:snapToGrid w:val="0"/>
              <w:spacing w:beforeLines="0" w:afterLines="0" w:line="240" w:lineRule="auto"/>
              <w:ind w:left="-48" w:leftChars="-20" w:right="-48" w:rightChars="-20"/>
              <w:jc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w:t>
            </w:r>
          </w:p>
        </w:tc>
        <w:tc>
          <w:tcPr>
            <w:tcW w:w="596" w:type="pct"/>
            <w:shd w:val="clear" w:color="auto" w:fill="auto"/>
            <w:vAlign w:val="center"/>
          </w:tcPr>
          <w:p>
            <w:pPr>
              <w:snapToGrid w:val="0"/>
              <w:spacing w:beforeLines="0" w:afterLines="0" w:line="240" w:lineRule="auto"/>
              <w:ind w:left="-48" w:leftChars="-20" w:right="-48" w:rightChars="-20"/>
              <w:jc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99</w:t>
            </w:r>
          </w:p>
        </w:tc>
        <w:tc>
          <w:tcPr>
            <w:tcW w:w="538" w:type="pct"/>
            <w:shd w:val="clear" w:color="auto" w:fill="auto"/>
            <w:vAlign w:val="center"/>
          </w:tcPr>
          <w:p>
            <w:pPr>
              <w:adjustRightInd w:val="0"/>
              <w:snapToGrid w:val="0"/>
              <w:spacing w:beforeLines="0" w:afterLines="0" w:line="240" w:lineRule="auto"/>
              <w:ind w:left="0" w:leftChars="0" w:right="0" w:right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10</w:t>
            </w:r>
          </w:p>
        </w:tc>
        <w:tc>
          <w:tcPr>
            <w:tcW w:w="539" w:type="pct"/>
            <w:shd w:val="clear" w:color="auto" w:fill="auto"/>
            <w:vAlign w:val="center"/>
          </w:tcPr>
          <w:p>
            <w:pPr>
              <w:adjustRightInd w:val="0"/>
              <w:snapToGrid w:val="0"/>
              <w:spacing w:beforeLines="0" w:afterLines="0" w:line="240" w:lineRule="auto"/>
              <w:ind w:left="0" w:leftChars="0" w:right="0" w:right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rPr>
              <w:t>10</w:t>
            </w:r>
          </w:p>
        </w:tc>
        <w:tc>
          <w:tcPr>
            <w:tcW w:w="1153" w:type="pct"/>
            <w:vMerge w:val="continue"/>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48" w:type="pct"/>
            <w:shd w:val="clear" w:color="auto" w:fill="auto"/>
            <w:vAlign w:val="center"/>
          </w:tcPr>
          <w:p>
            <w:pPr>
              <w:adjustRightInd w:val="0"/>
              <w:snapToGrid w:val="0"/>
              <w:spacing w:beforeLines="0" w:afterLines="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生活垃圾</w:t>
            </w:r>
          </w:p>
        </w:tc>
        <w:tc>
          <w:tcPr>
            <w:tcW w:w="411" w:type="pct"/>
            <w:shd w:val="clear" w:color="auto" w:fill="auto"/>
            <w:vAlign w:val="center"/>
          </w:tcPr>
          <w:p>
            <w:pPr>
              <w:snapToGrid w:val="0"/>
              <w:spacing w:beforeLines="0" w:afterLines="0" w:line="240" w:lineRule="auto"/>
              <w:ind w:left="-48" w:leftChars="-20" w:right="-48" w:rightChars="-2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一般固废</w:t>
            </w:r>
          </w:p>
        </w:tc>
        <w:tc>
          <w:tcPr>
            <w:tcW w:w="869" w:type="pct"/>
            <w:shd w:val="clear" w:color="auto" w:fill="auto"/>
            <w:vAlign w:val="center"/>
          </w:tcPr>
          <w:p>
            <w:pPr>
              <w:adjustRightInd w:val="0"/>
              <w:snapToGrid w:val="0"/>
              <w:spacing w:beforeLines="0" w:afterLines="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职工生活</w:t>
            </w:r>
          </w:p>
        </w:tc>
        <w:tc>
          <w:tcPr>
            <w:tcW w:w="441" w:type="pct"/>
            <w:shd w:val="clear" w:color="auto" w:fill="auto"/>
            <w:vAlign w:val="center"/>
          </w:tcPr>
          <w:p>
            <w:pPr>
              <w:snapToGrid w:val="0"/>
              <w:spacing w:beforeLines="0" w:afterLines="0" w:line="240" w:lineRule="auto"/>
              <w:ind w:left="-48" w:leftChars="-20" w:right="-48" w:rightChars="-20"/>
              <w:jc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w:t>
            </w:r>
          </w:p>
        </w:tc>
        <w:tc>
          <w:tcPr>
            <w:tcW w:w="596" w:type="pct"/>
            <w:shd w:val="clear" w:color="auto" w:fill="auto"/>
            <w:vAlign w:val="center"/>
          </w:tcPr>
          <w:p>
            <w:pPr>
              <w:snapToGrid w:val="0"/>
              <w:spacing w:beforeLines="0" w:afterLines="0" w:line="240" w:lineRule="auto"/>
              <w:ind w:left="-48" w:leftChars="-20" w:right="-48" w:rightChars="-20"/>
              <w:jc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99</w:t>
            </w:r>
          </w:p>
        </w:tc>
        <w:tc>
          <w:tcPr>
            <w:tcW w:w="538" w:type="pct"/>
            <w:shd w:val="clear" w:color="auto" w:fill="auto"/>
            <w:vAlign w:val="center"/>
          </w:tcPr>
          <w:p>
            <w:pPr>
              <w:adjustRightInd w:val="0"/>
              <w:snapToGrid w:val="0"/>
              <w:spacing w:beforeLines="0" w:afterLines="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539" w:type="pct"/>
            <w:shd w:val="clear" w:color="auto" w:fill="auto"/>
            <w:vAlign w:val="center"/>
          </w:tcPr>
          <w:p>
            <w:pPr>
              <w:adjustRightInd w:val="0"/>
              <w:snapToGrid w:val="0"/>
              <w:spacing w:beforeLines="0" w:afterLines="0" w:line="240" w:lineRule="auto"/>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153" w:type="pct"/>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环卫清运</w:t>
            </w:r>
          </w:p>
        </w:tc>
      </w:tr>
      <w:bookmarkEnd w:id="37"/>
    </w:tbl>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85"/>
        <w:gridCol w:w="43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85" w:type="dxa"/>
          </w:tcPr>
          <w:p>
            <w:pPr>
              <w:pStyle w:val="61"/>
              <w:jc w:val="center"/>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vertAlign w:val="baseline"/>
                <w:lang w:eastAsia="zh-CN"/>
              </w:rPr>
              <w:drawing>
                <wp:inline distT="0" distB="0" distL="114300" distR="114300">
                  <wp:extent cx="2397760" cy="3197860"/>
                  <wp:effectExtent l="0" t="0" r="2540" b="2540"/>
                  <wp:docPr id="17" name="图片 17" descr="C:/Users/Administrator/AppData/Local/Temp/picturecompress_2021110914094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AppData/Local/Temp/picturecompress_20211109140947/output_1.jpgoutput_1"/>
                          <pic:cNvPicPr>
                            <a:picLocks noChangeAspect="1"/>
                          </pic:cNvPicPr>
                        </pic:nvPicPr>
                        <pic:blipFill>
                          <a:blip r:embed="rId29"/>
                          <a:stretch>
                            <a:fillRect/>
                          </a:stretch>
                        </pic:blipFill>
                        <pic:spPr>
                          <a:xfrm>
                            <a:off x="0" y="0"/>
                            <a:ext cx="2397760" cy="3197860"/>
                          </a:xfrm>
                          <a:prstGeom prst="rect">
                            <a:avLst/>
                          </a:prstGeom>
                        </pic:spPr>
                      </pic:pic>
                    </a:graphicData>
                  </a:graphic>
                </wp:inline>
              </w:drawing>
            </w:r>
          </w:p>
        </w:tc>
        <w:tc>
          <w:tcPr>
            <w:tcW w:w="4386" w:type="dxa"/>
          </w:tcPr>
          <w:p>
            <w:pPr>
              <w:pStyle w:val="61"/>
              <w:jc w:val="center"/>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vertAlign w:val="baseline"/>
                <w:lang w:eastAsia="zh-CN"/>
              </w:rPr>
              <w:drawing>
                <wp:inline distT="0" distB="0" distL="114300" distR="114300">
                  <wp:extent cx="2463800" cy="3286125"/>
                  <wp:effectExtent l="0" t="0" r="12700" b="9525"/>
                  <wp:docPr id="34" name="图片 34" descr="C:/Users/Administrator/AppData/Local/Temp/picturecompress_2021111121552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AppData/Local/Temp/picturecompress_20211111215523/output_1.jpgoutput_1"/>
                          <pic:cNvPicPr>
                            <a:picLocks noChangeAspect="1"/>
                          </pic:cNvPicPr>
                        </pic:nvPicPr>
                        <pic:blipFill>
                          <a:blip r:embed="rId30"/>
                          <a:stretch>
                            <a:fillRect/>
                          </a:stretch>
                        </pic:blipFill>
                        <pic:spPr>
                          <a:xfrm>
                            <a:off x="0" y="0"/>
                            <a:ext cx="2463800" cy="32861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771" w:type="dxa"/>
            <w:gridSpan w:val="2"/>
          </w:tcPr>
          <w:p>
            <w:pPr>
              <w:pStyle w:val="61"/>
              <w:jc w:val="center"/>
              <w:rPr>
                <w:rFonts w:hint="default" w:ascii="Times New Roman" w:hAnsi="Times New Roman" w:eastAsia="宋体" w:cs="Times New Roman"/>
                <w:color w:val="auto"/>
                <w:vertAlign w:val="baseline"/>
              </w:rPr>
            </w:pPr>
            <w:r>
              <w:rPr>
                <w:rFonts w:hint="default" w:ascii="Times New Roman" w:hAnsi="Times New Roman" w:eastAsia="宋体" w:cs="Times New Roman"/>
                <w:b w:val="0"/>
                <w:bCs w:val="0"/>
                <w:color w:val="auto"/>
                <w:sz w:val="21"/>
                <w:szCs w:val="21"/>
                <w:lang w:eastAsia="zh-CN"/>
              </w:rPr>
              <w:t>现有危废仓库</w:t>
            </w:r>
          </w:p>
        </w:tc>
      </w:tr>
    </w:tbl>
    <w:p>
      <w:pPr>
        <w:pStyle w:val="61"/>
        <w:jc w:val="both"/>
        <w:rPr>
          <w:rFonts w:hint="default" w:ascii="Times New Roman" w:hAnsi="Times New Roman" w:eastAsia="宋体" w:cs="Times New Roman"/>
          <w:color w:val="auto"/>
        </w:rPr>
        <w:sectPr>
          <w:pgSz w:w="11911" w:h="16838"/>
          <w:pgMar w:top="1463" w:right="1678" w:bottom="1463" w:left="1678" w:header="907" w:footer="884" w:gutter="0"/>
          <w:pgBorders>
            <w:top w:val="none" w:sz="0" w:space="0"/>
            <w:left w:val="none" w:sz="0" w:space="0"/>
            <w:bottom w:val="none" w:sz="0" w:space="0"/>
            <w:right w:val="none" w:sz="0" w:space="0"/>
          </w:pgBorders>
          <w:pgNumType w:fmt="decimal"/>
          <w:cols w:space="0" w:num="1"/>
          <w:rtlGutter w:val="0"/>
          <w:docGrid w:type="lines" w:linePitch="0" w:charSpace="0"/>
        </w:sectPr>
      </w:pPr>
    </w:p>
    <w:p>
      <w:pPr>
        <w:pStyle w:val="4"/>
        <w:keepNext w:val="0"/>
        <w:keepLines w:val="0"/>
        <w:pageBreakBefore w:val="0"/>
        <w:widowControl w:val="0"/>
        <w:kinsoku/>
        <w:wordWrap/>
        <w:overflowPunct/>
        <w:topLinePunct w:val="0"/>
        <w:autoSpaceDE w:val="0"/>
        <w:autoSpaceDN w:val="0"/>
        <w:bidi w:val="0"/>
        <w:adjustRightInd/>
        <w:snapToGrid/>
        <w:ind w:left="0" w:leftChars="0" w:firstLine="0" w:firstLineChars="0"/>
        <w:textAlignment w:val="auto"/>
        <w:rPr>
          <w:rFonts w:hint="default" w:ascii="Times New Roman" w:hAnsi="Times New Roman" w:eastAsia="宋体" w:cs="Times New Roman"/>
          <w:b/>
          <w:bCs/>
          <w:color w:val="auto"/>
          <w:sz w:val="28"/>
          <w:szCs w:val="28"/>
          <w:lang w:val="en-US" w:eastAsia="zh-CN"/>
        </w:rPr>
      </w:pPr>
      <w:bookmarkStart w:id="38" w:name="_Toc7628"/>
      <w:bookmarkStart w:id="39" w:name="_Toc23533"/>
      <w:r>
        <w:rPr>
          <w:rFonts w:hint="default" w:ascii="Times New Roman" w:hAnsi="Times New Roman" w:eastAsia="宋体" w:cs="Times New Roman"/>
          <w:b/>
          <w:bCs/>
          <w:color w:val="auto"/>
          <w:sz w:val="28"/>
          <w:szCs w:val="28"/>
          <w:lang w:val="en-US" w:eastAsia="zh-CN"/>
        </w:rPr>
        <w:t xml:space="preserve">4.2 </w:t>
      </w:r>
      <w:r>
        <w:rPr>
          <w:rFonts w:hint="default" w:ascii="Times New Roman" w:hAnsi="Times New Roman" w:eastAsia="宋体" w:cs="Times New Roman"/>
          <w:b/>
          <w:bCs/>
          <w:color w:val="auto"/>
          <w:sz w:val="28"/>
          <w:szCs w:val="28"/>
          <w:lang w:eastAsia="zh-CN"/>
        </w:rPr>
        <w:t>其它</w:t>
      </w:r>
      <w:r>
        <w:rPr>
          <w:rFonts w:hint="default" w:ascii="Times New Roman" w:hAnsi="Times New Roman" w:eastAsia="宋体" w:cs="Times New Roman"/>
          <w:b/>
          <w:bCs/>
          <w:color w:val="auto"/>
          <w:sz w:val="28"/>
          <w:szCs w:val="28"/>
        </w:rPr>
        <w:t>环保设施</w:t>
      </w:r>
      <w:bookmarkEnd w:id="38"/>
      <w:bookmarkEnd w:id="39"/>
    </w:p>
    <w:p>
      <w:pPr>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b/>
          <w:bCs/>
          <w:color w:val="auto"/>
          <w:sz w:val="24"/>
          <w:szCs w:val="24"/>
        </w:rPr>
      </w:pPr>
      <w:bookmarkStart w:id="40" w:name="_Toc23980"/>
      <w:r>
        <w:rPr>
          <w:rFonts w:hint="default" w:ascii="Times New Roman" w:hAnsi="Times New Roman" w:eastAsia="宋体" w:cs="Times New Roman"/>
          <w:b/>
          <w:bCs/>
          <w:color w:val="auto"/>
          <w:sz w:val="24"/>
          <w:szCs w:val="24"/>
        </w:rPr>
        <w:t>4.2.1 环境风险防范设施</w:t>
      </w:r>
      <w:bookmarkEnd w:id="40"/>
    </w:p>
    <w:p>
      <w:pPr>
        <w:pStyle w:val="9"/>
        <w:keepNext w:val="0"/>
        <w:keepLines w:val="0"/>
        <w:pageBreakBefore w:val="0"/>
        <w:widowControl w:val="0"/>
        <w:kinsoku/>
        <w:wordWrap/>
        <w:overflowPunct/>
        <w:topLinePunct w:val="0"/>
        <w:autoSpaceDE w:val="0"/>
        <w:autoSpaceDN w:val="0"/>
        <w:bidi w:val="0"/>
        <w:adjustRightInd w:val="0"/>
        <w:snapToGrid w:val="0"/>
        <w:spacing w:line="360" w:lineRule="auto"/>
        <w:ind w:firstLine="561"/>
        <w:textAlignment w:val="baseline"/>
        <w:rPr>
          <w:rFonts w:hint="default" w:ascii="Times New Roman" w:hAnsi="Times New Roman" w:eastAsia="宋体" w:cs="Times New Roman"/>
          <w:color w:val="auto"/>
          <w:kern w:val="2"/>
          <w:sz w:val="24"/>
          <w:szCs w:val="24"/>
          <w:lang w:eastAsia="zh-CN"/>
        </w:rPr>
      </w:pPr>
      <w:r>
        <w:rPr>
          <w:rFonts w:hint="default" w:ascii="Times New Roman" w:hAnsi="Times New Roman" w:eastAsia="宋体" w:cs="Times New Roman"/>
          <w:color w:val="auto"/>
          <w:kern w:val="2"/>
          <w:sz w:val="24"/>
          <w:szCs w:val="24"/>
          <w:lang w:eastAsia="zh-CN"/>
        </w:rPr>
        <w:t>（</w:t>
      </w:r>
      <w:r>
        <w:rPr>
          <w:rFonts w:hint="default" w:ascii="Times New Roman" w:hAnsi="Times New Roman" w:eastAsia="宋体" w:cs="Times New Roman"/>
          <w:color w:val="auto"/>
          <w:kern w:val="2"/>
          <w:sz w:val="24"/>
          <w:szCs w:val="24"/>
          <w:lang w:val="en-US" w:eastAsia="zh-CN"/>
        </w:rPr>
        <w:t>1</w:t>
      </w:r>
      <w:r>
        <w:rPr>
          <w:rFonts w:hint="default" w:ascii="Times New Roman" w:hAnsi="Times New Roman" w:eastAsia="宋体" w:cs="Times New Roman"/>
          <w:color w:val="auto"/>
          <w:kern w:val="2"/>
          <w:sz w:val="24"/>
          <w:szCs w:val="24"/>
          <w:lang w:eastAsia="zh-CN"/>
        </w:rPr>
        <w:t>）环境事件应急预案及事故应急物资</w:t>
      </w:r>
      <w:r>
        <w:rPr>
          <w:rFonts w:hint="eastAsia" w:ascii="Times New Roman" w:hAnsi="Times New Roman" w:cs="Times New Roman"/>
          <w:color w:val="auto"/>
          <w:kern w:val="2"/>
          <w:sz w:val="24"/>
          <w:szCs w:val="24"/>
          <w:lang w:eastAsia="zh-CN"/>
        </w:rPr>
        <w:t>、设施</w:t>
      </w:r>
    </w:p>
    <w:p>
      <w:pPr>
        <w:pStyle w:val="9"/>
        <w:keepNext w:val="0"/>
        <w:keepLines w:val="0"/>
        <w:pageBreakBefore w:val="0"/>
        <w:widowControl w:val="0"/>
        <w:kinsoku/>
        <w:wordWrap/>
        <w:overflowPunct/>
        <w:topLinePunct w:val="0"/>
        <w:autoSpaceDE w:val="0"/>
        <w:autoSpaceDN w:val="0"/>
        <w:bidi w:val="0"/>
        <w:adjustRightInd w:val="0"/>
        <w:snapToGrid w:val="0"/>
        <w:spacing w:line="360" w:lineRule="auto"/>
        <w:ind w:firstLine="561"/>
        <w:textAlignment w:val="baseline"/>
        <w:rPr>
          <w:rFonts w:hint="eastAsia" w:ascii="Times New Roman" w:hAnsi="Times New Roman" w:eastAsia="宋体" w:cs="Times New Roman"/>
          <w:color w:val="auto"/>
          <w:kern w:val="2"/>
          <w:sz w:val="24"/>
          <w:szCs w:val="24"/>
          <w:lang w:eastAsia="zh-CN"/>
        </w:rPr>
      </w:pPr>
      <w:r>
        <w:rPr>
          <w:rFonts w:hint="eastAsia" w:ascii="Times New Roman" w:hAnsi="Times New Roman" w:eastAsia="宋体" w:cs="Times New Roman"/>
          <w:color w:val="auto"/>
          <w:kern w:val="2"/>
          <w:sz w:val="24"/>
          <w:szCs w:val="24"/>
          <w:lang w:eastAsia="zh-CN"/>
        </w:rPr>
        <w:t>泰柯棕化（张家港）有限公司已经</w:t>
      </w:r>
      <w:r>
        <w:rPr>
          <w:rFonts w:hint="default" w:ascii="Times New Roman" w:hAnsi="Times New Roman" w:eastAsia="宋体" w:cs="Times New Roman"/>
          <w:color w:val="auto"/>
          <w:kern w:val="2"/>
          <w:sz w:val="24"/>
          <w:szCs w:val="24"/>
          <w:lang w:eastAsia="zh-CN"/>
        </w:rPr>
        <w:t>建立各种有关消防与安全生产的规章制度，建立</w:t>
      </w:r>
      <w:r>
        <w:rPr>
          <w:rFonts w:hint="eastAsia" w:ascii="Times New Roman" w:hAnsi="Times New Roman" w:eastAsia="宋体" w:cs="Times New Roman"/>
          <w:color w:val="auto"/>
          <w:kern w:val="2"/>
          <w:sz w:val="24"/>
          <w:szCs w:val="24"/>
          <w:lang w:eastAsia="zh-CN"/>
        </w:rPr>
        <w:t>了</w:t>
      </w:r>
      <w:r>
        <w:rPr>
          <w:rFonts w:hint="default" w:ascii="Times New Roman" w:hAnsi="Times New Roman" w:eastAsia="宋体" w:cs="Times New Roman"/>
          <w:color w:val="auto"/>
          <w:kern w:val="2"/>
          <w:sz w:val="24"/>
          <w:szCs w:val="24"/>
          <w:lang w:eastAsia="zh-CN"/>
        </w:rPr>
        <w:t>岗位责任制。</w:t>
      </w:r>
      <w:r>
        <w:rPr>
          <w:rFonts w:hint="eastAsia" w:ascii="Times New Roman" w:hAnsi="Times New Roman" w:eastAsia="宋体" w:cs="Times New Roman"/>
          <w:color w:val="auto"/>
          <w:kern w:val="2"/>
          <w:sz w:val="24"/>
          <w:szCs w:val="24"/>
          <w:lang w:eastAsia="zh-CN"/>
        </w:rPr>
        <w:t>公司设置了SSEH部门，配备多名专职环保管理与工作人员负责环境安全管理，有规范的应急管理制度；建立了厂内的应急组织机构，应急小组有成员29名，应急知识和技能培训每年一次以上，每年应急人员培训率为100%，并有会议记录存档。</w:t>
      </w:r>
    </w:p>
    <w:p>
      <w:pPr>
        <w:pStyle w:val="9"/>
        <w:keepNext w:val="0"/>
        <w:keepLines w:val="0"/>
        <w:pageBreakBefore w:val="0"/>
        <w:widowControl w:val="0"/>
        <w:kinsoku/>
        <w:wordWrap/>
        <w:overflowPunct/>
        <w:topLinePunct w:val="0"/>
        <w:autoSpaceDE w:val="0"/>
        <w:autoSpaceDN w:val="0"/>
        <w:bidi w:val="0"/>
        <w:adjustRightInd w:val="0"/>
        <w:snapToGrid w:val="0"/>
        <w:spacing w:line="360" w:lineRule="auto"/>
        <w:ind w:firstLine="561"/>
        <w:textAlignment w:val="baseline"/>
        <w:rPr>
          <w:rFonts w:hint="default" w:ascii="Times New Roman" w:hAnsi="Times New Roman" w:eastAsia="宋体" w:cs="Times New Roman"/>
          <w:color w:val="auto"/>
          <w:kern w:val="2"/>
          <w:sz w:val="24"/>
          <w:szCs w:val="24"/>
          <w:lang w:eastAsia="zh-CN"/>
        </w:rPr>
      </w:pPr>
      <w:r>
        <w:rPr>
          <w:rFonts w:hint="default" w:ascii="Times New Roman" w:hAnsi="Times New Roman" w:eastAsia="宋体" w:cs="Times New Roman"/>
          <w:color w:val="auto"/>
          <w:kern w:val="2"/>
          <w:sz w:val="24"/>
          <w:szCs w:val="24"/>
          <w:lang w:eastAsia="zh-CN"/>
        </w:rPr>
        <w:t>泰柯棕化(张家港)有限公司已编制环境风险高应急预案并备案（备案号：</w:t>
      </w:r>
      <w:r>
        <w:rPr>
          <w:rFonts w:hint="default" w:ascii="Times New Roman" w:hAnsi="Times New Roman" w:eastAsia="宋体" w:cs="Times New Roman"/>
          <w:color w:val="auto"/>
          <w:kern w:val="2"/>
          <w:sz w:val="24"/>
          <w:szCs w:val="24"/>
          <w:lang w:val="en-US" w:eastAsia="zh-CN"/>
        </w:rPr>
        <w:t>320582-2021-090-M</w:t>
      </w:r>
      <w:r>
        <w:rPr>
          <w:rFonts w:hint="default" w:ascii="Times New Roman" w:hAnsi="Times New Roman" w:eastAsia="宋体" w:cs="Times New Roman"/>
          <w:color w:val="auto"/>
          <w:kern w:val="2"/>
          <w:sz w:val="24"/>
          <w:szCs w:val="24"/>
          <w:lang w:eastAsia="zh-CN"/>
        </w:rPr>
        <w:t>），定期组织事故应急预案演练，作业场所根据作业特点及防护标准配备了急救箱、防毒面具、氧呼吸器、防护镜、安全帽、防护服等个人防护用品。</w:t>
      </w:r>
    </w:p>
    <w:p>
      <w:pPr>
        <w:pStyle w:val="9"/>
        <w:keepNext w:val="0"/>
        <w:keepLines w:val="0"/>
        <w:pageBreakBefore w:val="0"/>
        <w:widowControl w:val="0"/>
        <w:kinsoku/>
        <w:wordWrap/>
        <w:overflowPunct/>
        <w:topLinePunct w:val="0"/>
        <w:autoSpaceDE w:val="0"/>
        <w:autoSpaceDN w:val="0"/>
        <w:bidi w:val="0"/>
        <w:adjustRightInd w:val="0"/>
        <w:snapToGrid w:val="0"/>
        <w:spacing w:line="360" w:lineRule="auto"/>
        <w:ind w:firstLine="561"/>
        <w:textAlignment w:val="baseline"/>
        <w:rPr>
          <w:rFonts w:hint="default" w:ascii="Times New Roman" w:hAnsi="Times New Roman" w:eastAsia="宋体" w:cs="Times New Roman"/>
          <w:color w:val="auto"/>
          <w:kern w:val="2"/>
          <w:sz w:val="24"/>
          <w:szCs w:val="24"/>
          <w:lang w:eastAsia="zh-CN"/>
        </w:rPr>
      </w:pPr>
      <w:r>
        <w:rPr>
          <w:rFonts w:hint="default" w:ascii="Times New Roman" w:hAnsi="Times New Roman" w:eastAsia="宋体" w:cs="Times New Roman"/>
          <w:color w:val="auto"/>
          <w:kern w:val="2"/>
          <w:sz w:val="24"/>
          <w:szCs w:val="24"/>
          <w:lang w:eastAsia="zh-CN"/>
        </w:rPr>
        <w:t>企业落实了有效防止泄漏物质、消防水、污染雨水等扩散至外环境措施，化学品罐区、装卸泵区设置了围堰、生产装置区设置了导流沟，厂区设置了2个600m</w:t>
      </w:r>
      <w:r>
        <w:rPr>
          <w:rFonts w:hint="default" w:ascii="Times New Roman" w:hAnsi="Times New Roman" w:eastAsia="宋体" w:cs="Times New Roman"/>
          <w:color w:val="auto"/>
          <w:kern w:val="2"/>
          <w:sz w:val="24"/>
          <w:szCs w:val="24"/>
          <w:vertAlign w:val="superscript"/>
          <w:lang w:eastAsia="zh-CN"/>
        </w:rPr>
        <w:t>3</w:t>
      </w:r>
      <w:r>
        <w:rPr>
          <w:rFonts w:hint="default" w:ascii="Times New Roman" w:hAnsi="Times New Roman" w:eastAsia="宋体" w:cs="Times New Roman"/>
          <w:color w:val="auto"/>
          <w:kern w:val="2"/>
          <w:sz w:val="24"/>
          <w:szCs w:val="24"/>
          <w:lang w:eastAsia="zh-CN"/>
        </w:rPr>
        <w:t>的事故应急池、40m</w:t>
      </w:r>
      <w:r>
        <w:rPr>
          <w:rFonts w:hint="default" w:ascii="Times New Roman" w:hAnsi="Times New Roman" w:eastAsia="宋体" w:cs="Times New Roman"/>
          <w:color w:val="auto"/>
          <w:kern w:val="2"/>
          <w:sz w:val="24"/>
          <w:szCs w:val="24"/>
          <w:vertAlign w:val="superscript"/>
          <w:lang w:eastAsia="zh-CN"/>
        </w:rPr>
        <w:t>3</w:t>
      </w:r>
      <w:r>
        <w:rPr>
          <w:rFonts w:hint="default" w:ascii="Times New Roman" w:hAnsi="Times New Roman" w:eastAsia="宋体" w:cs="Times New Roman"/>
          <w:color w:val="auto"/>
          <w:kern w:val="2"/>
          <w:sz w:val="24"/>
          <w:szCs w:val="24"/>
          <w:lang w:eastAsia="zh-CN"/>
        </w:rPr>
        <w:t>的雨水收集池，雨水排放口设置了COD在线监测、强排等措施；污水接管口均设置了COD、pH在线监测、强排等措施。事故状态下的消防尾水经雨水收集系统自流汇入雨水收集池，并自流至应急事故池内暂存，事故结束后再泵入污水池经后续处理，能做到事故状态下废水能够有效收集。</w:t>
      </w:r>
    </w:p>
    <w:p>
      <w:pPr>
        <w:pStyle w:val="9"/>
        <w:keepNext w:val="0"/>
        <w:keepLines w:val="0"/>
        <w:pageBreakBefore w:val="0"/>
        <w:widowControl w:val="0"/>
        <w:kinsoku/>
        <w:wordWrap/>
        <w:overflowPunct/>
        <w:topLinePunct w:val="0"/>
        <w:autoSpaceDE w:val="0"/>
        <w:autoSpaceDN w:val="0"/>
        <w:bidi w:val="0"/>
        <w:adjustRightInd w:val="0"/>
        <w:spacing w:line="360" w:lineRule="auto"/>
        <w:ind w:firstLine="560"/>
        <w:rPr>
          <w:rFonts w:hint="default" w:ascii="Times New Roman" w:hAnsi="Times New Roman" w:eastAsia="宋体" w:cs="Times New Roman"/>
          <w:color w:val="auto"/>
          <w:kern w:val="2"/>
          <w:sz w:val="24"/>
          <w:szCs w:val="24"/>
          <w:lang w:eastAsia="zh-CN"/>
        </w:rPr>
      </w:pPr>
      <w:r>
        <w:rPr>
          <w:rFonts w:hint="default" w:ascii="Times New Roman" w:hAnsi="Times New Roman" w:eastAsia="宋体" w:cs="Times New Roman"/>
          <w:color w:val="auto"/>
          <w:kern w:val="2"/>
          <w:sz w:val="24"/>
          <w:szCs w:val="24"/>
          <w:lang w:eastAsia="zh-CN"/>
        </w:rPr>
        <w:t>（</w:t>
      </w:r>
      <w:r>
        <w:rPr>
          <w:rFonts w:hint="default" w:ascii="Times New Roman" w:hAnsi="Times New Roman" w:eastAsia="宋体" w:cs="Times New Roman"/>
          <w:color w:val="auto"/>
          <w:kern w:val="2"/>
          <w:sz w:val="24"/>
          <w:szCs w:val="24"/>
          <w:lang w:val="en-US" w:eastAsia="zh-CN"/>
        </w:rPr>
        <w:t>2</w:t>
      </w:r>
      <w:r>
        <w:rPr>
          <w:rFonts w:hint="default" w:ascii="Times New Roman" w:hAnsi="Times New Roman" w:eastAsia="宋体" w:cs="Times New Roman"/>
          <w:color w:val="auto"/>
          <w:kern w:val="2"/>
          <w:sz w:val="24"/>
          <w:szCs w:val="24"/>
          <w:lang w:eastAsia="zh-CN"/>
        </w:rPr>
        <w:t>）运输过程风险防范</w:t>
      </w:r>
    </w:p>
    <w:p>
      <w:pPr>
        <w:pStyle w:val="9"/>
        <w:keepNext w:val="0"/>
        <w:keepLines w:val="0"/>
        <w:pageBreakBefore w:val="0"/>
        <w:widowControl w:val="0"/>
        <w:kinsoku/>
        <w:wordWrap/>
        <w:overflowPunct/>
        <w:topLinePunct w:val="0"/>
        <w:autoSpaceDE w:val="0"/>
        <w:autoSpaceDN w:val="0"/>
        <w:bidi w:val="0"/>
        <w:adjustRightInd w:val="0"/>
        <w:snapToGrid w:val="0"/>
        <w:spacing w:line="360" w:lineRule="auto"/>
        <w:ind w:firstLine="561"/>
        <w:textAlignment w:val="baseline"/>
        <w:outlineLvl w:val="9"/>
        <w:rPr>
          <w:rFonts w:hint="default" w:ascii="Times New Roman" w:hAnsi="Times New Roman" w:eastAsia="宋体" w:cs="Times New Roman"/>
          <w:color w:val="auto"/>
          <w:kern w:val="2"/>
          <w:sz w:val="24"/>
          <w:szCs w:val="24"/>
          <w:lang w:eastAsia="zh-CN"/>
        </w:rPr>
      </w:pPr>
      <w:r>
        <w:rPr>
          <w:rFonts w:hint="default" w:ascii="Times New Roman" w:hAnsi="Times New Roman" w:eastAsia="宋体" w:cs="Times New Roman"/>
          <w:color w:val="auto"/>
          <w:kern w:val="2"/>
          <w:sz w:val="24"/>
          <w:szCs w:val="24"/>
          <w:lang w:eastAsia="zh-CN"/>
        </w:rPr>
        <w:t>企业</w:t>
      </w:r>
      <w:r>
        <w:rPr>
          <w:rFonts w:hint="default" w:ascii="Times New Roman" w:hAnsi="Times New Roman" w:eastAsia="宋体" w:cs="Times New Roman"/>
          <w:color w:val="auto"/>
          <w:kern w:val="2"/>
          <w:sz w:val="24"/>
          <w:szCs w:val="24"/>
          <w:lang w:val="en-US" w:eastAsia="zh-CN"/>
        </w:rPr>
        <w:t>物质运输</w:t>
      </w:r>
      <w:r>
        <w:rPr>
          <w:rFonts w:hint="default" w:ascii="Times New Roman" w:hAnsi="Times New Roman" w:eastAsia="宋体" w:cs="Times New Roman"/>
          <w:color w:val="auto"/>
          <w:kern w:val="2"/>
          <w:sz w:val="24"/>
          <w:szCs w:val="24"/>
          <w:lang w:eastAsia="zh-CN"/>
        </w:rPr>
        <w:t>由专业队伍承担，且在固定的路线，尽量避免交通高峰和人流较大的时段进行运输。通过提高驾驶人员的安全意识和定期对运输车辆进行监测和维护，可以避免运输过程发生的风险。</w:t>
      </w:r>
    </w:p>
    <w:p>
      <w:pPr>
        <w:pStyle w:val="9"/>
        <w:keepNext w:val="0"/>
        <w:keepLines w:val="0"/>
        <w:pageBreakBefore w:val="0"/>
        <w:widowControl w:val="0"/>
        <w:kinsoku/>
        <w:wordWrap/>
        <w:overflowPunct/>
        <w:topLinePunct w:val="0"/>
        <w:autoSpaceDE w:val="0"/>
        <w:autoSpaceDN w:val="0"/>
        <w:bidi w:val="0"/>
        <w:adjustRightInd w:val="0"/>
        <w:spacing w:line="360" w:lineRule="auto"/>
        <w:ind w:firstLine="560"/>
        <w:rPr>
          <w:rFonts w:hint="default" w:ascii="Times New Roman" w:hAnsi="Times New Roman" w:eastAsia="宋体" w:cs="Times New Roman"/>
          <w:color w:val="auto"/>
          <w:kern w:val="2"/>
          <w:sz w:val="24"/>
          <w:szCs w:val="24"/>
          <w:lang w:eastAsia="zh-CN"/>
        </w:rPr>
      </w:pPr>
      <w:r>
        <w:rPr>
          <w:rFonts w:hint="default" w:ascii="Times New Roman" w:hAnsi="Times New Roman" w:eastAsia="宋体" w:cs="Times New Roman"/>
          <w:color w:val="auto"/>
          <w:kern w:val="2"/>
          <w:sz w:val="24"/>
          <w:szCs w:val="24"/>
          <w:lang w:eastAsia="zh-CN"/>
        </w:rPr>
        <w:t>（</w:t>
      </w:r>
      <w:r>
        <w:rPr>
          <w:rFonts w:hint="default" w:ascii="Times New Roman" w:hAnsi="Times New Roman" w:eastAsia="宋体" w:cs="Times New Roman"/>
          <w:color w:val="auto"/>
          <w:kern w:val="2"/>
          <w:sz w:val="24"/>
          <w:szCs w:val="24"/>
          <w:lang w:val="en-US" w:eastAsia="zh-CN"/>
        </w:rPr>
        <w:t>3</w:t>
      </w:r>
      <w:r>
        <w:rPr>
          <w:rFonts w:hint="default" w:ascii="Times New Roman" w:hAnsi="Times New Roman" w:eastAsia="宋体" w:cs="Times New Roman"/>
          <w:color w:val="auto"/>
          <w:kern w:val="2"/>
          <w:sz w:val="24"/>
          <w:szCs w:val="24"/>
          <w:lang w:eastAsia="zh-CN"/>
        </w:rPr>
        <w:t>）储存过程风险防范</w:t>
      </w:r>
    </w:p>
    <w:p>
      <w:pPr>
        <w:keepNext w:val="0"/>
        <w:keepLines w:val="0"/>
        <w:pageBreakBefore w:val="0"/>
        <w:widowControl w:val="0"/>
        <w:kinsoku/>
        <w:wordWrap/>
        <w:overflowPunct/>
        <w:topLinePunct w:val="0"/>
        <w:autoSpaceDE w:val="0"/>
        <w:autoSpaceDN w:val="0"/>
        <w:bidi w:val="0"/>
        <w:spacing w:line="360" w:lineRule="auto"/>
        <w:ind w:firstLine="482"/>
        <w:rPr>
          <w:rFonts w:hint="default" w:ascii="Times New Roman" w:hAnsi="Times New Roman" w:eastAsia="宋体" w:cs="Times New Roman"/>
          <w:color w:val="auto"/>
          <w:kern w:val="2"/>
          <w:sz w:val="24"/>
          <w:szCs w:val="24"/>
          <w:highlight w:val="none"/>
          <w:lang w:eastAsia="zh-CN"/>
        </w:rPr>
      </w:pPr>
      <w:r>
        <w:rPr>
          <w:rFonts w:hint="default" w:ascii="Times New Roman" w:hAnsi="Times New Roman" w:eastAsia="宋体" w:cs="Times New Roman"/>
          <w:color w:val="auto"/>
          <w:kern w:val="2"/>
          <w:sz w:val="24"/>
          <w:szCs w:val="24"/>
          <w:highlight w:val="none"/>
          <w:lang w:eastAsia="zh-CN"/>
        </w:rPr>
        <w:t>将储罐区与公用工程区分隔设施，厂区道路人、货流分开，满足消防通道和人员疏散要求。整个厂区总平面布置符合防范事故要求，罐区、装卸区等各功能区之间按国家消防安全规定，设置足够的安全距离和道路，以便安全疏散和消防。各重点部位罐区设备设置报警联锁系统、以及水消防系统和干粉灭火器等。在必要的地方分别安装了火灾探测器、有毒气体探测器、感烟或感温探测器等，构成自动报警监测系统，并且对该系统作定期检查。</w:t>
      </w:r>
    </w:p>
    <w:p>
      <w:pPr>
        <w:keepNext w:val="0"/>
        <w:keepLines w:val="0"/>
        <w:pageBreakBefore w:val="0"/>
        <w:widowControl w:val="0"/>
        <w:kinsoku/>
        <w:wordWrap/>
        <w:overflowPunct/>
        <w:topLinePunct w:val="0"/>
        <w:autoSpaceDE w:val="0"/>
        <w:autoSpaceDN w:val="0"/>
        <w:bidi w:val="0"/>
        <w:spacing w:line="360" w:lineRule="auto"/>
        <w:ind w:firstLine="482"/>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kern w:val="2"/>
          <w:sz w:val="24"/>
          <w:szCs w:val="24"/>
          <w:lang w:eastAsia="zh-CN"/>
        </w:rPr>
        <w:t>在</w:t>
      </w:r>
      <w:r>
        <w:rPr>
          <w:rFonts w:hint="default" w:ascii="Times New Roman" w:hAnsi="Times New Roman" w:eastAsia="宋体" w:cs="Times New Roman"/>
          <w:color w:val="auto"/>
          <w:kern w:val="2"/>
          <w:sz w:val="24"/>
          <w:szCs w:val="24"/>
          <w:lang w:val="en-US" w:eastAsia="zh-CN"/>
        </w:rPr>
        <w:t>异丙醇储罐区</w:t>
      </w:r>
      <w:r>
        <w:rPr>
          <w:rFonts w:hint="default" w:ascii="Times New Roman" w:hAnsi="Times New Roman" w:eastAsia="宋体" w:cs="Times New Roman"/>
          <w:color w:val="auto"/>
          <w:kern w:val="2"/>
          <w:sz w:val="24"/>
          <w:szCs w:val="24"/>
          <w:highlight w:val="none"/>
          <w:lang w:val="en-US" w:eastAsia="zh-CN"/>
        </w:rPr>
        <w:t>周边</w:t>
      </w:r>
      <w:r>
        <w:rPr>
          <w:rFonts w:hint="default" w:ascii="Times New Roman" w:hAnsi="Times New Roman" w:eastAsia="宋体" w:cs="Times New Roman"/>
          <w:color w:val="auto"/>
          <w:kern w:val="2"/>
          <w:sz w:val="24"/>
          <w:szCs w:val="24"/>
          <w:highlight w:val="none"/>
          <w:lang w:eastAsia="zh-CN"/>
        </w:rPr>
        <w:t>设置了围堰、地下设导流设施，事故状态下，发生事故的泄漏物料、消防液等可收集在事故水池内。</w:t>
      </w:r>
      <w:bookmarkStart w:id="41" w:name="_Toc25119"/>
    </w:p>
    <w:p>
      <w:pPr>
        <w:keepNext w:val="0"/>
        <w:keepLines w:val="0"/>
        <w:pageBreakBefore w:val="0"/>
        <w:widowControl w:val="0"/>
        <w:kinsoku/>
        <w:wordWrap/>
        <w:overflowPunct/>
        <w:topLinePunct w:val="0"/>
        <w:autoSpaceDE w:val="0"/>
        <w:autoSpaceDN w:val="0"/>
        <w:bidi w:val="0"/>
        <w:adjustRightInd/>
        <w:snapToGrid/>
        <w:textAlignment w:val="auto"/>
        <w:outlineLvl w:val="9"/>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4.2.2</w:t>
      </w:r>
      <w:bookmarkEnd w:id="41"/>
      <w:bookmarkStart w:id="42" w:name="_Toc9170"/>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eastAsia="zh-CN"/>
        </w:rPr>
        <w:t>排污口规范化工程</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（1）废气排放口规范化</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项目排气筒</w:t>
      </w:r>
      <w:r>
        <w:rPr>
          <w:rFonts w:hint="default" w:ascii="Times New Roman" w:hAnsi="Times New Roman" w:eastAsia="宋体" w:cs="Times New Roman"/>
          <w:color w:val="auto"/>
          <w:sz w:val="24"/>
          <w:szCs w:val="24"/>
          <w:lang w:eastAsia="zh-CN"/>
        </w:rPr>
        <w:t>已</w:t>
      </w:r>
      <w:r>
        <w:rPr>
          <w:rFonts w:hint="default" w:ascii="Times New Roman" w:hAnsi="Times New Roman" w:eastAsia="宋体" w:cs="Times New Roman"/>
          <w:color w:val="auto"/>
          <w:sz w:val="24"/>
          <w:szCs w:val="24"/>
        </w:rPr>
        <w:t>预留监测采样口，排气筒附近</w:t>
      </w:r>
      <w:r>
        <w:rPr>
          <w:rFonts w:hint="default" w:ascii="Times New Roman" w:hAnsi="Times New Roman" w:eastAsia="宋体" w:cs="Times New Roman"/>
          <w:color w:val="auto"/>
          <w:sz w:val="24"/>
          <w:szCs w:val="24"/>
          <w:lang w:eastAsia="zh-CN"/>
        </w:rPr>
        <w:t>已</w:t>
      </w:r>
      <w:r>
        <w:rPr>
          <w:rFonts w:hint="default" w:ascii="Times New Roman" w:hAnsi="Times New Roman" w:eastAsia="宋体" w:cs="Times New Roman"/>
          <w:color w:val="auto"/>
          <w:sz w:val="24"/>
          <w:szCs w:val="24"/>
        </w:rPr>
        <w:t>树立环保图形标志牌。</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（2）废水接管口规范化</w:t>
      </w:r>
    </w:p>
    <w:p>
      <w:pPr>
        <w:snapToGrid w:val="0"/>
        <w:spacing w:line="324"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4"/>
          <w:highlight w:val="none"/>
        </w:rPr>
        <w:t>污水</w:t>
      </w:r>
      <w:r>
        <w:rPr>
          <w:rFonts w:hint="default" w:ascii="Times New Roman" w:hAnsi="Times New Roman" w:eastAsia="宋体" w:cs="Times New Roman"/>
          <w:color w:val="auto"/>
          <w:sz w:val="24"/>
          <w:szCs w:val="24"/>
          <w:highlight w:val="none"/>
          <w:lang w:eastAsia="zh-CN"/>
        </w:rPr>
        <w:t>接管</w:t>
      </w:r>
      <w:r>
        <w:rPr>
          <w:rFonts w:hint="default" w:ascii="Times New Roman" w:hAnsi="Times New Roman" w:eastAsia="宋体" w:cs="Times New Roman"/>
          <w:color w:val="auto"/>
          <w:sz w:val="24"/>
          <w:szCs w:val="24"/>
          <w:highlight w:val="none"/>
        </w:rPr>
        <w:t>口附近</w:t>
      </w:r>
      <w:r>
        <w:rPr>
          <w:rFonts w:hint="default" w:ascii="Times New Roman" w:hAnsi="Times New Roman" w:eastAsia="宋体" w:cs="Times New Roman"/>
          <w:color w:val="auto"/>
          <w:sz w:val="24"/>
          <w:szCs w:val="24"/>
          <w:highlight w:val="none"/>
          <w:lang w:eastAsia="zh-CN"/>
        </w:rPr>
        <w:t>已</w:t>
      </w:r>
      <w:r>
        <w:rPr>
          <w:rFonts w:hint="default" w:ascii="Times New Roman" w:hAnsi="Times New Roman" w:eastAsia="宋体" w:cs="Times New Roman"/>
          <w:color w:val="auto"/>
          <w:sz w:val="24"/>
          <w:szCs w:val="24"/>
          <w:lang w:eastAsia="zh-CN"/>
        </w:rPr>
        <w:t>树立环保图形标志牌。</w:t>
      </w:r>
    </w:p>
    <w:p>
      <w:pPr>
        <w:keepNext w:val="0"/>
        <w:keepLines w:val="0"/>
        <w:pageBreakBefore w:val="0"/>
        <w:widowControl w:val="0"/>
        <w:numPr>
          <w:ilvl w:val="0"/>
          <w:numId w:val="6"/>
        </w:numPr>
        <w:kinsoku/>
        <w:wordWrap/>
        <w:overflowPunct/>
        <w:topLinePunct w:val="0"/>
        <w:autoSpaceDE w:val="0"/>
        <w:autoSpaceDN w:val="0"/>
        <w:bidi w:val="0"/>
        <w:adjustRightInd w:val="0"/>
        <w:snapToGrid/>
        <w:spacing w:line="360" w:lineRule="auto"/>
        <w:ind w:firstLine="480"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噪声污染源</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对固定噪声污染源醒目处设置</w:t>
      </w:r>
      <w:r>
        <w:rPr>
          <w:rFonts w:hint="default" w:ascii="Times New Roman" w:hAnsi="Times New Roman" w:eastAsia="宋体" w:cs="Times New Roman"/>
          <w:color w:val="auto"/>
          <w:sz w:val="24"/>
          <w:szCs w:val="24"/>
          <w:lang w:eastAsia="zh-CN"/>
        </w:rPr>
        <w:t>了</w:t>
      </w:r>
      <w:r>
        <w:rPr>
          <w:rFonts w:hint="default" w:ascii="Times New Roman" w:hAnsi="Times New Roman" w:eastAsia="宋体" w:cs="Times New Roman"/>
          <w:color w:val="auto"/>
          <w:sz w:val="24"/>
          <w:szCs w:val="24"/>
        </w:rPr>
        <w:t>环境保护图形标志牌。</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eastAsia="zh-CN"/>
        </w:rPr>
        <w:t>）固废</w:t>
      </w:r>
      <w:r>
        <w:rPr>
          <w:rFonts w:hint="default" w:ascii="Times New Roman" w:hAnsi="Times New Roman" w:eastAsia="宋体" w:cs="Times New Roman"/>
          <w:color w:val="auto"/>
          <w:sz w:val="24"/>
          <w:szCs w:val="24"/>
        </w:rPr>
        <w:t>贮存场所规范化</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项目已</w:t>
      </w:r>
      <w:r>
        <w:rPr>
          <w:rFonts w:hint="default" w:ascii="Times New Roman" w:hAnsi="Times New Roman" w:eastAsia="宋体" w:cs="Times New Roman"/>
          <w:color w:val="auto"/>
          <w:sz w:val="24"/>
          <w:szCs w:val="24"/>
        </w:rPr>
        <w:t>设置专用的固体废物贮存设施</w:t>
      </w:r>
      <w:r>
        <w:rPr>
          <w:rFonts w:hint="default" w:ascii="Times New Roman" w:hAnsi="Times New Roman" w:eastAsia="宋体" w:cs="Times New Roman"/>
          <w:color w:val="auto"/>
          <w:sz w:val="24"/>
          <w:szCs w:val="24"/>
          <w:lang w:eastAsia="zh-CN"/>
        </w:rPr>
        <w:t>，并</w:t>
      </w:r>
      <w:r>
        <w:rPr>
          <w:rFonts w:hint="default" w:ascii="Times New Roman" w:hAnsi="Times New Roman" w:eastAsia="宋体" w:cs="Times New Roman"/>
          <w:color w:val="auto"/>
          <w:sz w:val="24"/>
          <w:szCs w:val="24"/>
        </w:rPr>
        <w:t>在醒目处设置</w:t>
      </w:r>
      <w:r>
        <w:rPr>
          <w:rFonts w:hint="default" w:ascii="Times New Roman" w:hAnsi="Times New Roman" w:eastAsia="宋体" w:cs="Times New Roman"/>
          <w:color w:val="auto"/>
          <w:sz w:val="24"/>
          <w:szCs w:val="24"/>
          <w:lang w:eastAsia="zh-CN"/>
        </w:rPr>
        <w:t>了环保</w:t>
      </w:r>
      <w:r>
        <w:rPr>
          <w:rFonts w:hint="default" w:ascii="Times New Roman" w:hAnsi="Times New Roman" w:eastAsia="宋体" w:cs="Times New Roman"/>
          <w:color w:val="auto"/>
          <w:sz w:val="24"/>
          <w:szCs w:val="24"/>
        </w:rPr>
        <w:t>标志牌。</w:t>
      </w:r>
    </w:p>
    <w:p>
      <w:pP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br w:type="page"/>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4.2.</w:t>
      </w: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eastAsia="zh-CN"/>
        </w:rPr>
        <w:t>其它</w:t>
      </w:r>
      <w:r>
        <w:rPr>
          <w:rFonts w:hint="default" w:ascii="Times New Roman" w:hAnsi="Times New Roman" w:eastAsia="宋体" w:cs="Times New Roman"/>
          <w:b/>
          <w:bCs/>
          <w:color w:val="auto"/>
          <w:sz w:val="24"/>
          <w:szCs w:val="24"/>
        </w:rPr>
        <w:t>设施</w:t>
      </w:r>
      <w:bookmarkEnd w:id="42"/>
    </w:p>
    <w:p>
      <w:pPr>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4.2.</w:t>
      </w:r>
      <w:r>
        <w:rPr>
          <w:rFonts w:hint="default" w:ascii="Times New Roman" w:hAnsi="Times New Roman" w:eastAsia="宋体" w:cs="Times New Roman"/>
          <w:b/>
          <w:bCs/>
          <w:color w:val="auto"/>
          <w:sz w:val="24"/>
          <w:szCs w:val="24"/>
          <w:lang w:val="en-US" w:eastAsia="zh-CN"/>
        </w:rPr>
        <w:t xml:space="preserve">3.1 </w:t>
      </w:r>
      <w:r>
        <w:rPr>
          <w:rFonts w:hint="default" w:ascii="Times New Roman" w:hAnsi="Times New Roman" w:eastAsia="宋体" w:cs="Times New Roman"/>
          <w:b/>
          <w:bCs/>
          <w:color w:val="auto"/>
          <w:sz w:val="24"/>
          <w:szCs w:val="24"/>
          <w:lang w:eastAsia="zh-CN"/>
        </w:rPr>
        <w:t>环境管理和监测计划</w:t>
      </w:r>
    </w:p>
    <w:p>
      <w:pPr>
        <w:pStyle w:val="2"/>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建设单位已设立专门的环境管理机构，配备专业环保管理人员3名，负责环境监督管理工作，同时要加强对管理人员的环保培训，并制定了环境保护管理制度。</w:t>
      </w:r>
    </w:p>
    <w:p>
      <w:pPr>
        <w:pStyle w:val="2"/>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根据《大气污染物综合排放标准》(GB16297-1996)、《化学工业挥发性有机物排放标准》（DB32/3151-2016）等规定的监测分析方法对各种废气污染源和周边环境质量进行日常例行监测，本项目全厂污染源监测计划见表</w:t>
      </w:r>
      <w:r>
        <w:rPr>
          <w:rFonts w:hint="default" w:ascii="Times New Roman" w:hAnsi="Times New Roman" w:eastAsia="宋体" w:cs="Times New Roman"/>
          <w:color w:val="auto"/>
          <w:sz w:val="24"/>
          <w:szCs w:val="24"/>
          <w:lang w:val="en-US" w:eastAsia="zh-CN"/>
        </w:rPr>
        <w:t>4-5</w:t>
      </w:r>
      <w:r>
        <w:rPr>
          <w:rFonts w:hint="default" w:ascii="Times New Roman" w:hAnsi="Times New Roman" w:eastAsia="宋体" w:cs="Times New Roman"/>
          <w:color w:val="auto"/>
          <w:sz w:val="24"/>
          <w:szCs w:val="24"/>
          <w:lang w:eastAsia="zh-CN"/>
        </w:rPr>
        <w:t>。</w:t>
      </w:r>
    </w:p>
    <w:p>
      <w:pPr>
        <w:widowControl/>
        <w:adjustRightInd w:val="0"/>
        <w:snapToGrid w:val="0"/>
        <w:jc w:val="center"/>
        <w:rPr>
          <w:rFonts w:hint="default" w:ascii="Times New Roman" w:hAnsi="Times New Roman" w:eastAsia="宋体" w:cs="Times New Roman"/>
          <w:b/>
          <w:color w:val="auto"/>
          <w:kern w:val="0"/>
          <w:szCs w:val="24"/>
        </w:rPr>
      </w:pPr>
      <w:r>
        <w:rPr>
          <w:rFonts w:hint="default" w:ascii="Times New Roman" w:hAnsi="Times New Roman" w:eastAsia="宋体" w:cs="Times New Roman"/>
          <w:b/>
          <w:color w:val="auto"/>
          <w:kern w:val="0"/>
          <w:szCs w:val="24"/>
        </w:rPr>
        <w:t>表</w:t>
      </w:r>
      <w:r>
        <w:rPr>
          <w:rFonts w:hint="default" w:ascii="Times New Roman" w:hAnsi="Times New Roman" w:eastAsia="宋体" w:cs="Times New Roman"/>
          <w:b/>
          <w:color w:val="auto"/>
          <w:kern w:val="0"/>
          <w:szCs w:val="24"/>
          <w:lang w:val="en-US" w:eastAsia="zh-CN"/>
        </w:rPr>
        <w:t>4-5</w:t>
      </w:r>
      <w:r>
        <w:rPr>
          <w:rFonts w:hint="default" w:ascii="Times New Roman" w:hAnsi="Times New Roman" w:eastAsia="宋体" w:cs="Times New Roman"/>
          <w:b/>
          <w:color w:val="auto"/>
          <w:kern w:val="0"/>
          <w:szCs w:val="24"/>
        </w:rPr>
        <w:t xml:space="preserve">  本项目污染源监测一览表</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1805"/>
        <w:gridCol w:w="1402"/>
        <w:gridCol w:w="1912"/>
        <w:gridCol w:w="2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4" w:type="pct"/>
            <w:vAlign w:val="center"/>
          </w:tcPr>
          <w:p>
            <w:pPr>
              <w:keepNext w:val="0"/>
              <w:keepLines w:val="0"/>
              <w:pageBreakBefore w:val="0"/>
              <w:widowControl/>
              <w:kinsoku/>
              <w:wordWrap/>
              <w:overflowPunct/>
              <w:topLinePunct w:val="0"/>
              <w:autoSpaceDE w:val="0"/>
              <w:autoSpaceDN w:val="0"/>
              <w:bidi w:val="0"/>
              <w:snapToGri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类别</w:t>
            </w:r>
          </w:p>
        </w:tc>
        <w:tc>
          <w:tcPr>
            <w:tcW w:w="1029" w:type="pct"/>
            <w:vAlign w:val="center"/>
          </w:tcPr>
          <w:p>
            <w:pPr>
              <w:keepNext w:val="0"/>
              <w:keepLines w:val="0"/>
              <w:pageBreakBefore w:val="0"/>
              <w:widowControl/>
              <w:kinsoku/>
              <w:wordWrap/>
              <w:overflowPunct/>
              <w:topLinePunct w:val="0"/>
              <w:autoSpaceDE w:val="0"/>
              <w:autoSpaceDN w:val="0"/>
              <w:bidi w:val="0"/>
              <w:snapToGri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监测位置</w:t>
            </w:r>
          </w:p>
        </w:tc>
        <w:tc>
          <w:tcPr>
            <w:tcW w:w="799" w:type="pct"/>
            <w:vAlign w:val="center"/>
          </w:tcPr>
          <w:p>
            <w:pPr>
              <w:keepNext w:val="0"/>
              <w:keepLines w:val="0"/>
              <w:pageBreakBefore w:val="0"/>
              <w:widowControl/>
              <w:kinsoku/>
              <w:wordWrap/>
              <w:overflowPunct/>
              <w:topLinePunct w:val="0"/>
              <w:autoSpaceDE w:val="0"/>
              <w:autoSpaceDN w:val="0"/>
              <w:bidi w:val="0"/>
              <w:snapToGri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监测项目</w:t>
            </w:r>
          </w:p>
        </w:tc>
        <w:tc>
          <w:tcPr>
            <w:tcW w:w="1090" w:type="pct"/>
            <w:vAlign w:val="center"/>
          </w:tcPr>
          <w:p>
            <w:pPr>
              <w:keepNext w:val="0"/>
              <w:keepLines w:val="0"/>
              <w:pageBreakBefore w:val="0"/>
              <w:widowControl/>
              <w:kinsoku/>
              <w:wordWrap/>
              <w:overflowPunct/>
              <w:topLinePunct w:val="0"/>
              <w:autoSpaceDE w:val="0"/>
              <w:autoSpaceDN w:val="0"/>
              <w:bidi w:val="0"/>
              <w:snapToGri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监测频率</w:t>
            </w:r>
          </w:p>
        </w:tc>
        <w:tc>
          <w:tcPr>
            <w:tcW w:w="1655" w:type="pct"/>
            <w:vAlign w:val="center"/>
          </w:tcPr>
          <w:p>
            <w:pPr>
              <w:keepNext w:val="0"/>
              <w:keepLines w:val="0"/>
              <w:pageBreakBefore w:val="0"/>
              <w:widowControl/>
              <w:kinsoku/>
              <w:wordWrap/>
              <w:overflowPunct/>
              <w:topLinePunct w:val="0"/>
              <w:autoSpaceDE w:val="0"/>
              <w:autoSpaceDN w:val="0"/>
              <w:bidi w:val="0"/>
              <w:snapToGri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4" w:type="pct"/>
            <w:vMerge w:val="restart"/>
            <w:vAlign w:val="center"/>
          </w:tcPr>
          <w:p>
            <w:pPr>
              <w:keepNext w:val="0"/>
              <w:keepLines w:val="0"/>
              <w:pageBreakBefore w:val="0"/>
              <w:widowControl/>
              <w:kinsoku/>
              <w:wordWrap/>
              <w:overflowPunct/>
              <w:topLinePunct w:val="0"/>
              <w:autoSpaceDE w:val="0"/>
              <w:autoSpaceDN w:val="0"/>
              <w:bidi w:val="0"/>
              <w:snapToGrid w:val="0"/>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废气</w:t>
            </w:r>
          </w:p>
        </w:tc>
        <w:tc>
          <w:tcPr>
            <w:tcW w:w="1029" w:type="pct"/>
            <w:vAlign w:val="center"/>
          </w:tcPr>
          <w:p>
            <w:pPr>
              <w:pStyle w:val="50"/>
              <w:snapToGrid w:val="0"/>
              <w:spacing w:beforeLines="0" w:afterLines="0" w:line="240" w:lineRule="auto"/>
              <w:ind w:left="0" w:leftChars="0" w:right="0" w:rightChars="0"/>
              <w:jc w:val="center"/>
              <w:rPr>
                <w:rFonts w:hint="default" w:ascii="Times New Roman" w:hAnsi="Times New Roman" w:eastAsia="宋体" w:cs="Times New Roman"/>
                <w:snapToGrid w:val="0"/>
                <w:color w:val="auto"/>
                <w:kern w:val="0"/>
                <w:sz w:val="21"/>
                <w:szCs w:val="24"/>
                <w:lang w:val="en-US" w:eastAsia="en-US" w:bidi="ar-SA"/>
              </w:rPr>
            </w:pPr>
            <w:r>
              <w:rPr>
                <w:rFonts w:hint="default" w:ascii="Times New Roman" w:hAnsi="Times New Roman" w:eastAsia="宋体" w:cs="Times New Roman"/>
                <w:color w:val="auto"/>
                <w:sz w:val="21"/>
                <w:szCs w:val="24"/>
              </w:rPr>
              <w:t>P1（全厂编号14#）</w:t>
            </w:r>
          </w:p>
        </w:tc>
        <w:tc>
          <w:tcPr>
            <w:tcW w:w="799" w:type="pct"/>
            <w:vAlign w:val="center"/>
          </w:tcPr>
          <w:p>
            <w:pPr>
              <w:pStyle w:val="50"/>
              <w:snapToGrid w:val="0"/>
              <w:spacing w:beforeLines="0" w:afterLines="0" w:line="240" w:lineRule="auto"/>
              <w:ind w:left="0" w:leftChars="0" w:right="0" w:rightChars="0"/>
              <w:jc w:val="center"/>
              <w:rPr>
                <w:rFonts w:hint="default" w:ascii="Times New Roman" w:hAnsi="Times New Roman" w:eastAsia="宋体" w:cs="Times New Roman"/>
                <w:snapToGrid w:val="0"/>
                <w:color w:val="auto"/>
                <w:kern w:val="0"/>
                <w:sz w:val="21"/>
                <w:szCs w:val="24"/>
                <w:lang w:val="en-US" w:eastAsia="en-US" w:bidi="ar-SA"/>
              </w:rPr>
            </w:pPr>
            <w:r>
              <w:rPr>
                <w:rFonts w:hint="default" w:ascii="Times New Roman" w:hAnsi="Times New Roman" w:eastAsia="宋体" w:cs="Times New Roman"/>
                <w:color w:val="auto"/>
                <w:sz w:val="21"/>
                <w:szCs w:val="24"/>
              </w:rPr>
              <w:t>颗粒物</w:t>
            </w:r>
          </w:p>
        </w:tc>
        <w:tc>
          <w:tcPr>
            <w:tcW w:w="1090" w:type="pct"/>
            <w:vMerge w:val="restart"/>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至少半年监测一次，若被列为区域重点排污单位，则至少每季度一次</w:t>
            </w:r>
          </w:p>
        </w:tc>
        <w:tc>
          <w:tcPr>
            <w:tcW w:w="1655" w:type="pct"/>
            <w:vMerge w:val="restart"/>
            <w:vAlign w:val="center"/>
          </w:tcPr>
          <w:p>
            <w:pPr>
              <w:keepNext w:val="0"/>
              <w:keepLines w:val="0"/>
              <w:pageBreakBefore w:val="0"/>
              <w:widowControl/>
              <w:kinsoku/>
              <w:wordWrap/>
              <w:overflowPunct/>
              <w:topLinePunct w:val="0"/>
              <w:autoSpaceDE w:val="0"/>
              <w:autoSpaceDN w:val="0"/>
              <w:bidi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颗粒物执行</w:t>
            </w:r>
            <w:r>
              <w:rPr>
                <w:rFonts w:hint="default" w:ascii="Times New Roman" w:hAnsi="Times New Roman" w:eastAsia="宋体" w:cs="Times New Roman"/>
                <w:color w:val="auto"/>
                <w:sz w:val="21"/>
                <w:szCs w:val="21"/>
              </w:rPr>
              <w:t>《大气污染物综合排放标准》（GB16297-1996）表2二级标准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异丙醇执</w:t>
            </w:r>
            <w:r>
              <w:rPr>
                <w:rFonts w:hint="default" w:ascii="Times New Roman" w:hAnsi="Times New Roman" w:eastAsia="宋体" w:cs="Times New Roman"/>
                <w:color w:val="auto"/>
                <w:sz w:val="21"/>
                <w:szCs w:val="21"/>
                <w:highlight w:val="none"/>
                <w:lang w:val="en-US" w:eastAsia="zh-CN"/>
              </w:rPr>
              <w:t>行</w:t>
            </w:r>
            <w:r>
              <w:rPr>
                <w:rFonts w:hint="default" w:ascii="Times New Roman" w:hAnsi="Times New Roman" w:eastAsia="宋体" w:cs="Times New Roman"/>
                <w:color w:val="auto"/>
                <w:sz w:val="21"/>
                <w:szCs w:val="21"/>
                <w:highlight w:val="none"/>
              </w:rPr>
              <w:t>制定标准</w:t>
            </w:r>
            <w:r>
              <w:rPr>
                <w:rFonts w:hint="default" w:ascii="Times New Roman" w:hAnsi="Times New Roman" w:eastAsia="宋体" w:cs="Times New Roman"/>
                <w:color w:val="auto"/>
                <w:sz w:val="21"/>
                <w:szCs w:val="21"/>
                <w:highlight w:val="none"/>
                <w:vertAlign w:val="superscript"/>
                <w:lang w:val="en-US" w:eastAsia="zh-CN"/>
              </w:rPr>
              <w:t>1</w:t>
            </w:r>
            <w:r>
              <w:rPr>
                <w:rFonts w:hint="default" w:ascii="Times New Roman" w:hAnsi="Times New Roman" w:eastAsia="宋体" w:cs="Times New Roman"/>
                <w:color w:val="auto"/>
                <w:sz w:val="21"/>
                <w:szCs w:val="21"/>
                <w:highlight w:val="none"/>
                <w:lang w:val="en-US" w:eastAsia="zh-CN"/>
              </w:rPr>
              <w:t>；非甲烷总烃执行</w:t>
            </w:r>
            <w:r>
              <w:rPr>
                <w:rFonts w:hint="default" w:ascii="Times New Roman" w:hAnsi="Times New Roman" w:eastAsia="宋体" w:cs="Times New Roman"/>
                <w:color w:val="auto"/>
                <w:sz w:val="21"/>
                <w:szCs w:val="21"/>
                <w:highlight w:val="none"/>
              </w:rPr>
              <w:t>江苏省地方</w:t>
            </w:r>
            <w:r>
              <w:rPr>
                <w:rFonts w:hint="default" w:ascii="Times New Roman" w:hAnsi="Times New Roman" w:eastAsia="宋体" w:cs="Times New Roman"/>
                <w:color w:val="auto"/>
                <w:sz w:val="21"/>
                <w:szCs w:val="21"/>
              </w:rPr>
              <w:t>标准《化学工业挥发性有机物排放标准》（DB32/3151-2016）表1、表2标准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4" w:type="pct"/>
            <w:vMerge w:val="continue"/>
            <w:vAlign w:val="center"/>
          </w:tcPr>
          <w:p>
            <w:pPr>
              <w:keepNext w:val="0"/>
              <w:keepLines w:val="0"/>
              <w:pageBreakBefore w:val="0"/>
              <w:widowControl/>
              <w:kinsoku/>
              <w:wordWrap/>
              <w:overflowPunct/>
              <w:topLinePunct w:val="0"/>
              <w:autoSpaceDE w:val="0"/>
              <w:autoSpaceDN w:val="0"/>
              <w:bidi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1029" w:type="pct"/>
            <w:vAlign w:val="center"/>
          </w:tcPr>
          <w:p>
            <w:pPr>
              <w:pStyle w:val="50"/>
              <w:snapToGrid w:val="0"/>
              <w:spacing w:beforeLines="0" w:afterLines="0" w:line="240" w:lineRule="auto"/>
              <w:ind w:left="0" w:leftChars="0" w:right="0" w:rightChars="0"/>
              <w:jc w:val="center"/>
              <w:rPr>
                <w:rFonts w:hint="default" w:ascii="Times New Roman" w:hAnsi="Times New Roman" w:eastAsia="宋体" w:cs="Times New Roman"/>
                <w:snapToGrid w:val="0"/>
                <w:color w:val="auto"/>
                <w:kern w:val="0"/>
                <w:sz w:val="21"/>
                <w:szCs w:val="24"/>
                <w:lang w:val="en-US" w:eastAsia="en-US" w:bidi="ar-SA"/>
              </w:rPr>
            </w:pPr>
            <w:r>
              <w:rPr>
                <w:rFonts w:hint="default" w:ascii="Times New Roman" w:hAnsi="Times New Roman" w:eastAsia="宋体" w:cs="Times New Roman"/>
                <w:color w:val="auto"/>
                <w:sz w:val="21"/>
                <w:szCs w:val="24"/>
              </w:rPr>
              <w:t>P2（全厂编号15#）</w:t>
            </w:r>
          </w:p>
        </w:tc>
        <w:tc>
          <w:tcPr>
            <w:tcW w:w="799" w:type="pct"/>
            <w:vAlign w:val="center"/>
          </w:tcPr>
          <w:p>
            <w:pPr>
              <w:pStyle w:val="50"/>
              <w:snapToGrid w:val="0"/>
              <w:spacing w:beforeLines="0" w:afterLines="0" w:line="240" w:lineRule="auto"/>
              <w:ind w:left="0" w:leftChars="0" w:right="0" w:rightChars="0"/>
              <w:jc w:val="center"/>
              <w:rPr>
                <w:rFonts w:hint="default" w:ascii="Times New Roman" w:hAnsi="Times New Roman" w:eastAsia="宋体" w:cs="Times New Roman"/>
                <w:snapToGrid w:val="0"/>
                <w:color w:val="auto"/>
                <w:kern w:val="0"/>
                <w:sz w:val="21"/>
                <w:szCs w:val="24"/>
                <w:lang w:val="en-US" w:eastAsia="en-US" w:bidi="ar-SA"/>
              </w:rPr>
            </w:pPr>
            <w:r>
              <w:rPr>
                <w:rFonts w:hint="default" w:ascii="Times New Roman" w:hAnsi="Times New Roman" w:eastAsia="宋体" w:cs="Times New Roman"/>
                <w:color w:val="auto"/>
                <w:sz w:val="21"/>
                <w:szCs w:val="24"/>
              </w:rPr>
              <w:t>异丙醇、非甲烷总烃</w:t>
            </w:r>
          </w:p>
        </w:tc>
        <w:tc>
          <w:tcPr>
            <w:tcW w:w="1090" w:type="pct"/>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1655" w:type="pct"/>
            <w:vMerge w:val="continue"/>
            <w:vAlign w:val="center"/>
          </w:tcPr>
          <w:p>
            <w:pPr>
              <w:keepNext w:val="0"/>
              <w:keepLines w:val="0"/>
              <w:pageBreakBefore w:val="0"/>
              <w:widowControl/>
              <w:kinsoku/>
              <w:wordWrap/>
              <w:overflowPunct/>
              <w:topLinePunct w:val="0"/>
              <w:autoSpaceDE w:val="0"/>
              <w:autoSpaceDN w:val="0"/>
              <w:bidi w:val="0"/>
              <w:snapToGrid w:val="0"/>
              <w:spacing w:line="240" w:lineRule="auto"/>
              <w:jc w:val="center"/>
              <w:textAlignment w:val="auto"/>
              <w:rPr>
                <w:rFonts w:hint="default"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4" w:type="pct"/>
            <w:vMerge w:val="continue"/>
            <w:vAlign w:val="center"/>
          </w:tcPr>
          <w:p>
            <w:pPr>
              <w:keepNext w:val="0"/>
              <w:keepLines w:val="0"/>
              <w:pageBreakBefore w:val="0"/>
              <w:widowControl/>
              <w:kinsoku/>
              <w:wordWrap/>
              <w:overflowPunct/>
              <w:topLinePunct w:val="0"/>
              <w:autoSpaceDE w:val="0"/>
              <w:autoSpaceDN w:val="0"/>
              <w:bidi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1029" w:type="pct"/>
            <w:vAlign w:val="center"/>
          </w:tcPr>
          <w:p>
            <w:pPr>
              <w:pStyle w:val="50"/>
              <w:snapToGrid w:val="0"/>
              <w:spacing w:beforeLines="0" w:afterLines="0" w:line="240" w:lineRule="auto"/>
              <w:jc w:val="center"/>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rPr>
              <w:t>厂界无组织监控</w:t>
            </w:r>
          </w:p>
          <w:p>
            <w:pPr>
              <w:pStyle w:val="50"/>
              <w:snapToGrid w:val="0"/>
              <w:spacing w:beforeLines="0" w:afterLines="0" w:line="240" w:lineRule="auto"/>
              <w:ind w:left="0" w:leftChars="0" w:right="0" w:rightChars="0"/>
              <w:jc w:val="center"/>
              <w:rPr>
                <w:rFonts w:hint="default" w:ascii="Times New Roman" w:hAnsi="Times New Roman" w:eastAsia="宋体" w:cs="Times New Roman"/>
                <w:snapToGrid w:val="0"/>
                <w:color w:val="auto"/>
                <w:kern w:val="0"/>
                <w:sz w:val="21"/>
                <w:szCs w:val="24"/>
                <w:lang w:val="en-US" w:eastAsia="en-US" w:bidi="ar-SA"/>
              </w:rPr>
            </w:pPr>
            <w:r>
              <w:rPr>
                <w:rFonts w:hint="default" w:ascii="Times New Roman" w:hAnsi="Times New Roman" w:eastAsia="宋体" w:cs="Times New Roman"/>
                <w:color w:val="auto"/>
                <w:sz w:val="21"/>
                <w:szCs w:val="24"/>
              </w:rPr>
              <w:t>（上风向1个、下风向3个）</w:t>
            </w:r>
          </w:p>
        </w:tc>
        <w:tc>
          <w:tcPr>
            <w:tcW w:w="799" w:type="pct"/>
            <w:vAlign w:val="center"/>
          </w:tcPr>
          <w:p>
            <w:pPr>
              <w:pStyle w:val="50"/>
              <w:snapToGrid w:val="0"/>
              <w:spacing w:beforeLines="0" w:afterLines="0" w:line="240" w:lineRule="auto"/>
              <w:ind w:left="0" w:leftChars="0" w:right="0" w:rightChars="0"/>
              <w:jc w:val="center"/>
              <w:rPr>
                <w:rFonts w:hint="default" w:ascii="Times New Roman" w:hAnsi="Times New Roman" w:eastAsia="宋体" w:cs="Times New Roman"/>
                <w:snapToGrid w:val="0"/>
                <w:color w:val="auto"/>
                <w:kern w:val="0"/>
                <w:sz w:val="21"/>
                <w:szCs w:val="24"/>
                <w:lang w:val="en-US" w:eastAsia="en-US" w:bidi="ar-SA"/>
              </w:rPr>
            </w:pPr>
            <w:r>
              <w:rPr>
                <w:rFonts w:hint="default" w:ascii="Times New Roman" w:hAnsi="Times New Roman" w:eastAsia="宋体" w:cs="Times New Roman"/>
                <w:color w:val="auto"/>
                <w:sz w:val="21"/>
                <w:szCs w:val="24"/>
              </w:rPr>
              <w:t>颗粒物、非甲烷总烃</w:t>
            </w:r>
          </w:p>
        </w:tc>
        <w:tc>
          <w:tcPr>
            <w:tcW w:w="1090" w:type="pct"/>
            <w:vMerge w:val="restart"/>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至少一年监测一次</w:t>
            </w:r>
          </w:p>
        </w:tc>
        <w:tc>
          <w:tcPr>
            <w:tcW w:w="1655" w:type="pct"/>
            <w:vMerge w:val="continue"/>
            <w:vAlign w:val="center"/>
          </w:tcPr>
          <w:p>
            <w:pPr>
              <w:keepNext w:val="0"/>
              <w:keepLines w:val="0"/>
              <w:pageBreakBefore w:val="0"/>
              <w:widowControl/>
              <w:kinsoku/>
              <w:wordWrap/>
              <w:overflowPunct/>
              <w:topLinePunct w:val="0"/>
              <w:autoSpaceDE w:val="0"/>
              <w:autoSpaceDN w:val="0"/>
              <w:bidi w:val="0"/>
              <w:snapToGrid w:val="0"/>
              <w:spacing w:line="240" w:lineRule="auto"/>
              <w:jc w:val="center"/>
              <w:textAlignment w:val="auto"/>
              <w:rPr>
                <w:rFonts w:hint="default"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4" w:type="pct"/>
            <w:vMerge w:val="continue"/>
            <w:vAlign w:val="center"/>
          </w:tcPr>
          <w:p>
            <w:pPr>
              <w:keepNext w:val="0"/>
              <w:keepLines w:val="0"/>
              <w:pageBreakBefore w:val="0"/>
              <w:widowControl/>
              <w:kinsoku/>
              <w:wordWrap/>
              <w:overflowPunct/>
              <w:topLinePunct w:val="0"/>
              <w:autoSpaceDE w:val="0"/>
              <w:autoSpaceDN w:val="0"/>
              <w:bidi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1029" w:type="pct"/>
            <w:vAlign w:val="center"/>
          </w:tcPr>
          <w:p>
            <w:pPr>
              <w:pStyle w:val="50"/>
              <w:snapToGrid w:val="0"/>
              <w:spacing w:beforeLines="0" w:afterLines="0" w:line="240" w:lineRule="auto"/>
              <w:ind w:left="0" w:leftChars="0" w:right="0" w:rightChars="0"/>
              <w:jc w:val="center"/>
              <w:rPr>
                <w:rFonts w:hint="default" w:ascii="Times New Roman" w:hAnsi="Times New Roman" w:eastAsia="宋体" w:cs="Times New Roman"/>
                <w:snapToGrid w:val="0"/>
                <w:color w:val="auto"/>
                <w:kern w:val="0"/>
                <w:sz w:val="21"/>
                <w:szCs w:val="24"/>
                <w:lang w:val="en-US" w:eastAsia="en-US" w:bidi="ar-SA"/>
              </w:rPr>
            </w:pPr>
            <w:r>
              <w:rPr>
                <w:rFonts w:hint="default" w:ascii="Times New Roman" w:hAnsi="Times New Roman" w:eastAsia="宋体" w:cs="Times New Roman"/>
                <w:color w:val="auto"/>
                <w:sz w:val="21"/>
                <w:szCs w:val="24"/>
              </w:rPr>
              <w:t>监测期间的下风向环境敏感目标</w:t>
            </w:r>
          </w:p>
        </w:tc>
        <w:tc>
          <w:tcPr>
            <w:tcW w:w="799" w:type="pct"/>
            <w:vAlign w:val="center"/>
          </w:tcPr>
          <w:p>
            <w:pPr>
              <w:pStyle w:val="50"/>
              <w:snapToGrid w:val="0"/>
              <w:spacing w:beforeLines="0" w:afterLines="0" w:line="240" w:lineRule="auto"/>
              <w:ind w:left="0" w:leftChars="0" w:right="0" w:rightChars="0"/>
              <w:jc w:val="center"/>
              <w:rPr>
                <w:rFonts w:hint="default" w:ascii="Times New Roman" w:hAnsi="Times New Roman" w:eastAsia="宋体" w:cs="Times New Roman"/>
                <w:snapToGrid w:val="0"/>
                <w:color w:val="auto"/>
                <w:kern w:val="0"/>
                <w:sz w:val="21"/>
                <w:szCs w:val="24"/>
                <w:lang w:val="en-US" w:eastAsia="en-US" w:bidi="ar-SA"/>
              </w:rPr>
            </w:pPr>
            <w:r>
              <w:rPr>
                <w:rFonts w:hint="default" w:ascii="Times New Roman" w:hAnsi="Times New Roman" w:eastAsia="宋体" w:cs="Times New Roman"/>
                <w:color w:val="auto"/>
                <w:sz w:val="21"/>
                <w:szCs w:val="24"/>
              </w:rPr>
              <w:t>PM</w:t>
            </w:r>
            <w:r>
              <w:rPr>
                <w:rFonts w:hint="default" w:ascii="Times New Roman" w:hAnsi="Times New Roman" w:eastAsia="宋体" w:cs="Times New Roman"/>
                <w:color w:val="auto"/>
                <w:sz w:val="21"/>
                <w:szCs w:val="24"/>
                <w:vertAlign w:val="subscript"/>
              </w:rPr>
              <w:t>10</w:t>
            </w:r>
            <w:r>
              <w:rPr>
                <w:rFonts w:hint="default" w:ascii="Times New Roman" w:hAnsi="Times New Roman" w:eastAsia="宋体" w:cs="Times New Roman"/>
                <w:color w:val="auto"/>
                <w:sz w:val="21"/>
                <w:szCs w:val="24"/>
              </w:rPr>
              <w:t>、非甲烷总烃</w:t>
            </w:r>
          </w:p>
        </w:tc>
        <w:tc>
          <w:tcPr>
            <w:tcW w:w="1090" w:type="pct"/>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p>
        </w:tc>
        <w:tc>
          <w:tcPr>
            <w:tcW w:w="1655" w:type="pct"/>
            <w:vMerge w:val="continue"/>
            <w:vAlign w:val="center"/>
          </w:tcPr>
          <w:p>
            <w:pPr>
              <w:keepNext w:val="0"/>
              <w:keepLines w:val="0"/>
              <w:pageBreakBefore w:val="0"/>
              <w:widowControl/>
              <w:kinsoku/>
              <w:wordWrap/>
              <w:overflowPunct/>
              <w:topLinePunct w:val="0"/>
              <w:autoSpaceDE w:val="0"/>
              <w:autoSpaceDN w:val="0"/>
              <w:bidi w:val="0"/>
              <w:snapToGrid w:val="0"/>
              <w:spacing w:line="240" w:lineRule="auto"/>
              <w:jc w:val="center"/>
              <w:textAlignment w:val="auto"/>
              <w:rPr>
                <w:rFonts w:hint="default" w:ascii="Times New Roman" w:hAnsi="Times New Roman" w:eastAsia="宋体" w:cs="Times New Roman"/>
                <w:color w:val="auto"/>
                <w:kern w:val="0"/>
                <w:sz w:val="21"/>
                <w:szCs w:val="21"/>
              </w:rPr>
            </w:pPr>
          </w:p>
        </w:tc>
      </w:tr>
    </w:tbl>
    <w:p>
      <w:pPr>
        <w:spacing w:line="240" w:lineRule="auto"/>
        <w:rPr>
          <w:rFonts w:hint="default" w:ascii="Times New Roman" w:hAnsi="Times New Roman" w:eastAsia="宋体" w:cs="Times New Roman"/>
          <w:color w:val="auto"/>
          <w:sz w:val="21"/>
          <w:szCs w:val="21"/>
        </w:rPr>
      </w:pPr>
    </w:p>
    <w:p>
      <w:pPr>
        <w:pStyle w:val="2"/>
        <w:keepNext w:val="0"/>
        <w:keepLines w:val="0"/>
        <w:pageBreakBefore w:val="0"/>
        <w:widowControl w:val="0"/>
        <w:kinsoku/>
        <w:wordWrap/>
        <w:overflowPunct/>
        <w:topLinePunct w:val="0"/>
        <w:autoSpaceDE w:val="0"/>
        <w:autoSpaceDN w:val="0"/>
        <w:bidi w:val="0"/>
        <w:adjustRightInd w:val="0"/>
        <w:snapToGrid/>
        <w:spacing w:line="360" w:lineRule="auto"/>
        <w:textAlignment w:val="auto"/>
        <w:outlineLvl w:val="9"/>
        <w:rPr>
          <w:rFonts w:hint="default" w:ascii="Times New Roman" w:hAnsi="Times New Roman" w:eastAsia="宋体" w:cs="Times New Roman"/>
          <w:color w:val="auto"/>
          <w:sz w:val="28"/>
          <w:szCs w:val="28"/>
          <w:lang w:val="en-US" w:eastAsia="zh-CN"/>
        </w:rPr>
        <w:sectPr>
          <w:pgSz w:w="11911" w:h="16838"/>
          <w:pgMar w:top="1463" w:right="1678" w:bottom="1463" w:left="1678" w:header="907" w:footer="884" w:gutter="0"/>
          <w:pgBorders>
            <w:top w:val="none" w:sz="0" w:space="0"/>
            <w:left w:val="none" w:sz="0" w:space="0"/>
            <w:bottom w:val="none" w:sz="0" w:space="0"/>
            <w:right w:val="none" w:sz="0" w:space="0"/>
          </w:pgBorders>
          <w:pgNumType w:fmt="decimal"/>
          <w:cols w:space="0" w:num="1"/>
          <w:rtlGutter w:val="0"/>
          <w:docGrid w:type="lines" w:linePitch="0" w:charSpace="0"/>
        </w:sectPr>
      </w:pPr>
    </w:p>
    <w:p>
      <w:pPr>
        <w:pStyle w:val="4"/>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textAlignment w:val="auto"/>
        <w:rPr>
          <w:rFonts w:hint="default" w:ascii="Times New Roman" w:hAnsi="Times New Roman" w:eastAsia="宋体" w:cs="Times New Roman"/>
          <w:color w:val="auto"/>
          <w:sz w:val="28"/>
          <w:szCs w:val="28"/>
          <w:lang w:val="en-US" w:eastAsia="zh-CN"/>
        </w:rPr>
      </w:pPr>
      <w:bookmarkStart w:id="43" w:name="_Toc1143"/>
      <w:bookmarkStart w:id="44" w:name="_Toc25399"/>
      <w:r>
        <w:rPr>
          <w:rFonts w:hint="default" w:ascii="Times New Roman" w:hAnsi="Times New Roman" w:eastAsia="宋体" w:cs="Times New Roman"/>
          <w:color w:val="auto"/>
          <w:sz w:val="28"/>
          <w:szCs w:val="28"/>
          <w:lang w:val="en-US" w:eastAsia="zh-CN"/>
        </w:rPr>
        <w:t>4.3 环保设施投资及“三同时”落实情况</w:t>
      </w:r>
      <w:bookmarkEnd w:id="43"/>
      <w:bookmarkEnd w:id="44"/>
    </w:p>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rPr>
      </w:pPr>
      <w:bookmarkStart w:id="45" w:name="_Toc17852"/>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 xml:space="preserve">4.3-1 </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本</w:t>
      </w:r>
      <w:r>
        <w:rPr>
          <w:rFonts w:hint="default" w:ascii="Times New Roman" w:hAnsi="Times New Roman" w:eastAsia="宋体" w:cs="Times New Roman"/>
          <w:b/>
          <w:bCs/>
          <w:color w:val="auto"/>
          <w:sz w:val="24"/>
          <w:szCs w:val="24"/>
        </w:rPr>
        <w:t>项目污染防治措施和投资</w:t>
      </w:r>
    </w:p>
    <w:tbl>
      <w:tblPr>
        <w:tblStyle w:val="8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2"/>
        <w:gridCol w:w="2037"/>
        <w:gridCol w:w="1345"/>
        <w:gridCol w:w="2616"/>
        <w:gridCol w:w="2837"/>
        <w:gridCol w:w="1079"/>
        <w:gridCol w:w="1424"/>
        <w:gridCol w:w="1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 w:type="pct"/>
            <w:shd w:val="clear" w:color="auto" w:fill="auto"/>
            <w:vAlign w:val="center"/>
          </w:tcPr>
          <w:p>
            <w:pPr>
              <w:adjustRightInd w:val="0"/>
              <w:snapToGrid w:val="0"/>
              <w:spacing w:line="240" w:lineRule="auto"/>
              <w:jc w:val="center"/>
              <w:rPr>
                <w:rFonts w:hint="default" w:ascii="Times New Roman" w:hAnsi="Times New Roman" w:eastAsia="宋体" w:cs="Times New Roman"/>
                <w:b/>
                <w:color w:val="auto"/>
                <w:kern w:val="0"/>
                <w:sz w:val="21"/>
                <w:szCs w:val="21"/>
              </w:rPr>
            </w:pPr>
            <w:bookmarkStart w:id="46" w:name="_Hlk527645027"/>
            <w:r>
              <w:rPr>
                <w:rFonts w:hint="default" w:ascii="Times New Roman" w:hAnsi="Times New Roman" w:eastAsia="宋体" w:cs="Times New Roman"/>
                <w:b/>
                <w:color w:val="auto"/>
                <w:kern w:val="0"/>
                <w:sz w:val="21"/>
                <w:szCs w:val="21"/>
              </w:rPr>
              <w:t>类别</w:t>
            </w:r>
          </w:p>
        </w:tc>
        <w:tc>
          <w:tcPr>
            <w:tcW w:w="721" w:type="pct"/>
            <w:shd w:val="clear" w:color="auto" w:fill="auto"/>
            <w:vAlign w:val="center"/>
          </w:tcPr>
          <w:p>
            <w:pPr>
              <w:adjustRightInd w:val="0"/>
              <w:snapToGrid w:val="0"/>
              <w:spacing w:line="240" w:lineRule="auto"/>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污染源</w:t>
            </w:r>
          </w:p>
        </w:tc>
        <w:tc>
          <w:tcPr>
            <w:tcW w:w="476" w:type="pct"/>
            <w:shd w:val="clear" w:color="auto" w:fill="auto"/>
            <w:vAlign w:val="center"/>
          </w:tcPr>
          <w:p>
            <w:pPr>
              <w:adjustRightInd w:val="0"/>
              <w:snapToGrid w:val="0"/>
              <w:spacing w:line="240" w:lineRule="auto"/>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污染物</w:t>
            </w:r>
          </w:p>
        </w:tc>
        <w:tc>
          <w:tcPr>
            <w:tcW w:w="925" w:type="pct"/>
            <w:shd w:val="clear" w:color="auto" w:fill="auto"/>
            <w:vAlign w:val="center"/>
          </w:tcPr>
          <w:p>
            <w:pPr>
              <w:adjustRightInd w:val="0"/>
              <w:snapToGrid w:val="0"/>
              <w:spacing w:line="240" w:lineRule="auto"/>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治理措施（设施数量、规模、处理能力等）</w:t>
            </w:r>
          </w:p>
        </w:tc>
        <w:tc>
          <w:tcPr>
            <w:tcW w:w="1004" w:type="pct"/>
            <w:shd w:val="clear" w:color="auto" w:fill="auto"/>
            <w:vAlign w:val="center"/>
          </w:tcPr>
          <w:p>
            <w:pPr>
              <w:adjustRightInd w:val="0"/>
              <w:snapToGrid w:val="0"/>
              <w:spacing w:line="240" w:lineRule="auto"/>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处理效果、执行标准或拟达要求</w:t>
            </w:r>
          </w:p>
        </w:tc>
        <w:tc>
          <w:tcPr>
            <w:tcW w:w="382" w:type="pct"/>
            <w:shd w:val="clear" w:color="auto" w:fill="auto"/>
            <w:vAlign w:val="center"/>
          </w:tcPr>
          <w:p>
            <w:pPr>
              <w:adjustRightInd w:val="0"/>
              <w:snapToGrid w:val="0"/>
              <w:spacing w:line="240" w:lineRule="auto"/>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完成</w:t>
            </w:r>
          </w:p>
          <w:p>
            <w:pPr>
              <w:adjustRightInd w:val="0"/>
              <w:snapToGrid w:val="0"/>
              <w:spacing w:line="240" w:lineRule="auto"/>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时间</w:t>
            </w:r>
          </w:p>
        </w:tc>
        <w:tc>
          <w:tcPr>
            <w:tcW w:w="504" w:type="pct"/>
            <w:shd w:val="clear" w:color="auto" w:fill="auto"/>
            <w:vAlign w:val="center"/>
          </w:tcPr>
          <w:p>
            <w:pPr>
              <w:adjustRightInd w:val="0"/>
              <w:snapToGrid w:val="0"/>
              <w:spacing w:line="240" w:lineRule="auto"/>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环保投资（万元）</w:t>
            </w:r>
          </w:p>
        </w:tc>
        <w:tc>
          <w:tcPr>
            <w:tcW w:w="485" w:type="pct"/>
            <w:shd w:val="clear" w:color="auto" w:fill="auto"/>
            <w:vAlign w:val="center"/>
          </w:tcPr>
          <w:p>
            <w:pPr>
              <w:adjustRightInd w:val="0"/>
              <w:snapToGrid w:val="0"/>
              <w:spacing w:line="240" w:lineRule="auto"/>
              <w:jc w:val="center"/>
              <w:rPr>
                <w:rFonts w:hint="default" w:ascii="Times New Roman" w:hAnsi="Times New Roman" w:eastAsia="宋体" w:cs="Times New Roman"/>
                <w:b/>
                <w:color w:val="auto"/>
                <w:kern w:val="0"/>
                <w:sz w:val="21"/>
                <w:szCs w:val="21"/>
                <w:lang w:eastAsia="zh-CN"/>
              </w:rPr>
            </w:pPr>
            <w:r>
              <w:rPr>
                <w:rFonts w:hint="default" w:ascii="Times New Roman" w:hAnsi="Times New Roman" w:eastAsia="宋体" w:cs="Times New Roman"/>
                <w:b/>
                <w:color w:val="auto"/>
                <w:kern w:val="0"/>
                <w:sz w:val="21"/>
                <w:szCs w:val="21"/>
                <w:lang w:eastAsia="zh-CN"/>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 w:type="pct"/>
            <w:vMerge w:val="restar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废气</w:t>
            </w:r>
          </w:p>
        </w:tc>
        <w:tc>
          <w:tcPr>
            <w:tcW w:w="721" w:type="pct"/>
            <w:shd w:val="clear" w:color="auto" w:fill="auto"/>
            <w:vAlign w:val="center"/>
          </w:tcPr>
          <w:p>
            <w:pPr>
              <w:spacing w:beforeLines="0" w:afterLines="0" w:line="240" w:lineRule="auto"/>
              <w:ind w:left="-4" w:leftChars="-9" w:right="-24" w:rightChars="-10" w:hanging="18" w:hangingChars="9"/>
              <w:jc w:val="center"/>
              <w:rPr>
                <w:rFonts w:hint="default" w:ascii="Times New Roman" w:hAnsi="Times New Roman" w:eastAsia="宋体" w:cs="Times New Roman"/>
                <w:color w:val="auto"/>
                <w:sz w:val="21"/>
                <w:szCs w:val="24"/>
                <w:lang w:val="en-US" w:eastAsia="zh-CN" w:bidi="ar-SA"/>
              </w:rPr>
            </w:pPr>
            <w:r>
              <w:rPr>
                <w:rFonts w:hint="default" w:ascii="Times New Roman" w:hAnsi="Times New Roman" w:eastAsia="宋体" w:cs="Times New Roman"/>
                <w:color w:val="auto"/>
                <w:sz w:val="21"/>
                <w:szCs w:val="24"/>
              </w:rPr>
              <w:t xml:space="preserve">投料粉尘 </w:t>
            </w:r>
          </w:p>
        </w:tc>
        <w:tc>
          <w:tcPr>
            <w:tcW w:w="476" w:type="pct"/>
            <w:shd w:val="clear" w:color="auto" w:fill="auto"/>
            <w:vAlign w:val="center"/>
          </w:tcPr>
          <w:p>
            <w:pPr>
              <w:spacing w:beforeLines="0" w:afterLines="0" w:line="240" w:lineRule="auto"/>
              <w:ind w:left="0" w:leftChars="0" w:right="0" w:rightChars="0"/>
              <w:jc w:val="center"/>
              <w:rPr>
                <w:rFonts w:hint="default" w:ascii="Times New Roman" w:hAnsi="Times New Roman" w:eastAsia="宋体" w:cs="Times New Roman"/>
                <w:color w:val="auto"/>
                <w:sz w:val="21"/>
                <w:szCs w:val="24"/>
                <w:lang w:val="en-US" w:eastAsia="zh-CN" w:bidi="ar-SA"/>
              </w:rPr>
            </w:pPr>
            <w:r>
              <w:rPr>
                <w:rFonts w:hint="default" w:ascii="Times New Roman" w:hAnsi="Times New Roman" w:eastAsia="宋体" w:cs="Times New Roman"/>
                <w:color w:val="auto"/>
                <w:sz w:val="21"/>
                <w:szCs w:val="24"/>
              </w:rPr>
              <w:t>粉尘</w:t>
            </w:r>
          </w:p>
        </w:tc>
        <w:tc>
          <w:tcPr>
            <w:tcW w:w="925" w:type="pct"/>
            <w:shd w:val="clear" w:color="auto" w:fill="auto"/>
            <w:vAlign w:val="center"/>
          </w:tcPr>
          <w:p>
            <w:pPr>
              <w:snapToGrid w:val="0"/>
              <w:spacing w:beforeLines="0" w:afterLines="0" w:line="240" w:lineRule="auto"/>
              <w:jc w:val="center"/>
              <w:rPr>
                <w:rFonts w:hint="default" w:ascii="Times New Roman" w:hAnsi="Times New Roman" w:eastAsia="宋体" w:cs="Times New Roman"/>
                <w:color w:val="auto"/>
                <w:sz w:val="21"/>
                <w:szCs w:val="24"/>
                <w:lang w:val="en-US" w:eastAsia="zh-CN" w:bidi="ar-SA"/>
              </w:rPr>
            </w:pPr>
            <w:r>
              <w:rPr>
                <w:rFonts w:hint="default" w:ascii="Times New Roman" w:hAnsi="Times New Roman" w:eastAsia="宋体" w:cs="Times New Roman"/>
                <w:color w:val="auto"/>
                <w:sz w:val="21"/>
                <w:szCs w:val="24"/>
              </w:rPr>
              <w:t>1套布袋除尘器15m排气筒</w:t>
            </w:r>
          </w:p>
        </w:tc>
        <w:tc>
          <w:tcPr>
            <w:tcW w:w="1004" w:type="pc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《合成树脂工业污染物排放标准》（DB 31572-2015）表5标准</w:t>
            </w:r>
          </w:p>
        </w:tc>
        <w:tc>
          <w:tcPr>
            <w:tcW w:w="382" w:type="pc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与建设项目同步</w:t>
            </w:r>
          </w:p>
        </w:tc>
        <w:tc>
          <w:tcPr>
            <w:tcW w:w="504" w:type="pct"/>
            <w:vMerge w:val="restar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180</w:t>
            </w:r>
          </w:p>
        </w:tc>
        <w:tc>
          <w:tcPr>
            <w:tcW w:w="485" w:type="pc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已完成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500" w:type="pct"/>
            <w:vMerge w:val="continue"/>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p>
        </w:tc>
        <w:tc>
          <w:tcPr>
            <w:tcW w:w="721" w:type="pct"/>
            <w:shd w:val="clear" w:color="auto" w:fill="auto"/>
            <w:vAlign w:val="center"/>
          </w:tcPr>
          <w:p>
            <w:pPr>
              <w:spacing w:beforeLines="0" w:afterLines="0" w:line="240" w:lineRule="auto"/>
              <w:ind w:left="-4" w:leftChars="-9" w:right="-24" w:rightChars="-10" w:hanging="18" w:hangingChars="9"/>
              <w:jc w:val="center"/>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rPr>
              <w:t>甲类装置区</w:t>
            </w:r>
          </w:p>
          <w:p>
            <w:pPr>
              <w:spacing w:beforeLines="0" w:afterLines="0" w:line="240" w:lineRule="auto"/>
              <w:ind w:left="-4" w:leftChars="-9" w:right="-24" w:rightChars="-10" w:hanging="18" w:hangingChars="9"/>
              <w:jc w:val="center"/>
              <w:rPr>
                <w:rFonts w:hint="default" w:ascii="Times New Roman" w:hAnsi="Times New Roman" w:eastAsia="宋体" w:cs="Times New Roman"/>
                <w:color w:val="auto"/>
                <w:sz w:val="21"/>
                <w:szCs w:val="24"/>
                <w:lang w:val="en-US" w:eastAsia="zh-CN" w:bidi="ar-SA"/>
              </w:rPr>
            </w:pPr>
            <w:r>
              <w:rPr>
                <w:rFonts w:hint="default" w:ascii="Times New Roman" w:hAnsi="Times New Roman" w:eastAsia="宋体" w:cs="Times New Roman"/>
                <w:color w:val="auto"/>
                <w:sz w:val="21"/>
                <w:szCs w:val="24"/>
              </w:rPr>
              <w:t>清釜及工艺废气</w:t>
            </w:r>
          </w:p>
        </w:tc>
        <w:tc>
          <w:tcPr>
            <w:tcW w:w="476" w:type="pct"/>
            <w:shd w:val="clear" w:color="auto" w:fill="auto"/>
            <w:vAlign w:val="center"/>
          </w:tcPr>
          <w:p>
            <w:pPr>
              <w:spacing w:beforeLines="0" w:afterLines="0" w:line="240" w:lineRule="auto"/>
              <w:ind w:left="0" w:leftChars="0" w:right="0" w:rightChars="0"/>
              <w:jc w:val="center"/>
              <w:rPr>
                <w:rFonts w:hint="default" w:ascii="Times New Roman" w:hAnsi="Times New Roman" w:eastAsia="宋体" w:cs="Times New Roman"/>
                <w:color w:val="auto"/>
                <w:sz w:val="21"/>
                <w:szCs w:val="24"/>
                <w:lang w:val="en-US" w:eastAsia="zh-CN" w:bidi="ar-SA"/>
              </w:rPr>
            </w:pPr>
            <w:r>
              <w:rPr>
                <w:rFonts w:hint="default" w:ascii="Times New Roman" w:hAnsi="Times New Roman" w:eastAsia="宋体" w:cs="Times New Roman"/>
                <w:color w:val="auto"/>
                <w:sz w:val="21"/>
                <w:szCs w:val="24"/>
              </w:rPr>
              <w:t>异丙醇、非甲烷总烃</w:t>
            </w:r>
          </w:p>
        </w:tc>
        <w:tc>
          <w:tcPr>
            <w:tcW w:w="925" w:type="pct"/>
            <w:shd w:val="clear" w:color="auto" w:fill="auto"/>
            <w:vAlign w:val="center"/>
          </w:tcPr>
          <w:p>
            <w:pPr>
              <w:snapToGrid w:val="0"/>
              <w:spacing w:beforeLines="0" w:afterLines="0" w:line="240" w:lineRule="auto"/>
              <w:jc w:val="center"/>
              <w:rPr>
                <w:rFonts w:hint="default" w:ascii="Times New Roman" w:hAnsi="Times New Roman" w:eastAsia="宋体" w:cs="Times New Roman"/>
                <w:color w:val="auto"/>
                <w:sz w:val="21"/>
                <w:szCs w:val="24"/>
                <w:lang w:val="en-US" w:eastAsia="en-US" w:bidi="ar-SA"/>
              </w:rPr>
            </w:pPr>
            <w:r>
              <w:rPr>
                <w:rFonts w:hint="default" w:ascii="Times New Roman" w:hAnsi="Times New Roman" w:eastAsia="宋体" w:cs="Times New Roman"/>
                <w:color w:val="auto"/>
                <w:sz w:val="21"/>
                <w:szCs w:val="24"/>
              </w:rPr>
              <w:t>多级冷凝+热井吸收+活性炭吸附15m排气筒</w:t>
            </w:r>
          </w:p>
        </w:tc>
        <w:tc>
          <w:tcPr>
            <w:tcW w:w="1004" w:type="pct"/>
            <w:vMerge w:val="restar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非甲烷总烃执行《合成树脂工业污染物排放标准》（DB 31572-2015）表5标准；异丙醇执行制定标准</w:t>
            </w:r>
          </w:p>
        </w:tc>
        <w:tc>
          <w:tcPr>
            <w:tcW w:w="382" w:type="pc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与建设项目同步</w:t>
            </w:r>
          </w:p>
        </w:tc>
        <w:tc>
          <w:tcPr>
            <w:tcW w:w="504" w:type="pct"/>
            <w:vMerge w:val="continue"/>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p>
        </w:tc>
        <w:tc>
          <w:tcPr>
            <w:tcW w:w="485" w:type="pc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已完成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 w:type="pct"/>
            <w:vMerge w:val="continue"/>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p>
        </w:tc>
        <w:tc>
          <w:tcPr>
            <w:tcW w:w="721" w:type="pct"/>
            <w:shd w:val="clear" w:color="auto" w:fill="auto"/>
            <w:vAlign w:val="center"/>
          </w:tcPr>
          <w:p>
            <w:pPr>
              <w:spacing w:beforeLines="0" w:afterLines="0" w:line="240" w:lineRule="auto"/>
              <w:ind w:left="-4" w:leftChars="-9" w:right="-24" w:rightChars="-10" w:hanging="18" w:hangingChars="9"/>
              <w:jc w:val="center"/>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rPr>
              <w:t>丙类装置区</w:t>
            </w:r>
          </w:p>
          <w:p>
            <w:pPr>
              <w:spacing w:beforeLines="0" w:afterLines="0" w:line="240" w:lineRule="auto"/>
              <w:ind w:left="-4" w:leftChars="-9" w:right="-24" w:rightChars="-10" w:hanging="18" w:hangingChars="9"/>
              <w:jc w:val="center"/>
              <w:rPr>
                <w:rFonts w:hint="default" w:ascii="Times New Roman" w:hAnsi="Times New Roman" w:eastAsia="宋体" w:cs="Times New Roman"/>
                <w:color w:val="auto"/>
                <w:sz w:val="21"/>
                <w:szCs w:val="24"/>
                <w:lang w:val="en-US" w:eastAsia="zh-CN" w:bidi="ar-SA"/>
              </w:rPr>
            </w:pPr>
            <w:r>
              <w:rPr>
                <w:rFonts w:hint="default" w:ascii="Times New Roman" w:hAnsi="Times New Roman" w:eastAsia="宋体" w:cs="Times New Roman"/>
                <w:color w:val="auto"/>
                <w:sz w:val="21"/>
                <w:szCs w:val="24"/>
              </w:rPr>
              <w:t>清釜及工艺废气</w:t>
            </w:r>
          </w:p>
        </w:tc>
        <w:tc>
          <w:tcPr>
            <w:tcW w:w="476" w:type="pct"/>
            <w:shd w:val="clear" w:color="auto" w:fill="auto"/>
            <w:vAlign w:val="center"/>
          </w:tcPr>
          <w:p>
            <w:pPr>
              <w:spacing w:beforeLines="0" w:afterLines="0" w:line="240" w:lineRule="auto"/>
              <w:ind w:left="0" w:leftChars="0" w:right="0" w:rightChars="0"/>
              <w:jc w:val="center"/>
              <w:rPr>
                <w:rFonts w:hint="default" w:ascii="Times New Roman" w:hAnsi="Times New Roman" w:eastAsia="宋体" w:cs="Times New Roman"/>
                <w:color w:val="auto"/>
                <w:sz w:val="21"/>
                <w:szCs w:val="24"/>
                <w:lang w:val="en-US" w:eastAsia="zh-CN" w:bidi="ar-SA"/>
              </w:rPr>
            </w:pPr>
            <w:r>
              <w:rPr>
                <w:rFonts w:hint="default" w:ascii="Times New Roman" w:hAnsi="Times New Roman" w:eastAsia="宋体" w:cs="Times New Roman"/>
                <w:color w:val="auto"/>
                <w:sz w:val="21"/>
                <w:szCs w:val="24"/>
              </w:rPr>
              <w:t>非甲烷总烃</w:t>
            </w:r>
          </w:p>
        </w:tc>
        <w:tc>
          <w:tcPr>
            <w:tcW w:w="925" w:type="pct"/>
            <w:shd w:val="clear" w:color="auto" w:fill="auto"/>
            <w:vAlign w:val="center"/>
          </w:tcPr>
          <w:p>
            <w:pPr>
              <w:snapToGrid w:val="0"/>
              <w:spacing w:beforeLines="0" w:afterLines="0" w:line="240" w:lineRule="auto"/>
              <w:jc w:val="center"/>
              <w:rPr>
                <w:rFonts w:hint="default" w:ascii="Times New Roman" w:hAnsi="Times New Roman" w:eastAsia="宋体" w:cs="Times New Roman"/>
                <w:color w:val="auto"/>
                <w:sz w:val="21"/>
                <w:szCs w:val="24"/>
                <w:lang w:val="en-US" w:eastAsia="en-US" w:bidi="ar-SA"/>
              </w:rPr>
            </w:pPr>
            <w:r>
              <w:rPr>
                <w:rFonts w:hint="default" w:ascii="Times New Roman" w:hAnsi="Times New Roman" w:eastAsia="宋体" w:cs="Times New Roman"/>
                <w:color w:val="auto"/>
                <w:sz w:val="21"/>
                <w:szCs w:val="24"/>
              </w:rPr>
              <w:t>多级冷凝+热井吸收+活性炭吸附15m排气筒</w:t>
            </w:r>
          </w:p>
        </w:tc>
        <w:tc>
          <w:tcPr>
            <w:tcW w:w="1004" w:type="pct"/>
            <w:vMerge w:val="continue"/>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p>
        </w:tc>
        <w:tc>
          <w:tcPr>
            <w:tcW w:w="382" w:type="pct"/>
            <w:shd w:val="clear" w:color="auto" w:fill="auto"/>
            <w:vAlign w:val="center"/>
          </w:tcPr>
          <w:p>
            <w:pPr>
              <w:adjustRightInd w:val="0"/>
              <w:snapToGrid w:val="0"/>
              <w:spacing w:line="240" w:lineRule="auto"/>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与建设项目同步</w:t>
            </w:r>
          </w:p>
        </w:tc>
        <w:tc>
          <w:tcPr>
            <w:tcW w:w="504" w:type="pct"/>
            <w:vMerge w:val="continue"/>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p>
        </w:tc>
        <w:tc>
          <w:tcPr>
            <w:tcW w:w="485" w:type="pct"/>
            <w:shd w:val="clear" w:color="auto" w:fill="auto"/>
            <w:vAlign w:val="center"/>
          </w:tcPr>
          <w:p>
            <w:pPr>
              <w:adjustRightInd w:val="0"/>
              <w:snapToGrid w:val="0"/>
              <w:spacing w:line="240" w:lineRule="auto"/>
              <w:ind w:left="0" w:leftChars="0" w:right="0" w:rightChars="0"/>
              <w:jc w:val="center"/>
              <w:rPr>
                <w:rFonts w:hint="default" w:ascii="Times New Roman" w:hAnsi="Times New Roman" w:eastAsia="宋体" w:cs="Times New Roman"/>
                <w:color w:val="auto"/>
                <w:kern w:val="0"/>
                <w:sz w:val="21"/>
                <w:szCs w:val="21"/>
                <w:lang w:eastAsia="zh-CN"/>
              </w:rPr>
            </w:pPr>
            <w:r>
              <w:rPr>
                <w:rFonts w:hint="eastAsia" w:ascii="Times New Roman" w:hAnsi="Times New Roman" w:cs="Times New Roman"/>
                <w:color w:val="auto"/>
                <w:kern w:val="0"/>
                <w:sz w:val="21"/>
                <w:szCs w:val="21"/>
                <w:lang w:eastAsia="zh-CN"/>
              </w:rPr>
              <w:t>不再建设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 w:type="pct"/>
            <w:vMerge w:val="continue"/>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p>
        </w:tc>
        <w:tc>
          <w:tcPr>
            <w:tcW w:w="721" w:type="pct"/>
            <w:shd w:val="clear" w:color="auto" w:fill="auto"/>
            <w:vAlign w:val="center"/>
          </w:tcPr>
          <w:p>
            <w:pPr>
              <w:spacing w:beforeLines="0" w:afterLines="0" w:line="240" w:lineRule="auto"/>
              <w:ind w:left="-120" w:leftChars="-50" w:right="-120" w:rightChars="-50"/>
              <w:jc w:val="center"/>
              <w:rPr>
                <w:rFonts w:hint="default" w:ascii="Times New Roman" w:hAnsi="Times New Roman" w:eastAsia="宋体" w:cs="Times New Roman"/>
                <w:color w:val="auto"/>
                <w:sz w:val="21"/>
                <w:szCs w:val="24"/>
                <w:lang w:val="en-US" w:eastAsia="zh-CN" w:bidi="ar-SA"/>
              </w:rPr>
            </w:pPr>
            <w:r>
              <w:rPr>
                <w:rFonts w:hint="default" w:ascii="Times New Roman" w:hAnsi="Times New Roman" w:eastAsia="宋体" w:cs="Times New Roman"/>
                <w:color w:val="auto"/>
                <w:sz w:val="21"/>
                <w:szCs w:val="24"/>
              </w:rPr>
              <w:t>无组织废气</w:t>
            </w:r>
          </w:p>
        </w:tc>
        <w:tc>
          <w:tcPr>
            <w:tcW w:w="476" w:type="pct"/>
            <w:shd w:val="clear" w:color="auto" w:fill="auto"/>
            <w:vAlign w:val="center"/>
          </w:tcPr>
          <w:p>
            <w:pPr>
              <w:spacing w:beforeLines="0" w:afterLines="0" w:line="240" w:lineRule="auto"/>
              <w:ind w:left="0" w:leftChars="0" w:right="0" w:rightChars="0"/>
              <w:jc w:val="center"/>
              <w:rPr>
                <w:rFonts w:hint="default" w:ascii="Times New Roman" w:hAnsi="Times New Roman" w:eastAsia="宋体" w:cs="Times New Roman"/>
                <w:color w:val="auto"/>
                <w:sz w:val="21"/>
                <w:szCs w:val="24"/>
                <w:lang w:val="en-US" w:eastAsia="zh-CN" w:bidi="ar-SA"/>
              </w:rPr>
            </w:pPr>
            <w:r>
              <w:rPr>
                <w:rFonts w:hint="default" w:ascii="Times New Roman" w:hAnsi="Times New Roman" w:eastAsia="宋体" w:cs="Times New Roman"/>
                <w:color w:val="auto"/>
                <w:sz w:val="21"/>
                <w:szCs w:val="24"/>
              </w:rPr>
              <w:t>颗粒物、非甲烷总烃</w:t>
            </w:r>
          </w:p>
        </w:tc>
        <w:tc>
          <w:tcPr>
            <w:tcW w:w="925" w:type="pct"/>
            <w:shd w:val="clear" w:color="auto" w:fill="auto"/>
            <w:vAlign w:val="center"/>
          </w:tcPr>
          <w:p>
            <w:pPr>
              <w:snapToGrid w:val="0"/>
              <w:spacing w:beforeLines="0" w:afterLines="0" w:line="240" w:lineRule="auto"/>
              <w:ind w:left="0" w:leftChars="0" w:right="0" w:rightChars="0"/>
              <w:jc w:val="center"/>
              <w:rPr>
                <w:rFonts w:hint="default" w:ascii="Times New Roman" w:hAnsi="Times New Roman" w:eastAsia="宋体" w:cs="Times New Roman"/>
                <w:color w:val="auto"/>
                <w:sz w:val="21"/>
                <w:szCs w:val="24"/>
                <w:lang w:val="en-US" w:eastAsia="en-US" w:bidi="ar-SA"/>
              </w:rPr>
            </w:pPr>
            <w:r>
              <w:rPr>
                <w:rFonts w:hint="default" w:ascii="Times New Roman" w:hAnsi="Times New Roman" w:eastAsia="宋体" w:cs="Times New Roman"/>
                <w:color w:val="auto"/>
                <w:sz w:val="21"/>
                <w:szCs w:val="24"/>
              </w:rPr>
              <w:t>其中甲类储罐废气采用冷凝回流+活性炭吸附；依托的灌装车间出风口加装活性炭吸附滤网</w:t>
            </w:r>
          </w:p>
        </w:tc>
        <w:tc>
          <w:tcPr>
            <w:tcW w:w="1004" w:type="pc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《合成树脂工业污染物排放标准》（DB 31572-2015）表9标准</w:t>
            </w:r>
          </w:p>
        </w:tc>
        <w:tc>
          <w:tcPr>
            <w:tcW w:w="382" w:type="pct"/>
            <w:shd w:val="clear" w:color="auto" w:fill="auto"/>
            <w:vAlign w:val="center"/>
          </w:tcPr>
          <w:p>
            <w:pPr>
              <w:adjustRightInd w:val="0"/>
              <w:snapToGrid w:val="0"/>
              <w:spacing w:line="240" w:lineRule="auto"/>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与建设项目同步</w:t>
            </w:r>
          </w:p>
        </w:tc>
        <w:tc>
          <w:tcPr>
            <w:tcW w:w="504" w:type="pct"/>
            <w:vMerge w:val="continue"/>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p>
        </w:tc>
        <w:tc>
          <w:tcPr>
            <w:tcW w:w="485" w:type="pct"/>
            <w:shd w:val="clear" w:color="auto" w:fill="auto"/>
            <w:vAlign w:val="center"/>
          </w:tcPr>
          <w:p>
            <w:pPr>
              <w:adjustRightInd w:val="0"/>
              <w:snapToGrid w:val="0"/>
              <w:spacing w:line="240" w:lineRule="auto"/>
              <w:ind w:left="0" w:leftChars="0" w:right="0" w:right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已完成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500" w:type="pct"/>
            <w:vMerge w:val="restar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废水</w:t>
            </w:r>
          </w:p>
        </w:tc>
        <w:tc>
          <w:tcPr>
            <w:tcW w:w="721" w:type="pct"/>
            <w:shd w:val="clear" w:color="auto" w:fill="auto"/>
            <w:vAlign w:val="center"/>
          </w:tcPr>
          <w:p>
            <w:pPr>
              <w:spacing w:beforeLines="0" w:afterLines="0" w:line="240" w:lineRule="auto"/>
              <w:jc w:val="center"/>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rPr>
              <w:t>工艺废水</w:t>
            </w:r>
          </w:p>
          <w:p>
            <w:pPr>
              <w:spacing w:beforeLines="0" w:afterLines="0" w:line="240" w:lineRule="auto"/>
              <w:ind w:left="0" w:leftChars="0" w:right="0" w:right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4"/>
              </w:rPr>
              <w:t>真空系统废水</w:t>
            </w:r>
          </w:p>
        </w:tc>
        <w:tc>
          <w:tcPr>
            <w:tcW w:w="476" w:type="pct"/>
            <w:shd w:val="clear" w:color="auto" w:fill="auto"/>
            <w:vAlign w:val="center"/>
          </w:tcPr>
          <w:p>
            <w:pPr>
              <w:spacing w:beforeLines="0" w:afterLines="0" w:line="240" w:lineRule="auto"/>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4"/>
              </w:rPr>
              <w:t>COD、SS</w:t>
            </w:r>
          </w:p>
        </w:tc>
        <w:tc>
          <w:tcPr>
            <w:tcW w:w="925" w:type="pct"/>
            <w:vMerge w:val="restar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rPr>
              <w:t>经污水处理站预处理后，接管至胜科水务进行处理</w:t>
            </w:r>
          </w:p>
        </w:tc>
        <w:tc>
          <w:tcPr>
            <w:tcW w:w="1004" w:type="pct"/>
            <w:vMerge w:val="restar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《太湖地区城镇污水处理厂及重点工业行业主要水污染物排放限值》</w:t>
            </w:r>
          </w:p>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（DB32/1072-2007）</w:t>
            </w:r>
          </w:p>
          <w:p>
            <w:pPr>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表1城镇污水处理厂I级标准及《城镇污水处理厂污染物排放标准》（GB18918-2002）表1一级A标准</w:t>
            </w:r>
          </w:p>
        </w:tc>
        <w:tc>
          <w:tcPr>
            <w:tcW w:w="382" w:type="pc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与建设项目同步</w:t>
            </w:r>
          </w:p>
        </w:tc>
        <w:tc>
          <w:tcPr>
            <w:tcW w:w="504" w:type="pct"/>
            <w:vMerge w:val="restar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w:t>
            </w:r>
          </w:p>
        </w:tc>
        <w:tc>
          <w:tcPr>
            <w:tcW w:w="485" w:type="pc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已完成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500" w:type="pct"/>
            <w:vMerge w:val="continue"/>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p>
        </w:tc>
        <w:tc>
          <w:tcPr>
            <w:tcW w:w="721" w:type="pct"/>
            <w:shd w:val="clear" w:color="auto" w:fill="auto"/>
            <w:vAlign w:val="center"/>
          </w:tcPr>
          <w:p>
            <w:pPr>
              <w:spacing w:beforeLines="0" w:afterLines="0" w:line="240" w:lineRule="auto"/>
              <w:ind w:left="0" w:leftChars="0" w:right="0" w:right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4"/>
              </w:rPr>
              <w:t>设备清洗废水</w:t>
            </w:r>
          </w:p>
        </w:tc>
        <w:tc>
          <w:tcPr>
            <w:tcW w:w="476" w:type="pct"/>
            <w:shd w:val="clear" w:color="auto" w:fill="auto"/>
            <w:vAlign w:val="center"/>
          </w:tcPr>
          <w:p>
            <w:pPr>
              <w:spacing w:beforeLines="0" w:afterLines="0" w:line="240" w:lineRule="auto"/>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4"/>
              </w:rPr>
              <w:t>COD、SS</w:t>
            </w:r>
          </w:p>
        </w:tc>
        <w:tc>
          <w:tcPr>
            <w:tcW w:w="925" w:type="pct"/>
            <w:vMerge w:val="continue"/>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lang w:val="en-US" w:eastAsia="zh-CN"/>
              </w:rPr>
            </w:pPr>
          </w:p>
        </w:tc>
        <w:tc>
          <w:tcPr>
            <w:tcW w:w="1004" w:type="pct"/>
            <w:vMerge w:val="continue"/>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p>
        </w:tc>
        <w:tc>
          <w:tcPr>
            <w:tcW w:w="382" w:type="pc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与建设项目同步</w:t>
            </w:r>
          </w:p>
        </w:tc>
        <w:tc>
          <w:tcPr>
            <w:tcW w:w="504" w:type="pct"/>
            <w:vMerge w:val="continue"/>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p>
        </w:tc>
        <w:tc>
          <w:tcPr>
            <w:tcW w:w="485" w:type="pc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已完成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500" w:type="pct"/>
            <w:vMerge w:val="continue"/>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p>
        </w:tc>
        <w:tc>
          <w:tcPr>
            <w:tcW w:w="721" w:type="pct"/>
            <w:shd w:val="clear" w:color="auto" w:fill="auto"/>
            <w:vAlign w:val="center"/>
          </w:tcPr>
          <w:p>
            <w:pPr>
              <w:spacing w:beforeLines="0" w:afterLines="0" w:line="240" w:lineRule="auto"/>
              <w:ind w:left="0" w:leftChars="0" w:right="0" w:right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4"/>
              </w:rPr>
              <w:t>初期雨水</w:t>
            </w:r>
          </w:p>
        </w:tc>
        <w:tc>
          <w:tcPr>
            <w:tcW w:w="476" w:type="pct"/>
            <w:shd w:val="clear" w:color="auto" w:fill="auto"/>
            <w:vAlign w:val="center"/>
          </w:tcPr>
          <w:p>
            <w:pPr>
              <w:spacing w:beforeLines="0" w:afterLines="0" w:line="240" w:lineRule="auto"/>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4"/>
              </w:rPr>
              <w:t>COD、SS</w:t>
            </w:r>
          </w:p>
        </w:tc>
        <w:tc>
          <w:tcPr>
            <w:tcW w:w="925" w:type="pct"/>
            <w:vMerge w:val="continue"/>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lang w:val="en-US" w:eastAsia="zh-CN"/>
              </w:rPr>
            </w:pPr>
          </w:p>
        </w:tc>
        <w:tc>
          <w:tcPr>
            <w:tcW w:w="1004" w:type="pct"/>
            <w:vMerge w:val="continue"/>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p>
        </w:tc>
        <w:tc>
          <w:tcPr>
            <w:tcW w:w="382" w:type="pct"/>
            <w:shd w:val="clear" w:color="auto" w:fill="auto"/>
            <w:vAlign w:val="center"/>
          </w:tcPr>
          <w:p>
            <w:pPr>
              <w:adjustRightInd w:val="0"/>
              <w:snapToGrid w:val="0"/>
              <w:spacing w:line="240" w:lineRule="auto"/>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与建设项目同步</w:t>
            </w:r>
          </w:p>
        </w:tc>
        <w:tc>
          <w:tcPr>
            <w:tcW w:w="504" w:type="pct"/>
            <w:vMerge w:val="continue"/>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p>
        </w:tc>
        <w:tc>
          <w:tcPr>
            <w:tcW w:w="485" w:type="pct"/>
            <w:shd w:val="clear" w:color="auto" w:fill="auto"/>
            <w:vAlign w:val="center"/>
          </w:tcPr>
          <w:p>
            <w:pPr>
              <w:adjustRightInd w:val="0"/>
              <w:snapToGrid w:val="0"/>
              <w:spacing w:line="240" w:lineRule="auto"/>
              <w:ind w:left="0" w:leftChars="0" w:right="0" w:right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已完成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500" w:type="pct"/>
            <w:shd w:val="clear" w:color="auto" w:fill="auto"/>
            <w:vAlign w:val="center"/>
          </w:tcPr>
          <w:p>
            <w:pPr>
              <w:snapToGrid w:val="0"/>
              <w:spacing w:beforeLines="0" w:afterLines="0" w:line="240" w:lineRule="auto"/>
              <w:ind w:left="0" w:leftChars="0" w:right="0" w:rightChars="0"/>
              <w:jc w:val="center"/>
              <w:rPr>
                <w:rFonts w:hint="default" w:ascii="Times New Roman" w:hAnsi="Times New Roman" w:eastAsia="宋体" w:cs="Times New Roman"/>
                <w:color w:val="auto"/>
                <w:sz w:val="21"/>
                <w:szCs w:val="24"/>
                <w:lang w:val="en-US" w:eastAsia="en-US" w:bidi="ar-SA"/>
              </w:rPr>
            </w:pPr>
            <w:r>
              <w:rPr>
                <w:rFonts w:hint="default" w:ascii="Times New Roman" w:hAnsi="Times New Roman" w:eastAsia="宋体" w:cs="Times New Roman"/>
                <w:color w:val="auto"/>
                <w:sz w:val="21"/>
                <w:szCs w:val="24"/>
              </w:rPr>
              <w:t>清下水</w:t>
            </w:r>
          </w:p>
        </w:tc>
        <w:tc>
          <w:tcPr>
            <w:tcW w:w="721" w:type="pct"/>
            <w:shd w:val="clear" w:color="auto" w:fill="auto"/>
            <w:vAlign w:val="center"/>
          </w:tcPr>
          <w:p>
            <w:pPr>
              <w:spacing w:beforeLines="0" w:afterLines="0" w:line="240" w:lineRule="auto"/>
              <w:ind w:left="0" w:leftChars="0" w:right="0" w:rightChars="0"/>
              <w:jc w:val="center"/>
              <w:rPr>
                <w:rFonts w:hint="default" w:ascii="Times New Roman" w:hAnsi="Times New Roman" w:eastAsia="宋体" w:cs="Times New Roman"/>
                <w:color w:val="auto"/>
                <w:sz w:val="21"/>
                <w:szCs w:val="24"/>
                <w:lang w:val="en-US" w:eastAsia="en-US" w:bidi="ar-SA"/>
              </w:rPr>
            </w:pPr>
            <w:r>
              <w:rPr>
                <w:rFonts w:hint="default" w:ascii="Times New Roman" w:hAnsi="Times New Roman" w:eastAsia="宋体" w:cs="Times New Roman"/>
                <w:color w:val="auto"/>
                <w:sz w:val="21"/>
                <w:szCs w:val="24"/>
              </w:rPr>
              <w:t>循环冷却弃水</w:t>
            </w:r>
          </w:p>
        </w:tc>
        <w:tc>
          <w:tcPr>
            <w:tcW w:w="476" w:type="pct"/>
            <w:shd w:val="clear" w:color="auto" w:fill="auto"/>
            <w:vAlign w:val="center"/>
          </w:tcPr>
          <w:p>
            <w:pPr>
              <w:spacing w:beforeLines="0" w:afterLines="0" w:line="240" w:lineRule="auto"/>
              <w:ind w:left="0" w:leftChars="0" w:right="0" w:rightChars="0"/>
              <w:jc w:val="center"/>
              <w:rPr>
                <w:rFonts w:hint="default" w:ascii="Times New Roman" w:hAnsi="Times New Roman" w:eastAsia="宋体" w:cs="Times New Roman"/>
                <w:color w:val="auto"/>
                <w:sz w:val="21"/>
                <w:szCs w:val="24"/>
                <w:lang w:val="en-US" w:eastAsia="en-US" w:bidi="ar-SA"/>
              </w:rPr>
            </w:pPr>
            <w:r>
              <w:rPr>
                <w:rFonts w:hint="default" w:ascii="Times New Roman" w:hAnsi="Times New Roman" w:eastAsia="宋体" w:cs="Times New Roman"/>
                <w:color w:val="auto"/>
                <w:sz w:val="21"/>
                <w:szCs w:val="24"/>
              </w:rPr>
              <w:t>COD、SS</w:t>
            </w:r>
          </w:p>
        </w:tc>
        <w:tc>
          <w:tcPr>
            <w:tcW w:w="925" w:type="pct"/>
            <w:shd w:val="clear" w:color="auto" w:fill="auto"/>
            <w:vAlign w:val="center"/>
          </w:tcPr>
          <w:p>
            <w:pPr>
              <w:spacing w:beforeLines="0" w:afterLines="0" w:line="240" w:lineRule="auto"/>
              <w:ind w:left="0" w:leftChars="0" w:right="0" w:rightChars="0"/>
              <w:jc w:val="center"/>
              <w:rPr>
                <w:rFonts w:hint="default" w:ascii="Times New Roman" w:hAnsi="Times New Roman" w:eastAsia="宋体" w:cs="Times New Roman"/>
                <w:color w:val="auto"/>
                <w:sz w:val="21"/>
                <w:szCs w:val="24"/>
                <w:lang w:val="en-US" w:eastAsia="en-US" w:bidi="ar-SA"/>
              </w:rPr>
            </w:pPr>
            <w:r>
              <w:rPr>
                <w:rFonts w:hint="default" w:ascii="Times New Roman" w:hAnsi="Times New Roman" w:eastAsia="宋体" w:cs="Times New Roman"/>
                <w:color w:val="auto"/>
                <w:sz w:val="21"/>
                <w:szCs w:val="24"/>
              </w:rPr>
              <w:t>经雨水口在线监测合格后排放</w:t>
            </w:r>
          </w:p>
        </w:tc>
        <w:tc>
          <w:tcPr>
            <w:tcW w:w="1004" w:type="pct"/>
            <w:shd w:val="clear" w:color="auto" w:fill="auto"/>
            <w:vAlign w:val="center"/>
          </w:tcPr>
          <w:p>
            <w:pPr>
              <w:adjustRightInd w:val="0"/>
              <w:snapToGrid w:val="0"/>
              <w:spacing w:beforeLines="0" w:afterLines="0" w:line="240" w:lineRule="auto"/>
              <w:ind w:left="0" w:leftChars="0" w:right="0" w:rightChars="0"/>
              <w:jc w:val="center"/>
              <w:rPr>
                <w:rFonts w:hint="default" w:ascii="Times New Roman" w:hAnsi="Times New Roman" w:eastAsia="宋体" w:cs="Times New Roman"/>
                <w:color w:val="auto"/>
                <w:sz w:val="21"/>
                <w:szCs w:val="24"/>
                <w:lang w:val="en-US" w:eastAsia="en-US" w:bidi="ar-SA"/>
              </w:rPr>
            </w:pPr>
            <w:r>
              <w:rPr>
                <w:rFonts w:hint="default" w:ascii="Times New Roman" w:hAnsi="Times New Roman" w:eastAsia="宋体" w:cs="Times New Roman"/>
                <w:color w:val="auto"/>
                <w:sz w:val="21"/>
                <w:szCs w:val="24"/>
              </w:rPr>
              <w:t>参照《地表水环境质量标准》（GB3838-2002）IV类执行</w:t>
            </w:r>
          </w:p>
        </w:tc>
        <w:tc>
          <w:tcPr>
            <w:tcW w:w="382" w:type="pct"/>
            <w:shd w:val="clear" w:color="auto" w:fill="auto"/>
            <w:vAlign w:val="center"/>
          </w:tcPr>
          <w:p>
            <w:pPr>
              <w:adjustRightInd w:val="0"/>
              <w:snapToGrid w:val="0"/>
              <w:spacing w:line="240" w:lineRule="auto"/>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与建设项目同步</w:t>
            </w:r>
          </w:p>
        </w:tc>
        <w:tc>
          <w:tcPr>
            <w:tcW w:w="504" w:type="pct"/>
            <w:vMerge w:val="continue"/>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lang w:val="en-US" w:eastAsia="zh-CN"/>
              </w:rPr>
            </w:pPr>
          </w:p>
        </w:tc>
        <w:tc>
          <w:tcPr>
            <w:tcW w:w="485" w:type="pct"/>
            <w:shd w:val="clear" w:color="auto" w:fill="auto"/>
            <w:vAlign w:val="center"/>
          </w:tcPr>
          <w:p>
            <w:pPr>
              <w:adjustRightInd w:val="0"/>
              <w:snapToGrid w:val="0"/>
              <w:spacing w:line="240" w:lineRule="auto"/>
              <w:ind w:left="0" w:leftChars="0" w:right="0" w:right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已完成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 w:type="pct"/>
            <w:shd w:val="clear" w:color="auto" w:fill="auto"/>
            <w:vAlign w:val="center"/>
          </w:tcPr>
          <w:p>
            <w:pPr>
              <w:snapToGrid w:val="0"/>
              <w:spacing w:beforeLines="0" w:afterLines="0" w:line="240" w:lineRule="auto"/>
              <w:ind w:left="0" w:leftChars="0" w:right="0" w:rightChars="0"/>
              <w:jc w:val="center"/>
              <w:rPr>
                <w:rFonts w:hint="default" w:ascii="Times New Roman" w:hAnsi="Times New Roman" w:eastAsia="宋体" w:cs="Times New Roman"/>
                <w:color w:val="auto"/>
                <w:sz w:val="21"/>
                <w:szCs w:val="24"/>
                <w:lang w:val="en-US" w:eastAsia="en-US" w:bidi="ar-SA"/>
              </w:rPr>
            </w:pPr>
            <w:r>
              <w:rPr>
                <w:rFonts w:hint="default" w:ascii="Times New Roman" w:hAnsi="Times New Roman" w:eastAsia="宋体" w:cs="Times New Roman"/>
                <w:color w:val="auto"/>
                <w:sz w:val="21"/>
                <w:szCs w:val="24"/>
              </w:rPr>
              <w:t>噪声</w:t>
            </w:r>
          </w:p>
        </w:tc>
        <w:tc>
          <w:tcPr>
            <w:tcW w:w="721" w:type="pct"/>
            <w:shd w:val="clear" w:color="auto" w:fill="auto"/>
            <w:vAlign w:val="center"/>
          </w:tcPr>
          <w:p>
            <w:pPr>
              <w:snapToGrid w:val="0"/>
              <w:spacing w:beforeLines="0" w:afterLines="0" w:line="240" w:lineRule="auto"/>
              <w:ind w:left="0" w:leftChars="0" w:right="0" w:rightChars="0"/>
              <w:jc w:val="center"/>
              <w:rPr>
                <w:rFonts w:hint="default" w:ascii="Times New Roman" w:hAnsi="Times New Roman" w:eastAsia="宋体" w:cs="Times New Roman"/>
                <w:color w:val="auto"/>
                <w:sz w:val="21"/>
                <w:szCs w:val="24"/>
                <w:lang w:val="en-US" w:eastAsia="en-US" w:bidi="ar-SA"/>
              </w:rPr>
            </w:pPr>
            <w:r>
              <w:rPr>
                <w:rFonts w:hint="default" w:ascii="Times New Roman" w:hAnsi="Times New Roman" w:eastAsia="宋体" w:cs="Times New Roman"/>
                <w:color w:val="auto"/>
                <w:sz w:val="21"/>
                <w:szCs w:val="24"/>
              </w:rPr>
              <w:t>生产设备、风机、泵</w:t>
            </w:r>
          </w:p>
        </w:tc>
        <w:tc>
          <w:tcPr>
            <w:tcW w:w="476" w:type="pct"/>
            <w:shd w:val="clear" w:color="auto" w:fill="auto"/>
            <w:vAlign w:val="center"/>
          </w:tcPr>
          <w:p>
            <w:pPr>
              <w:snapToGrid w:val="0"/>
              <w:spacing w:beforeLines="0" w:afterLines="0" w:line="240" w:lineRule="auto"/>
              <w:ind w:left="0" w:leftChars="0" w:right="0" w:rightChars="0"/>
              <w:jc w:val="center"/>
              <w:rPr>
                <w:rFonts w:hint="default" w:ascii="Times New Roman" w:hAnsi="Times New Roman" w:eastAsia="宋体" w:cs="Times New Roman"/>
                <w:color w:val="auto"/>
                <w:sz w:val="21"/>
                <w:szCs w:val="24"/>
                <w:lang w:val="en-US" w:eastAsia="en-US" w:bidi="ar-SA"/>
              </w:rPr>
            </w:pPr>
            <w:r>
              <w:rPr>
                <w:rFonts w:hint="default" w:ascii="Times New Roman" w:hAnsi="Times New Roman" w:eastAsia="宋体" w:cs="Times New Roman"/>
                <w:color w:val="auto"/>
                <w:sz w:val="21"/>
                <w:szCs w:val="24"/>
              </w:rPr>
              <w:t>噪声</w:t>
            </w:r>
          </w:p>
        </w:tc>
        <w:tc>
          <w:tcPr>
            <w:tcW w:w="925" w:type="pct"/>
            <w:shd w:val="clear" w:color="auto" w:fill="auto"/>
            <w:vAlign w:val="center"/>
          </w:tcPr>
          <w:p>
            <w:pPr>
              <w:snapToGrid w:val="0"/>
              <w:spacing w:beforeLines="0" w:afterLines="0" w:line="240" w:lineRule="auto"/>
              <w:jc w:val="center"/>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rPr>
              <w:t>采取减震、消声、</w:t>
            </w:r>
          </w:p>
          <w:p>
            <w:pPr>
              <w:snapToGrid w:val="0"/>
              <w:spacing w:beforeLines="0" w:afterLines="0" w:line="240" w:lineRule="auto"/>
              <w:ind w:left="0" w:leftChars="0" w:right="0" w:rightChars="0"/>
              <w:jc w:val="center"/>
              <w:rPr>
                <w:rFonts w:hint="default" w:ascii="Times New Roman" w:hAnsi="Times New Roman" w:eastAsia="宋体" w:cs="Times New Roman"/>
                <w:color w:val="auto"/>
                <w:sz w:val="21"/>
                <w:szCs w:val="24"/>
                <w:lang w:val="en-US" w:eastAsia="en-US" w:bidi="ar-SA"/>
              </w:rPr>
            </w:pPr>
            <w:r>
              <w:rPr>
                <w:rFonts w:hint="default" w:ascii="Times New Roman" w:hAnsi="Times New Roman" w:eastAsia="宋体" w:cs="Times New Roman"/>
                <w:color w:val="auto"/>
                <w:sz w:val="21"/>
                <w:szCs w:val="24"/>
              </w:rPr>
              <w:t>隔音等措施</w:t>
            </w:r>
          </w:p>
        </w:tc>
        <w:tc>
          <w:tcPr>
            <w:tcW w:w="1004" w:type="pct"/>
            <w:shd w:val="clear" w:color="auto" w:fill="auto"/>
            <w:vAlign w:val="center"/>
          </w:tcPr>
          <w:p>
            <w:pPr>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《工业企业厂界环境噪声排放标准》（GB12348-2008）</w:t>
            </w:r>
          </w:p>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3类标准</w:t>
            </w:r>
          </w:p>
        </w:tc>
        <w:tc>
          <w:tcPr>
            <w:tcW w:w="382" w:type="pc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与建设项目同步</w:t>
            </w:r>
          </w:p>
        </w:tc>
        <w:tc>
          <w:tcPr>
            <w:tcW w:w="504" w:type="pc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w:t>
            </w:r>
          </w:p>
        </w:tc>
        <w:tc>
          <w:tcPr>
            <w:tcW w:w="485" w:type="pc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已完成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 w:type="pct"/>
            <w:vMerge w:val="restar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固废</w:t>
            </w:r>
          </w:p>
        </w:tc>
        <w:tc>
          <w:tcPr>
            <w:tcW w:w="721" w:type="pct"/>
            <w:shd w:val="clear" w:color="auto" w:fill="auto"/>
            <w:vAlign w:val="center"/>
          </w:tcPr>
          <w:p>
            <w:pPr>
              <w:snapToGrid w:val="0"/>
              <w:spacing w:beforeLines="0" w:afterLines="0" w:line="240" w:lineRule="auto"/>
              <w:ind w:left="0" w:leftChars="0" w:right="0" w:rightChars="0"/>
              <w:jc w:val="center"/>
              <w:rPr>
                <w:rFonts w:hint="default" w:ascii="Times New Roman" w:hAnsi="Times New Roman" w:eastAsia="宋体" w:cs="Times New Roman"/>
                <w:color w:val="auto"/>
                <w:sz w:val="21"/>
                <w:szCs w:val="24"/>
                <w:lang w:val="en-US" w:eastAsia="zh-CN" w:bidi="ar-SA"/>
              </w:rPr>
            </w:pPr>
            <w:r>
              <w:rPr>
                <w:rFonts w:hint="default" w:ascii="Times New Roman" w:hAnsi="Times New Roman" w:eastAsia="宋体" w:cs="Times New Roman"/>
                <w:color w:val="auto"/>
                <w:sz w:val="21"/>
                <w:szCs w:val="24"/>
              </w:rPr>
              <w:t>危险废物</w:t>
            </w:r>
          </w:p>
        </w:tc>
        <w:tc>
          <w:tcPr>
            <w:tcW w:w="476" w:type="pct"/>
            <w:shd w:val="clear" w:color="auto" w:fill="auto"/>
            <w:vAlign w:val="center"/>
          </w:tcPr>
          <w:p>
            <w:pPr>
              <w:adjustRightInd w:val="0"/>
              <w:snapToGrid w:val="0"/>
              <w:spacing w:beforeLines="0" w:afterLines="0" w:line="240" w:lineRule="auto"/>
              <w:ind w:left="0" w:leftChars="0" w:right="0" w:rightChars="0"/>
              <w:jc w:val="center"/>
              <w:rPr>
                <w:rFonts w:hint="default" w:ascii="Times New Roman" w:hAnsi="Times New Roman" w:eastAsia="宋体" w:cs="Times New Roman"/>
                <w:color w:val="auto"/>
                <w:sz w:val="21"/>
                <w:szCs w:val="24"/>
                <w:lang w:val="en-US" w:eastAsia="zh-CN" w:bidi="ar-SA"/>
              </w:rPr>
            </w:pPr>
            <w:r>
              <w:rPr>
                <w:rFonts w:hint="default" w:ascii="Times New Roman" w:hAnsi="Times New Roman" w:eastAsia="宋体" w:cs="Times New Roman"/>
                <w:color w:val="auto"/>
                <w:sz w:val="21"/>
                <w:szCs w:val="24"/>
              </w:rPr>
              <w:t>废滤饼、废活性炭</w:t>
            </w:r>
          </w:p>
        </w:tc>
        <w:tc>
          <w:tcPr>
            <w:tcW w:w="925" w:type="pct"/>
            <w:shd w:val="clear" w:color="auto" w:fill="auto"/>
            <w:vAlign w:val="center"/>
          </w:tcPr>
          <w:p>
            <w:pPr>
              <w:spacing w:beforeLines="0" w:afterLines="0" w:line="240" w:lineRule="auto"/>
              <w:ind w:left="0" w:leftChars="0" w:right="0" w:rightChars="0"/>
              <w:jc w:val="center"/>
              <w:rPr>
                <w:rFonts w:hint="default" w:ascii="Times New Roman" w:hAnsi="Times New Roman" w:eastAsia="宋体" w:cs="Times New Roman"/>
                <w:color w:val="auto"/>
                <w:sz w:val="21"/>
                <w:szCs w:val="24"/>
                <w:lang w:val="en-US" w:eastAsia="en-US" w:bidi="ar-SA"/>
              </w:rPr>
            </w:pPr>
            <w:r>
              <w:rPr>
                <w:rFonts w:hint="default" w:ascii="Times New Roman" w:hAnsi="Times New Roman" w:eastAsia="宋体" w:cs="Times New Roman"/>
                <w:color w:val="auto"/>
                <w:sz w:val="21"/>
                <w:szCs w:val="24"/>
              </w:rPr>
              <w:t>委托有资质的单位处置</w:t>
            </w:r>
          </w:p>
        </w:tc>
        <w:tc>
          <w:tcPr>
            <w:tcW w:w="1004" w:type="pct"/>
            <w:vMerge w:val="restar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零排放</w:t>
            </w:r>
          </w:p>
        </w:tc>
        <w:tc>
          <w:tcPr>
            <w:tcW w:w="382" w:type="pct"/>
            <w:vMerge w:val="restar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依托现有</w:t>
            </w:r>
          </w:p>
        </w:tc>
        <w:tc>
          <w:tcPr>
            <w:tcW w:w="504" w:type="pct"/>
            <w:vMerge w:val="restar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485" w:type="pc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已完成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 w:type="pct"/>
            <w:vMerge w:val="continue"/>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p>
        </w:tc>
        <w:tc>
          <w:tcPr>
            <w:tcW w:w="721" w:type="pc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rPr>
              <w:t>一般工业固废</w:t>
            </w:r>
          </w:p>
        </w:tc>
        <w:tc>
          <w:tcPr>
            <w:tcW w:w="1401" w:type="pct"/>
            <w:gridSpan w:val="2"/>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废滤饼在“三同时”验收前完成鉴定，鉴定前按危险废物储存</w:t>
            </w:r>
          </w:p>
        </w:tc>
        <w:tc>
          <w:tcPr>
            <w:tcW w:w="1004" w:type="pct"/>
            <w:vMerge w:val="continue"/>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p>
        </w:tc>
        <w:tc>
          <w:tcPr>
            <w:tcW w:w="382" w:type="pct"/>
            <w:vMerge w:val="continue"/>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p>
        </w:tc>
        <w:tc>
          <w:tcPr>
            <w:tcW w:w="504" w:type="pct"/>
            <w:vMerge w:val="continue"/>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p>
        </w:tc>
        <w:tc>
          <w:tcPr>
            <w:tcW w:w="485" w:type="pc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危废鉴别已完成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 w:type="pct"/>
            <w:shd w:val="clear" w:color="auto" w:fill="auto"/>
            <w:vAlign w:val="center"/>
          </w:tcPr>
          <w:p>
            <w:pPr>
              <w:snapToGrid w:val="0"/>
              <w:spacing w:beforeLines="0" w:afterLines="0" w:line="240" w:lineRule="auto"/>
              <w:ind w:left="0" w:leftChars="0" w:right="0" w:rightChars="0"/>
              <w:jc w:val="center"/>
              <w:rPr>
                <w:rFonts w:hint="default" w:ascii="Times New Roman" w:hAnsi="Times New Roman" w:eastAsia="宋体" w:cs="Times New Roman"/>
                <w:color w:val="auto"/>
                <w:sz w:val="21"/>
                <w:szCs w:val="24"/>
                <w:lang w:val="en-US" w:eastAsia="en-US" w:bidi="ar-SA"/>
              </w:rPr>
            </w:pPr>
            <w:r>
              <w:rPr>
                <w:rFonts w:hint="default" w:ascii="Times New Roman" w:hAnsi="Times New Roman" w:eastAsia="宋体" w:cs="Times New Roman"/>
                <w:color w:val="auto"/>
                <w:sz w:val="21"/>
                <w:szCs w:val="24"/>
              </w:rPr>
              <w:t>绿化</w:t>
            </w:r>
          </w:p>
        </w:tc>
        <w:tc>
          <w:tcPr>
            <w:tcW w:w="2123" w:type="pct"/>
            <w:gridSpan w:val="3"/>
            <w:shd w:val="clear" w:color="auto" w:fill="auto"/>
            <w:vAlign w:val="center"/>
          </w:tcPr>
          <w:p>
            <w:pPr>
              <w:snapToGrid w:val="0"/>
              <w:spacing w:beforeLines="0" w:afterLines="0" w:line="240" w:lineRule="auto"/>
              <w:ind w:left="0" w:leftChars="0" w:right="0" w:rightChars="0"/>
              <w:jc w:val="center"/>
              <w:rPr>
                <w:rFonts w:hint="default" w:ascii="Times New Roman" w:hAnsi="Times New Roman" w:eastAsia="宋体" w:cs="Times New Roman"/>
                <w:color w:val="auto"/>
                <w:sz w:val="21"/>
                <w:szCs w:val="24"/>
                <w:lang w:val="en-US" w:eastAsia="en-US" w:bidi="ar-SA"/>
              </w:rPr>
            </w:pPr>
            <w:r>
              <w:rPr>
                <w:rFonts w:hint="default" w:ascii="Times New Roman" w:hAnsi="Times New Roman" w:eastAsia="宋体" w:cs="Times New Roman"/>
                <w:color w:val="auto"/>
                <w:sz w:val="21"/>
                <w:szCs w:val="24"/>
              </w:rPr>
              <w:t>全厂绿化面积不变</w:t>
            </w:r>
          </w:p>
        </w:tc>
        <w:tc>
          <w:tcPr>
            <w:tcW w:w="1004" w:type="pc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382" w:type="pc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依托现有</w:t>
            </w:r>
          </w:p>
        </w:tc>
        <w:tc>
          <w:tcPr>
            <w:tcW w:w="504" w:type="pc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485" w:type="pc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已完成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 w:type="pc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事故应急措施</w:t>
            </w:r>
          </w:p>
        </w:tc>
        <w:tc>
          <w:tcPr>
            <w:tcW w:w="2123" w:type="pct"/>
            <w:gridSpan w:val="3"/>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灭火器、消防栓，事故应急池2000m</w:t>
            </w:r>
            <w:r>
              <w:rPr>
                <w:rFonts w:hint="default" w:ascii="Times New Roman" w:hAnsi="Times New Roman" w:eastAsia="宋体" w:cs="Times New Roman"/>
                <w:color w:val="auto"/>
                <w:sz w:val="21"/>
                <w:szCs w:val="21"/>
                <w:vertAlign w:val="superscript"/>
              </w:rPr>
              <w:t>3</w:t>
            </w:r>
          </w:p>
        </w:tc>
        <w:tc>
          <w:tcPr>
            <w:tcW w:w="1004" w:type="pc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w:t>
            </w:r>
          </w:p>
        </w:tc>
        <w:tc>
          <w:tcPr>
            <w:tcW w:w="382" w:type="pc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依托现有</w:t>
            </w:r>
          </w:p>
        </w:tc>
        <w:tc>
          <w:tcPr>
            <w:tcW w:w="504" w:type="pc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15</w:t>
            </w:r>
          </w:p>
        </w:tc>
        <w:tc>
          <w:tcPr>
            <w:tcW w:w="485" w:type="pc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已完成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 w:type="pc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环境管理（机构、监测能力等）</w:t>
            </w:r>
          </w:p>
        </w:tc>
        <w:tc>
          <w:tcPr>
            <w:tcW w:w="2123" w:type="pct"/>
            <w:gridSpan w:val="3"/>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厂区内设立环境管理的机构，配备专业技术人员，购置必要的仪器设备，营运期委托有资质的环境监测机构进行定期监测</w:t>
            </w:r>
          </w:p>
        </w:tc>
        <w:tc>
          <w:tcPr>
            <w:tcW w:w="1004" w:type="pc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382" w:type="pc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依托现有</w:t>
            </w:r>
          </w:p>
        </w:tc>
        <w:tc>
          <w:tcPr>
            <w:tcW w:w="504" w:type="pc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485" w:type="pc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委托第三方检测单位进行监测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 w:type="pc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清污分流、排污口规范化设置（流量计、在线监测仪等）</w:t>
            </w:r>
          </w:p>
        </w:tc>
        <w:tc>
          <w:tcPr>
            <w:tcW w:w="2123" w:type="pct"/>
            <w:gridSpan w:val="3"/>
            <w:shd w:val="clear" w:color="auto" w:fill="auto"/>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废水接管口设置采样点、污水流量计、自动监测仪器（COD自动监测仪）、自动采样设备，废气排放口设置采样点，并在废水、废气排口附近醒目处设置环境保护图形标志牌</w:t>
            </w:r>
          </w:p>
        </w:tc>
        <w:tc>
          <w:tcPr>
            <w:tcW w:w="1004" w:type="pc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382" w:type="pc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依托现有</w:t>
            </w:r>
          </w:p>
        </w:tc>
        <w:tc>
          <w:tcPr>
            <w:tcW w:w="504" w:type="pc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485" w:type="pc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已完成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 w:type="pc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“以新带老”措施</w:t>
            </w:r>
          </w:p>
        </w:tc>
        <w:tc>
          <w:tcPr>
            <w:tcW w:w="3127" w:type="pct"/>
            <w:gridSpan w:val="4"/>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w:t>
            </w:r>
          </w:p>
        </w:tc>
        <w:tc>
          <w:tcPr>
            <w:tcW w:w="382" w:type="pc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依托现有</w:t>
            </w:r>
          </w:p>
        </w:tc>
        <w:tc>
          <w:tcPr>
            <w:tcW w:w="504" w:type="pc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485" w:type="pc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 w:type="pct"/>
            <w:shd w:val="clear" w:color="auto" w:fill="auto"/>
            <w:vAlign w:val="center"/>
          </w:tcPr>
          <w:p>
            <w:pPr>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总量平衡具体方案</w:t>
            </w:r>
          </w:p>
        </w:tc>
        <w:tc>
          <w:tcPr>
            <w:tcW w:w="3509" w:type="pct"/>
            <w:gridSpan w:val="5"/>
            <w:shd w:val="clear" w:color="auto" w:fill="auto"/>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技改项目不增加污染物排放总量</w:t>
            </w:r>
          </w:p>
        </w:tc>
        <w:tc>
          <w:tcPr>
            <w:tcW w:w="504" w:type="pct"/>
            <w:shd w:val="clear" w:color="auto" w:fill="auto"/>
            <w:vAlign w:val="center"/>
          </w:tcPr>
          <w:p>
            <w:pPr>
              <w:adjustRightInd w:val="0"/>
              <w:snapToGrid w:val="0"/>
              <w:spacing w:line="240" w:lineRule="auto"/>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rPr>
              <w:t>/</w:t>
            </w:r>
          </w:p>
        </w:tc>
        <w:tc>
          <w:tcPr>
            <w:tcW w:w="485" w:type="pc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 w:type="pct"/>
            <w:shd w:val="clear" w:color="auto" w:fill="auto"/>
            <w:vAlign w:val="center"/>
          </w:tcPr>
          <w:p>
            <w:pPr>
              <w:snapToGrid w:val="0"/>
              <w:spacing w:line="240" w:lineRule="auto"/>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区域解决问题</w:t>
            </w:r>
          </w:p>
        </w:tc>
        <w:tc>
          <w:tcPr>
            <w:tcW w:w="3509" w:type="pct"/>
            <w:gridSpan w:val="5"/>
            <w:shd w:val="clear" w:color="auto" w:fill="auto"/>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04" w:type="pct"/>
            <w:shd w:val="clear" w:color="auto" w:fill="auto"/>
            <w:vAlign w:val="center"/>
          </w:tcPr>
          <w:p>
            <w:pPr>
              <w:adjustRightInd w:val="0"/>
              <w:snapToGrid w:val="0"/>
              <w:spacing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485" w:type="pc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 w:type="pct"/>
            <w:shd w:val="clear" w:color="auto" w:fill="auto"/>
            <w:vAlign w:val="center"/>
          </w:tcPr>
          <w:p>
            <w:pPr>
              <w:snapToGrid w:val="0"/>
              <w:spacing w:line="240" w:lineRule="auto"/>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卫生防护距离</w:t>
            </w:r>
          </w:p>
        </w:tc>
        <w:tc>
          <w:tcPr>
            <w:tcW w:w="3509" w:type="pct"/>
            <w:gridSpan w:val="5"/>
            <w:shd w:val="clear" w:color="auto" w:fill="auto"/>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在保留现有卫生防护距离的基础上，增加以改建项目边界起设置100米卫生防护距离</w:t>
            </w:r>
          </w:p>
        </w:tc>
        <w:tc>
          <w:tcPr>
            <w:tcW w:w="504" w:type="pct"/>
            <w:shd w:val="clear" w:color="auto" w:fill="auto"/>
            <w:vAlign w:val="center"/>
          </w:tcPr>
          <w:p>
            <w:pPr>
              <w:adjustRightInd w:val="0"/>
              <w:snapToGrid w:val="0"/>
              <w:spacing w:line="240" w:lineRule="auto"/>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rPr>
              <w:t>/</w:t>
            </w:r>
          </w:p>
        </w:tc>
        <w:tc>
          <w:tcPr>
            <w:tcW w:w="485" w:type="pc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满足要求</w:t>
            </w:r>
          </w:p>
        </w:tc>
      </w:tr>
      <w:bookmarkEnd w:id="46"/>
    </w:tbl>
    <w:p>
      <w:pP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br w:type="page"/>
      </w:r>
    </w:p>
    <w:p>
      <w:pPr>
        <w:pStyle w:val="4"/>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textAlignment w:val="auto"/>
        <w:rPr>
          <w:rFonts w:hint="default" w:ascii="Times New Roman" w:hAnsi="Times New Roman" w:eastAsia="宋体" w:cs="Times New Roman"/>
          <w:color w:val="auto"/>
          <w:sz w:val="28"/>
          <w:szCs w:val="28"/>
          <w:highlight w:val="none"/>
          <w:lang w:val="en-US" w:eastAsia="zh-CN"/>
        </w:rPr>
      </w:pPr>
      <w:bookmarkStart w:id="47" w:name="_Toc13403"/>
      <w:r>
        <w:rPr>
          <w:rFonts w:hint="default" w:ascii="Times New Roman" w:hAnsi="Times New Roman" w:eastAsia="宋体" w:cs="Times New Roman"/>
          <w:color w:val="auto"/>
          <w:sz w:val="28"/>
          <w:szCs w:val="28"/>
          <w:highlight w:val="none"/>
          <w:lang w:val="en-US" w:eastAsia="zh-CN"/>
        </w:rPr>
        <w:t>4.4 “以新带老”及批复落实情况</w:t>
      </w:r>
      <w:bookmarkEnd w:id="47"/>
    </w:p>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 xml:space="preserve">4.4-1 </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eastAsia="zh-CN"/>
        </w:rPr>
        <w:t>以新带老落实情况</w:t>
      </w:r>
      <w:r>
        <w:rPr>
          <w:rFonts w:hint="default" w:ascii="Times New Roman" w:hAnsi="Times New Roman" w:eastAsia="宋体" w:cs="Times New Roman"/>
          <w:b/>
          <w:bCs/>
          <w:color w:val="auto"/>
          <w:sz w:val="24"/>
          <w:szCs w:val="24"/>
        </w:rPr>
        <w:t>一览表</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7"/>
        <w:gridCol w:w="6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711"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以新带老要求</w:t>
            </w:r>
          </w:p>
        </w:tc>
        <w:tc>
          <w:tcPr>
            <w:tcW w:w="228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11"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取消并拆除《年产1.9万吨各类皂粒制品扩建项目》的生产，可减少VOCs的无组织排放量0.3t/a。</w:t>
            </w:r>
          </w:p>
        </w:tc>
        <w:tc>
          <w:tcPr>
            <w:tcW w:w="228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取消</w:t>
            </w:r>
            <w:r>
              <w:rPr>
                <w:rFonts w:hint="eastAsia" w:ascii="Times New Roman" w:hAnsi="Times New Roman" w:cs="Times New Roman"/>
                <w:sz w:val="21"/>
                <w:szCs w:val="21"/>
                <w:lang w:eastAsia="zh-CN"/>
              </w:rPr>
              <w:t>了</w:t>
            </w:r>
            <w:r>
              <w:rPr>
                <w:rFonts w:hint="default" w:ascii="Times New Roman" w:hAnsi="Times New Roman" w:eastAsia="宋体" w:cs="Times New Roman"/>
                <w:sz w:val="21"/>
                <w:szCs w:val="21"/>
              </w:rPr>
              <w:t>《年产1.9万吨各类皂粒制品扩建项目》的生产</w:t>
            </w:r>
            <w:r>
              <w:rPr>
                <w:rFonts w:hint="eastAsia" w:ascii="Times New Roman" w:hAnsi="Times New Roman" w:cs="Times New Roman"/>
                <w:sz w:val="21"/>
                <w:szCs w:val="21"/>
                <w:lang w:eastAsia="zh-CN"/>
              </w:rPr>
              <w:t>，生产装置已做报废处理。</w:t>
            </w:r>
            <w:r>
              <w:rPr>
                <w:rFonts w:hint="eastAsia" w:ascii="Times New Roman" w:hAnsi="Times New Roman" w:cs="Times New Roman"/>
                <w:sz w:val="21"/>
                <w:szCs w:val="21"/>
                <w:lang w:val="en-US" w:eastAsia="zh-CN"/>
              </w:rPr>
              <w:t>拆除前后照片见图4.4-1。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11"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取消《泰柯棕化 (张家港) 有限公司扩建年产2万吨造纸化学品等项目》中10000t/a造纸化学品、2500t/a饲料添加剂、2500t/a油田助剂、2000t/a皮革化学品的建设和生产，可减少颗粒物有组织排放量0.036t/a、无组织排放量0.36t/a；VOCs有组织排放量0.041t/a（其中异丙醇0.0135t/a）、无组织排放量0.082t/a。</w:t>
            </w:r>
          </w:p>
        </w:tc>
        <w:tc>
          <w:tcPr>
            <w:tcW w:w="228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取消</w:t>
            </w:r>
            <w:r>
              <w:rPr>
                <w:rFonts w:hint="eastAsia" w:ascii="Times New Roman" w:hAnsi="Times New Roman" w:cs="Times New Roman"/>
                <w:sz w:val="21"/>
                <w:szCs w:val="21"/>
                <w:lang w:eastAsia="zh-CN"/>
              </w:rPr>
              <w:t>了</w:t>
            </w:r>
            <w:r>
              <w:rPr>
                <w:rFonts w:hint="default" w:ascii="Times New Roman" w:hAnsi="Times New Roman" w:eastAsia="宋体" w:cs="Times New Roman"/>
                <w:sz w:val="21"/>
                <w:szCs w:val="21"/>
              </w:rPr>
              <w:t>《泰柯棕化 (张家港) 有限公司扩建年产2万吨造纸化学品等项目》中10000t/a造纸化学品、2500t/a饲料添加剂、2500t/a油田助剂、2000t/a皮革化学品的建设和生产</w:t>
            </w:r>
            <w:r>
              <w:rPr>
                <w:rFonts w:hint="eastAsia" w:ascii="Times New Roman" w:hAnsi="Times New Roman" w:cs="Times New Roman"/>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11"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现有项目中部分原料储罐保温目前使用蒸汽，拟改用蒸汽冷凝水余热作为储罐保温的热源，减少蒸汽的使用量；甘油蒸发冷凝产生的冷凝水回用于棕榈油水解工艺，减少新鲜水的使用量。</w:t>
            </w:r>
          </w:p>
        </w:tc>
        <w:tc>
          <w:tcPr>
            <w:tcW w:w="228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改用蒸汽冷凝水余热作为储罐保温的热源</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甘油蒸发冷凝产生的冷凝水回用于棕榈油水解工艺</w:t>
            </w:r>
            <w:r>
              <w:rPr>
                <w:rFonts w:hint="eastAsia" w:ascii="Times New Roman" w:hAnsi="Times New Roman" w:cs="Times New Roman"/>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11"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技改项目在调整优化产业结构的同时，也拟深入VOCs的治理减排工作。具体体现在通过优化冷凝工艺条件（进一步降低冷冻冷凝的温度，增加冷冻液的循环量，提高不凝气与冷冻液之间换热效率），进一步降低三醋酸甘油酯项目中工艺不凝尾气（</w:t>
            </w:r>
            <w:r>
              <w:rPr>
                <w:rFonts w:hint="default" w:ascii="Times New Roman" w:hAnsi="Times New Roman" w:eastAsia="宋体" w:cs="Times New Roman"/>
                <w:color w:val="auto"/>
                <w:kern w:val="0"/>
                <w:sz w:val="21"/>
                <w:szCs w:val="21"/>
              </w:rPr>
              <w:t>图3.1.2-2中</w:t>
            </w:r>
            <w:r>
              <w:rPr>
                <w:rFonts w:hint="default" w:ascii="Times New Roman" w:hAnsi="Times New Roman" w:eastAsia="宋体" w:cs="Times New Roman"/>
                <w:color w:val="auto"/>
                <w:sz w:val="21"/>
                <w:szCs w:val="21"/>
              </w:rPr>
              <w:t>G1</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G3）的产生量，预计减少三醋酸甘油酯项目中40%的VOCs排放量，即排放量由现在的1.06 t/a减少到0.636 t/a，消减了0.424 t/aVOCs的排放量（三醋酸甘油酯项目排放的VOCs主要成分为醋酸和醋酸酐）。</w:t>
            </w:r>
          </w:p>
        </w:tc>
        <w:tc>
          <w:tcPr>
            <w:tcW w:w="228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eastAsia="zh-CN"/>
              </w:rPr>
              <w:t>落实了环评提出的：</w:t>
            </w:r>
            <w:r>
              <w:rPr>
                <w:rFonts w:hint="default" w:ascii="Times New Roman" w:hAnsi="Times New Roman" w:eastAsia="宋体" w:cs="Times New Roman"/>
                <w:sz w:val="21"/>
                <w:szCs w:val="21"/>
              </w:rPr>
              <w:t>优化冷凝工艺条件（进一步降低冷冻冷凝的温度，增加冷冻液的循环量，提高不凝气与冷冻液之间换热效率）</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冷冻冷凝的温度</w:t>
            </w:r>
            <w:r>
              <w:rPr>
                <w:rFonts w:hint="eastAsia" w:ascii="Times New Roman" w:hAnsi="Times New Roman" w:cs="Times New Roman"/>
                <w:sz w:val="21"/>
                <w:szCs w:val="21"/>
                <w:lang w:eastAsia="zh-CN"/>
              </w:rPr>
              <w:t>由原来的10度降至</w:t>
            </w:r>
            <w:r>
              <w:rPr>
                <w:rFonts w:hint="eastAsia" w:ascii="Times New Roman" w:hAnsi="Times New Roman" w:cs="Times New Roman"/>
                <w:sz w:val="21"/>
                <w:szCs w:val="21"/>
                <w:lang w:val="en-US" w:eastAsia="zh-CN"/>
              </w:rPr>
              <w:t>8</w:t>
            </w:r>
            <w:r>
              <w:rPr>
                <w:rFonts w:hint="eastAsia" w:ascii="Times New Roman" w:hAnsi="Times New Roman" w:cs="Times New Roman"/>
                <w:sz w:val="21"/>
                <w:szCs w:val="21"/>
                <w:lang w:eastAsia="zh-CN"/>
              </w:rPr>
              <w:t>度，进一步将塔顶的不凝尾气冷凝下来，减少了塔顶不凝尾气的产生，另外增加了一套液碱淋洗装置，将塔顶的酸性气体反应中和，最后增加了一套活性炭吸附装置，进一步对VOC</w:t>
            </w:r>
            <w:r>
              <w:rPr>
                <w:rFonts w:hint="eastAsia" w:ascii="Times New Roman" w:hAnsi="Times New Roman" w:cs="Times New Roman"/>
                <w:sz w:val="21"/>
                <w:szCs w:val="21"/>
                <w:vertAlign w:val="subscript"/>
                <w:lang w:eastAsia="zh-CN"/>
              </w:rPr>
              <w:t>S</w:t>
            </w:r>
            <w:r>
              <w:rPr>
                <w:rFonts w:hint="eastAsia" w:ascii="Times New Roman" w:hAnsi="Times New Roman" w:cs="Times New Roman"/>
                <w:sz w:val="21"/>
                <w:szCs w:val="21"/>
                <w:lang w:eastAsia="zh-CN"/>
              </w:rPr>
              <w:t>进行处理。</w:t>
            </w:r>
            <w:r>
              <w:rPr>
                <w:rFonts w:hint="eastAsia" w:ascii="Times New Roman" w:hAnsi="Times New Roman" w:cs="Times New Roman"/>
                <w:sz w:val="21"/>
                <w:szCs w:val="21"/>
                <w:lang w:val="en-US" w:eastAsia="zh-CN"/>
              </w:rPr>
              <w:t>措施照片见图4.4-1。</w:t>
            </w:r>
          </w:p>
        </w:tc>
      </w:tr>
    </w:tbl>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 xml:space="preserve">4.4-2 </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eastAsia="zh-CN"/>
        </w:rPr>
        <w:t>批复落实情况</w:t>
      </w:r>
      <w:r>
        <w:rPr>
          <w:rFonts w:hint="default" w:ascii="Times New Roman" w:hAnsi="Times New Roman" w:eastAsia="宋体" w:cs="Times New Roman"/>
          <w:b/>
          <w:bCs/>
          <w:color w:val="auto"/>
          <w:sz w:val="24"/>
          <w:szCs w:val="24"/>
        </w:rPr>
        <w:t>一览表</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73"/>
        <w:gridCol w:w="4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283"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批复要求</w:t>
            </w:r>
          </w:p>
        </w:tc>
        <w:tc>
          <w:tcPr>
            <w:tcW w:w="1716"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3283"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根据你公司委托苏州清泉环保科技有限公司编制的项目环评报告的评价结论和环评技术评估机构的评估结论，从环境保护角度分析，在江苏省扬子江国际化学工业园长江路60号现有厂区内建设脂肪酸酯产品结构调整及节能减排技术改造项目可行，同意建设。</w:t>
            </w:r>
          </w:p>
        </w:tc>
        <w:tc>
          <w:tcPr>
            <w:tcW w:w="171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建设地点与批复一致。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283"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厂区应按</w:t>
            </w:r>
            <w:r>
              <w:rPr>
                <w:rFonts w:hint="default" w:ascii="Times New Roman" w:hAnsi="Times New Roman" w:eastAsia="宋体" w:cs="Times New Roman"/>
                <w:color w:val="auto"/>
                <w:sz w:val="21"/>
                <w:szCs w:val="21"/>
                <w:lang w:val="zh-CN" w:eastAsia="zh-CN"/>
              </w:rPr>
              <w:t>“清污</w:t>
            </w:r>
            <w:r>
              <w:rPr>
                <w:rFonts w:hint="default" w:ascii="Times New Roman" w:hAnsi="Times New Roman" w:eastAsia="宋体" w:cs="Times New Roman"/>
                <w:color w:val="auto"/>
                <w:sz w:val="21"/>
                <w:szCs w:val="21"/>
              </w:rPr>
              <w:t>分流、雨污分流、分质处理”原则完善给排水管网建设，依据《江苏省政府关于深入推进化工行业转型发展的实施意见》（苏政发</w:t>
            </w:r>
            <w:r>
              <w:rPr>
                <w:rFonts w:hint="default" w:ascii="Times New Roman" w:hAnsi="Times New Roman" w:eastAsia="宋体" w:cs="Times New Roman"/>
                <w:color w:val="auto"/>
                <w:sz w:val="21"/>
                <w:szCs w:val="21"/>
                <w:lang w:val="en-US" w:eastAsia="en-US"/>
              </w:rPr>
              <w:t>C2016J128</w:t>
            </w:r>
            <w:r>
              <w:rPr>
                <w:rFonts w:hint="default" w:ascii="Times New Roman" w:hAnsi="Times New Roman" w:eastAsia="宋体" w:cs="Times New Roman"/>
                <w:color w:val="auto"/>
                <w:sz w:val="21"/>
                <w:szCs w:val="21"/>
              </w:rPr>
              <w:t>号），厂内污水管网需采用明管。雨水通过雨水排口排入园区雨水管网，工艺废水、真空系统废水、清洗设备废水、罐区初期雨水经厂内污水处理站处理达标后，接管至张家港保税区胜科水务有限公司集中处理，执行张家港保税区胜科水务有限公司接管标准。</w:t>
            </w:r>
          </w:p>
        </w:tc>
        <w:tc>
          <w:tcPr>
            <w:tcW w:w="171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CN" w:eastAsia="zh-CN"/>
              </w:rPr>
              <w:t>按照“清污</w:t>
            </w:r>
            <w:r>
              <w:rPr>
                <w:rFonts w:hint="default" w:ascii="Times New Roman" w:hAnsi="Times New Roman" w:eastAsia="宋体" w:cs="Times New Roman"/>
                <w:color w:val="auto"/>
                <w:sz w:val="21"/>
                <w:szCs w:val="21"/>
              </w:rPr>
              <w:t>分流、雨污分流、分质处理”原则完善</w:t>
            </w:r>
            <w:r>
              <w:rPr>
                <w:rFonts w:hint="default" w:ascii="Times New Roman" w:hAnsi="Times New Roman" w:eastAsia="宋体" w:cs="Times New Roman"/>
                <w:color w:val="auto"/>
                <w:sz w:val="21"/>
                <w:szCs w:val="21"/>
                <w:lang w:eastAsia="zh-CN"/>
              </w:rPr>
              <w:t>了</w:t>
            </w:r>
            <w:r>
              <w:rPr>
                <w:rFonts w:hint="default" w:ascii="Times New Roman" w:hAnsi="Times New Roman" w:eastAsia="宋体" w:cs="Times New Roman"/>
                <w:color w:val="auto"/>
                <w:sz w:val="21"/>
                <w:szCs w:val="21"/>
              </w:rPr>
              <w:t>给排水管网建设，厂内污水管网需采用明管</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雨水通过雨水排口排入园区雨水管网，工艺废水、真空系统废水、清洗设备废水、罐区初期雨水经厂内污水处理站处理达标后，接管至张家港保税区胜科水务有限公司集中处理，</w:t>
            </w:r>
            <w:r>
              <w:rPr>
                <w:rFonts w:hint="default" w:ascii="Times New Roman" w:hAnsi="Times New Roman" w:eastAsia="宋体" w:cs="Times New Roman"/>
                <w:color w:val="auto"/>
                <w:sz w:val="21"/>
                <w:szCs w:val="21"/>
                <w:lang w:eastAsia="zh-CN"/>
              </w:rPr>
              <w:t>满足</w:t>
            </w:r>
            <w:r>
              <w:rPr>
                <w:rFonts w:hint="default" w:ascii="Times New Roman" w:hAnsi="Times New Roman" w:eastAsia="宋体" w:cs="Times New Roman"/>
                <w:color w:val="auto"/>
                <w:sz w:val="21"/>
                <w:szCs w:val="21"/>
              </w:rPr>
              <w:t>张家港保税区胜科水务有限公司接管标准。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3283"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项目生产过程产生的投料粉尘经</w:t>
            </w:r>
            <w:r>
              <w:rPr>
                <w:rFonts w:hint="default" w:ascii="Times New Roman" w:hAnsi="Times New Roman" w:eastAsia="宋体" w:cs="Times New Roman"/>
                <w:color w:val="auto"/>
                <w:sz w:val="21"/>
                <w:szCs w:val="21"/>
                <w:lang w:val="zh-CN" w:eastAsia="zh-CN"/>
              </w:rPr>
              <w:t>“布袋</w:t>
            </w:r>
            <w:r>
              <w:rPr>
                <w:rFonts w:hint="default" w:ascii="Times New Roman" w:hAnsi="Times New Roman" w:eastAsia="宋体" w:cs="Times New Roman"/>
                <w:color w:val="auto"/>
                <w:sz w:val="21"/>
                <w:szCs w:val="21"/>
              </w:rPr>
              <w:t>除尘”系统处理达标后排放；甲类装置区、丙类装置区的清釜及工艺废气分别经两套</w:t>
            </w:r>
            <w:r>
              <w:rPr>
                <w:rFonts w:hint="default" w:ascii="Times New Roman" w:hAnsi="Times New Roman" w:eastAsia="宋体" w:cs="Times New Roman"/>
                <w:color w:val="auto"/>
                <w:sz w:val="21"/>
                <w:szCs w:val="21"/>
                <w:lang w:val="zh-CN" w:eastAsia="zh-CN"/>
              </w:rPr>
              <w:t>“两</w:t>
            </w:r>
            <w:r>
              <w:rPr>
                <w:rFonts w:hint="default" w:ascii="Times New Roman" w:hAnsi="Times New Roman" w:eastAsia="宋体" w:cs="Times New Roman"/>
                <w:color w:val="auto"/>
                <w:sz w:val="21"/>
                <w:szCs w:val="21"/>
              </w:rPr>
              <w:t>级冷凝+热井吸收+活性炭吸附"装置处理达标后排放。本项目</w:t>
            </w:r>
            <w:r>
              <w:rPr>
                <w:rFonts w:hint="default" w:ascii="Times New Roman" w:hAnsi="Times New Roman" w:eastAsia="宋体" w:cs="Times New Roman"/>
                <w:color w:val="auto"/>
                <w:sz w:val="21"/>
                <w:szCs w:val="21"/>
                <w:lang w:val="en-US" w:eastAsia="en-US"/>
              </w:rPr>
              <w:t>VOCs</w:t>
            </w:r>
            <w:r>
              <w:rPr>
                <w:rFonts w:hint="default" w:ascii="Times New Roman" w:hAnsi="Times New Roman" w:eastAsia="宋体" w:cs="Times New Roman"/>
                <w:color w:val="auto"/>
                <w:sz w:val="21"/>
                <w:szCs w:val="21"/>
              </w:rPr>
              <w:t>(以非甲烷</w:t>
            </w:r>
            <w:r>
              <w:rPr>
                <w:rFonts w:hint="default" w:ascii="Times New Roman" w:hAnsi="Times New Roman" w:eastAsia="宋体" w:cs="Times New Roman"/>
                <w:color w:val="auto"/>
                <w:sz w:val="21"/>
                <w:szCs w:val="21"/>
                <w:lang w:eastAsia="zh-CN"/>
              </w:rPr>
              <w:t>总烃</w:t>
            </w:r>
            <w:r>
              <w:rPr>
                <w:rFonts w:hint="default" w:ascii="Times New Roman" w:hAnsi="Times New Roman" w:eastAsia="宋体" w:cs="Times New Roman"/>
                <w:color w:val="auto"/>
                <w:sz w:val="21"/>
                <w:szCs w:val="21"/>
              </w:rPr>
              <w:t>计)、臭气浓度执行江苏省地方标准《化学工业挥发性有机物排放标准》</w:t>
            </w:r>
            <w:r>
              <w:rPr>
                <w:rFonts w:hint="default" w:ascii="Times New Roman" w:hAnsi="Times New Roman" w:eastAsia="宋体" w:cs="Times New Roman"/>
                <w:color w:val="auto"/>
                <w:sz w:val="21"/>
                <w:szCs w:val="21"/>
                <w:lang w:val="en-US" w:eastAsia="en-US"/>
              </w:rPr>
              <w:t>(DB32/3151-2016)</w:t>
            </w:r>
            <w:r>
              <w:rPr>
                <w:rFonts w:hint="default" w:ascii="Times New Roman" w:hAnsi="Times New Roman" w:eastAsia="宋体" w:cs="Times New Roman"/>
                <w:color w:val="auto"/>
                <w:sz w:val="21"/>
                <w:szCs w:val="21"/>
              </w:rPr>
              <w:t>表1、表2标准；颗粒物执行《大气污染物综合排放标准》</w:t>
            </w:r>
            <w:r>
              <w:rPr>
                <w:rFonts w:hint="default" w:ascii="Times New Roman" w:hAnsi="Times New Roman" w:eastAsia="宋体" w:cs="Times New Roman"/>
                <w:color w:val="auto"/>
                <w:sz w:val="21"/>
                <w:szCs w:val="21"/>
                <w:lang w:val="en-US" w:eastAsia="en-US"/>
              </w:rPr>
              <w:t>(GB16297-1996)</w:t>
            </w:r>
            <w:r>
              <w:rPr>
                <w:rFonts w:hint="default" w:ascii="Times New Roman" w:hAnsi="Times New Roman" w:eastAsia="宋体" w:cs="Times New Roman"/>
                <w:color w:val="auto"/>
                <w:sz w:val="21"/>
                <w:szCs w:val="21"/>
              </w:rPr>
              <w:t>表2二级标准；异丙醇执行制定标准。</w:t>
            </w:r>
          </w:p>
        </w:tc>
        <w:tc>
          <w:tcPr>
            <w:tcW w:w="171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丙类装置区</w:t>
            </w:r>
            <w:r>
              <w:rPr>
                <w:rFonts w:hint="eastAsia" w:ascii="Times New Roman" w:hAnsi="Times New Roman" w:eastAsia="宋体" w:cs="Times New Roman"/>
                <w:color w:val="auto"/>
                <w:sz w:val="21"/>
                <w:szCs w:val="21"/>
                <w:lang w:eastAsia="zh-CN"/>
              </w:rPr>
              <w:t>不再建设</w:t>
            </w:r>
            <w:r>
              <w:rPr>
                <w:rFonts w:hint="default" w:ascii="Times New Roman" w:hAnsi="Times New Roman" w:eastAsia="宋体" w:cs="Times New Roman"/>
                <w:color w:val="auto"/>
                <w:sz w:val="21"/>
                <w:szCs w:val="21"/>
                <w:lang w:eastAsia="zh-CN"/>
              </w:rPr>
              <w:t>，配套环保设计未建设；</w:t>
            </w:r>
            <w:r>
              <w:rPr>
                <w:rFonts w:hint="default" w:ascii="Times New Roman" w:hAnsi="Times New Roman" w:eastAsia="宋体" w:cs="Times New Roman"/>
                <w:color w:val="auto"/>
                <w:sz w:val="21"/>
                <w:szCs w:val="21"/>
              </w:rPr>
              <w:t>项目生产过程产生的投料粉尘经</w:t>
            </w:r>
            <w:r>
              <w:rPr>
                <w:rFonts w:hint="default" w:ascii="Times New Roman" w:hAnsi="Times New Roman" w:eastAsia="宋体" w:cs="Times New Roman"/>
                <w:color w:val="auto"/>
                <w:sz w:val="21"/>
                <w:szCs w:val="21"/>
                <w:lang w:val="zh-CN" w:eastAsia="zh-CN"/>
              </w:rPr>
              <w:t>“布袋</w:t>
            </w:r>
            <w:r>
              <w:rPr>
                <w:rFonts w:hint="default" w:ascii="Times New Roman" w:hAnsi="Times New Roman" w:eastAsia="宋体" w:cs="Times New Roman"/>
                <w:color w:val="auto"/>
                <w:sz w:val="21"/>
                <w:szCs w:val="21"/>
              </w:rPr>
              <w:t>除尘”系统处理达标后排放；甲类装置区的清釜及工艺废气分别经</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套</w:t>
            </w:r>
            <w:r>
              <w:rPr>
                <w:rFonts w:hint="default" w:ascii="Times New Roman" w:hAnsi="Times New Roman" w:eastAsia="宋体" w:cs="Times New Roman"/>
                <w:color w:val="auto"/>
                <w:sz w:val="21"/>
                <w:szCs w:val="21"/>
                <w:lang w:val="zh-CN" w:eastAsia="zh-CN"/>
              </w:rPr>
              <w:t>“两</w:t>
            </w:r>
            <w:r>
              <w:rPr>
                <w:rFonts w:hint="default" w:ascii="Times New Roman" w:hAnsi="Times New Roman" w:eastAsia="宋体" w:cs="Times New Roman"/>
                <w:color w:val="auto"/>
                <w:sz w:val="21"/>
                <w:szCs w:val="21"/>
              </w:rPr>
              <w:t>级冷凝+热井吸收+活性炭吸附"装置处理达标后排放。本项目</w:t>
            </w:r>
            <w:r>
              <w:rPr>
                <w:rFonts w:hint="default" w:ascii="Times New Roman" w:hAnsi="Times New Roman" w:eastAsia="宋体" w:cs="Times New Roman"/>
                <w:color w:val="auto"/>
                <w:sz w:val="21"/>
                <w:szCs w:val="21"/>
                <w:lang w:val="en-US" w:eastAsia="en-US"/>
              </w:rPr>
              <w:t>VOCs</w:t>
            </w:r>
            <w:r>
              <w:rPr>
                <w:rFonts w:hint="default" w:ascii="Times New Roman" w:hAnsi="Times New Roman" w:eastAsia="宋体" w:cs="Times New Roman"/>
                <w:color w:val="auto"/>
                <w:sz w:val="21"/>
                <w:szCs w:val="21"/>
              </w:rPr>
              <w:t>(以非甲烷</w:t>
            </w:r>
            <w:r>
              <w:rPr>
                <w:rFonts w:hint="default" w:ascii="Times New Roman" w:hAnsi="Times New Roman" w:eastAsia="宋体" w:cs="Times New Roman"/>
                <w:color w:val="auto"/>
                <w:sz w:val="21"/>
                <w:szCs w:val="21"/>
                <w:lang w:eastAsia="zh-CN"/>
              </w:rPr>
              <w:t>总烃</w:t>
            </w:r>
            <w:r>
              <w:rPr>
                <w:rFonts w:hint="default" w:ascii="Times New Roman" w:hAnsi="Times New Roman" w:eastAsia="宋体" w:cs="Times New Roman"/>
                <w:color w:val="auto"/>
                <w:sz w:val="21"/>
                <w:szCs w:val="21"/>
              </w:rPr>
              <w:t>计)、臭气浓度</w:t>
            </w:r>
            <w:r>
              <w:rPr>
                <w:rFonts w:hint="default" w:ascii="Times New Roman" w:hAnsi="Times New Roman" w:eastAsia="宋体" w:cs="Times New Roman"/>
                <w:color w:val="auto"/>
                <w:sz w:val="21"/>
                <w:szCs w:val="21"/>
                <w:lang w:eastAsia="zh-CN"/>
              </w:rPr>
              <w:t>排放满足</w:t>
            </w:r>
            <w:r>
              <w:rPr>
                <w:rFonts w:hint="default" w:ascii="Times New Roman" w:hAnsi="Times New Roman" w:eastAsia="宋体" w:cs="Times New Roman"/>
                <w:color w:val="auto"/>
                <w:sz w:val="21"/>
                <w:szCs w:val="21"/>
              </w:rPr>
              <w:t>江苏省地方标准《化学工业挥发性有机物排放标准》</w:t>
            </w:r>
            <w:r>
              <w:rPr>
                <w:rFonts w:hint="default" w:ascii="Times New Roman" w:hAnsi="Times New Roman" w:eastAsia="宋体" w:cs="Times New Roman"/>
                <w:color w:val="auto"/>
                <w:sz w:val="21"/>
                <w:szCs w:val="21"/>
                <w:lang w:val="en-US" w:eastAsia="en-US"/>
              </w:rPr>
              <w:t>(DB32/3151-2016)</w:t>
            </w:r>
            <w:r>
              <w:rPr>
                <w:rFonts w:hint="default" w:ascii="Times New Roman" w:hAnsi="Times New Roman" w:eastAsia="宋体" w:cs="Times New Roman"/>
                <w:color w:val="auto"/>
                <w:sz w:val="21"/>
                <w:szCs w:val="21"/>
              </w:rPr>
              <w:t>表1、表2标准；颗粒物</w:t>
            </w:r>
            <w:r>
              <w:rPr>
                <w:rFonts w:hint="default" w:ascii="Times New Roman" w:hAnsi="Times New Roman" w:eastAsia="宋体" w:cs="Times New Roman"/>
                <w:color w:val="auto"/>
                <w:sz w:val="21"/>
                <w:szCs w:val="21"/>
                <w:lang w:eastAsia="zh-CN"/>
              </w:rPr>
              <w:t>排放满足</w:t>
            </w:r>
            <w:r>
              <w:rPr>
                <w:rFonts w:hint="default" w:ascii="Times New Roman" w:hAnsi="Times New Roman" w:eastAsia="宋体" w:cs="Times New Roman"/>
                <w:color w:val="auto"/>
                <w:sz w:val="21"/>
                <w:szCs w:val="21"/>
              </w:rPr>
              <w:t>《大气污染物综合排放标准》</w:t>
            </w:r>
            <w:r>
              <w:rPr>
                <w:rFonts w:hint="default" w:ascii="Times New Roman" w:hAnsi="Times New Roman" w:eastAsia="宋体" w:cs="Times New Roman"/>
                <w:color w:val="auto"/>
                <w:sz w:val="21"/>
                <w:szCs w:val="21"/>
                <w:lang w:val="en-US" w:eastAsia="en-US"/>
              </w:rPr>
              <w:t>(GB16297-1996)</w:t>
            </w:r>
            <w:r>
              <w:rPr>
                <w:rFonts w:hint="default" w:ascii="Times New Roman" w:hAnsi="Times New Roman" w:eastAsia="宋体" w:cs="Times New Roman"/>
                <w:color w:val="auto"/>
                <w:sz w:val="21"/>
                <w:szCs w:val="21"/>
              </w:rPr>
              <w:t>表2二级标准；异丙醇</w:t>
            </w:r>
            <w:r>
              <w:rPr>
                <w:rFonts w:hint="default" w:ascii="Times New Roman" w:hAnsi="Times New Roman" w:eastAsia="宋体" w:cs="Times New Roman"/>
                <w:color w:val="auto"/>
                <w:sz w:val="21"/>
                <w:szCs w:val="21"/>
                <w:lang w:eastAsia="zh-CN"/>
              </w:rPr>
              <w:t>排放满足</w:t>
            </w:r>
            <w:r>
              <w:rPr>
                <w:rFonts w:hint="default" w:ascii="Times New Roman" w:hAnsi="Times New Roman" w:eastAsia="宋体" w:cs="Times New Roman"/>
                <w:color w:val="auto"/>
                <w:sz w:val="21"/>
                <w:szCs w:val="21"/>
              </w:rPr>
              <w:t>制定标准。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3283"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合理进行生产布局，釆取隔声降噪措施，厂界噪声执行《工业企业厂界环境噪声排放标准》</w:t>
            </w:r>
            <w:r>
              <w:rPr>
                <w:rFonts w:hint="default" w:ascii="Times New Roman" w:hAnsi="Times New Roman" w:eastAsia="宋体" w:cs="Times New Roman"/>
                <w:color w:val="auto"/>
                <w:sz w:val="21"/>
                <w:szCs w:val="21"/>
                <w:lang w:val="en-US" w:eastAsia="en-US"/>
              </w:rPr>
              <w:t>(GB</w:t>
            </w:r>
            <w:r>
              <w:rPr>
                <w:rFonts w:hint="default" w:ascii="Times New Roman" w:hAnsi="Times New Roman" w:eastAsia="宋体" w:cs="Times New Roman"/>
                <w:color w:val="auto"/>
                <w:sz w:val="21"/>
                <w:szCs w:val="21"/>
              </w:rPr>
              <w:t>12348-2008) 3类区标准，白天</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en-US"/>
              </w:rPr>
              <w:t>65</w:t>
            </w:r>
            <w:r>
              <w:rPr>
                <w:rFonts w:hint="default" w:ascii="Times New Roman" w:hAnsi="Times New Roman" w:eastAsia="宋体" w:cs="Times New Roman"/>
                <w:color w:val="auto"/>
                <w:sz w:val="21"/>
                <w:szCs w:val="21"/>
              </w:rPr>
              <w:t>分贝，夜间＜55分贝。</w:t>
            </w:r>
          </w:p>
        </w:tc>
        <w:tc>
          <w:tcPr>
            <w:tcW w:w="171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厂界噪声</w:t>
            </w:r>
            <w:r>
              <w:rPr>
                <w:rFonts w:hint="default" w:ascii="Times New Roman" w:hAnsi="Times New Roman" w:eastAsia="宋体" w:cs="Times New Roman"/>
                <w:color w:val="auto"/>
                <w:sz w:val="21"/>
                <w:szCs w:val="21"/>
                <w:lang w:eastAsia="zh-CN"/>
              </w:rPr>
              <w:t>满足</w:t>
            </w:r>
            <w:r>
              <w:rPr>
                <w:rFonts w:hint="default" w:ascii="Times New Roman" w:hAnsi="Times New Roman" w:eastAsia="宋体" w:cs="Times New Roman"/>
                <w:color w:val="auto"/>
                <w:sz w:val="21"/>
                <w:szCs w:val="21"/>
              </w:rPr>
              <w:t>《工业企业厂界环境噪声排放标准》</w:t>
            </w:r>
            <w:r>
              <w:rPr>
                <w:rFonts w:hint="default" w:ascii="Times New Roman" w:hAnsi="Times New Roman" w:eastAsia="宋体" w:cs="Times New Roman"/>
                <w:color w:val="auto"/>
                <w:sz w:val="21"/>
                <w:szCs w:val="21"/>
                <w:lang w:val="en-US" w:eastAsia="en-US"/>
              </w:rPr>
              <w:t>(GB</w:t>
            </w:r>
            <w:r>
              <w:rPr>
                <w:rFonts w:hint="default" w:ascii="Times New Roman" w:hAnsi="Times New Roman" w:eastAsia="宋体" w:cs="Times New Roman"/>
                <w:color w:val="auto"/>
                <w:sz w:val="21"/>
                <w:szCs w:val="21"/>
              </w:rPr>
              <w:t>12348-2008) 3类区标准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3283"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危险废物、一般固体废物、生活垃圾须分类收集。危险废物废催化剂桶</w:t>
            </w:r>
            <w:r>
              <w:rPr>
                <w:rFonts w:hint="default" w:ascii="Times New Roman" w:hAnsi="Times New Roman" w:eastAsia="宋体" w:cs="Times New Roman"/>
                <w:color w:val="auto"/>
                <w:sz w:val="21"/>
                <w:szCs w:val="21"/>
                <w:lang w:val="en-US" w:eastAsia="en-US"/>
              </w:rPr>
              <w:t>(HW49)、</w:t>
            </w:r>
            <w:r>
              <w:rPr>
                <w:rFonts w:hint="default" w:ascii="Times New Roman" w:hAnsi="Times New Roman" w:eastAsia="宋体" w:cs="Times New Roman"/>
                <w:color w:val="auto"/>
                <w:sz w:val="21"/>
                <w:szCs w:val="21"/>
              </w:rPr>
              <w:t>废活性炭</w:t>
            </w:r>
            <w:r>
              <w:rPr>
                <w:rFonts w:hint="default" w:ascii="Times New Roman" w:hAnsi="Times New Roman" w:eastAsia="宋体" w:cs="Times New Roman"/>
                <w:color w:val="auto"/>
                <w:sz w:val="21"/>
                <w:szCs w:val="21"/>
                <w:lang w:val="en-US" w:eastAsia="en-US"/>
              </w:rPr>
              <w:t>(HW49)</w:t>
            </w:r>
            <w:r>
              <w:rPr>
                <w:rFonts w:hint="default" w:ascii="Times New Roman" w:hAnsi="Times New Roman" w:eastAsia="宋体" w:cs="Times New Roman"/>
                <w:color w:val="auto"/>
                <w:sz w:val="21"/>
                <w:szCs w:val="21"/>
              </w:rPr>
              <w:t>须委托有资质单位处置；一般固体废物须委托具有相应处置能力的单位处置，不得排放；生活垃圾须送当地政府规定的地点进行处置，不得随意扔撒或者堆放；危险废物厂内贮存必须符合《危险废物贮存污染控制标准》</w:t>
            </w:r>
            <w:r>
              <w:rPr>
                <w:rFonts w:hint="default" w:ascii="Times New Roman" w:hAnsi="Times New Roman" w:eastAsia="宋体" w:cs="Times New Roman"/>
                <w:color w:val="auto"/>
                <w:sz w:val="21"/>
                <w:szCs w:val="21"/>
                <w:lang w:val="en-US" w:eastAsia="en-US"/>
              </w:rPr>
              <w:t>(GB18597-2001)</w:t>
            </w:r>
            <w:r>
              <w:rPr>
                <w:rFonts w:hint="default" w:ascii="Times New Roman" w:hAnsi="Times New Roman" w:eastAsia="宋体" w:cs="Times New Roman"/>
                <w:color w:val="auto"/>
                <w:sz w:val="21"/>
                <w:szCs w:val="21"/>
              </w:rPr>
              <w:t>的规定，在转移处理危险废物过程中，须严格执行危险废物转移联单制度，禁止将危险废 物排放至环境中。在试生产期间对项目产生的废滤饼按国家规定的标准和方法开展危险特性鉴别，并根据其主要有害成分和危险性确定所属废物类别，按照《国家危险废物名录》要求进行归类管理。在未完成废滤饼的危险废物鉴别前，须妥善贮存,不得转移，并做好管理工作。</w:t>
            </w:r>
          </w:p>
        </w:tc>
        <w:tc>
          <w:tcPr>
            <w:tcW w:w="171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危险废物、一般固体废物、生活垃圾分类收集。固体废物须委托具有相应处置能力的单位处置；生活垃圾</w:t>
            </w:r>
            <w:r>
              <w:rPr>
                <w:rFonts w:hint="default" w:ascii="Times New Roman" w:hAnsi="Times New Roman" w:eastAsia="宋体" w:cs="Times New Roman"/>
                <w:color w:val="auto"/>
                <w:sz w:val="21"/>
                <w:szCs w:val="21"/>
                <w:lang w:eastAsia="zh-CN"/>
              </w:rPr>
              <w:t>环卫清运</w:t>
            </w:r>
            <w:r>
              <w:rPr>
                <w:rFonts w:hint="default" w:ascii="Times New Roman" w:hAnsi="Times New Roman" w:eastAsia="宋体" w:cs="Times New Roman"/>
                <w:color w:val="auto"/>
                <w:sz w:val="21"/>
                <w:szCs w:val="21"/>
              </w:rPr>
              <w:t>处置</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废滤饼</w:t>
            </w:r>
            <w:r>
              <w:rPr>
                <w:rFonts w:hint="default" w:ascii="Times New Roman" w:hAnsi="Times New Roman" w:eastAsia="宋体" w:cs="Times New Roman"/>
                <w:color w:val="auto"/>
                <w:sz w:val="21"/>
                <w:szCs w:val="21"/>
                <w:lang w:eastAsia="zh-CN"/>
              </w:rPr>
              <w:t>经鉴别属于危废，签订了处置协议，委托资质单位处理。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3283"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建设单位应落实环境影响评价文件提出的在保留原有项目设置的卫生防护距离基础上，以技改项目边界设置100米卫生防护距离要求，今后该卫生防护距离内不得建设居民住宅、医院、学校等环境敏感目标。</w:t>
            </w:r>
          </w:p>
        </w:tc>
        <w:tc>
          <w:tcPr>
            <w:tcW w:w="171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卫生防护距离内无敏感点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3283"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建设单位须釆取有效的环境风险防范措施，建立健全的环境管理制度，加强化学品生产、运输、储存、装卸和使用等环节的防范措施，杜绝污染事故的发生。按《关于印发〈企业事业单位突发环境事件应急预案备案管理办法（试</w:t>
            </w:r>
            <w:r>
              <w:rPr>
                <w:rFonts w:hint="default" w:ascii="Times New Roman" w:hAnsi="Times New Roman" w:eastAsia="宋体" w:cs="Times New Roman"/>
                <w:color w:val="auto"/>
                <w:sz w:val="21"/>
                <w:szCs w:val="21"/>
                <w:lang w:val="zh-CN" w:eastAsia="zh-CN"/>
              </w:rPr>
              <w:t>行）〉</w:t>
            </w:r>
            <w:r>
              <w:rPr>
                <w:rFonts w:hint="default" w:ascii="Times New Roman" w:hAnsi="Times New Roman" w:eastAsia="宋体" w:cs="Times New Roman"/>
                <w:color w:val="auto"/>
                <w:sz w:val="21"/>
                <w:szCs w:val="21"/>
              </w:rPr>
              <w:t>的通知》（环发</w:t>
            </w:r>
            <w:r>
              <w:rPr>
                <w:rFonts w:hint="default" w:ascii="Times New Roman" w:hAnsi="Times New Roman" w:eastAsia="宋体" w:cs="Times New Roman"/>
                <w:color w:val="auto"/>
                <w:sz w:val="21"/>
                <w:szCs w:val="21"/>
                <w:lang w:val="en-US" w:eastAsia="en-US"/>
              </w:rPr>
              <w:t>［2015J4</w:t>
            </w:r>
            <w:r>
              <w:rPr>
                <w:rFonts w:hint="default" w:ascii="Times New Roman" w:hAnsi="Times New Roman" w:eastAsia="宋体" w:cs="Times New Roman"/>
                <w:color w:val="auto"/>
                <w:sz w:val="21"/>
                <w:szCs w:val="21"/>
              </w:rPr>
              <w:t>号）等要求在试生产前编制突发环境事件应急预案并报所在地环境保护主管部门备案，注意做好与扬子江国际化工园区应急预案的衔接，做好应急预案宣传、培训工作并定期演练、设置足够容量的废水事故应急池，雨水、废水排</w:t>
            </w:r>
            <w:r>
              <w:rPr>
                <w:rFonts w:hint="default" w:ascii="Times New Roman" w:hAnsi="Times New Roman" w:eastAsia="宋体" w:cs="Times New Roman"/>
                <w:color w:val="auto"/>
                <w:sz w:val="21"/>
                <w:szCs w:val="21"/>
                <w:lang w:eastAsia="zh-CN"/>
              </w:rPr>
              <w:t>口</w:t>
            </w:r>
            <w:r>
              <w:rPr>
                <w:rFonts w:hint="default" w:ascii="Times New Roman" w:hAnsi="Times New Roman" w:eastAsia="宋体" w:cs="Times New Roman"/>
                <w:color w:val="auto"/>
                <w:sz w:val="21"/>
                <w:szCs w:val="21"/>
              </w:rPr>
              <w:t>设置联锁自动的与外界隔断装置，防止各项污染物的超标事故发生。</w:t>
            </w:r>
          </w:p>
        </w:tc>
        <w:tc>
          <w:tcPr>
            <w:tcW w:w="171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釆取</w:t>
            </w:r>
            <w:r>
              <w:rPr>
                <w:rFonts w:hint="default" w:ascii="Times New Roman" w:hAnsi="Times New Roman" w:eastAsia="宋体" w:cs="Times New Roman"/>
                <w:color w:val="auto"/>
                <w:sz w:val="21"/>
                <w:szCs w:val="21"/>
                <w:lang w:eastAsia="zh-CN"/>
              </w:rPr>
              <w:t>了</w:t>
            </w:r>
            <w:r>
              <w:rPr>
                <w:rFonts w:hint="default" w:ascii="Times New Roman" w:hAnsi="Times New Roman" w:eastAsia="宋体" w:cs="Times New Roman"/>
                <w:color w:val="auto"/>
                <w:sz w:val="21"/>
                <w:szCs w:val="21"/>
              </w:rPr>
              <w:t>的环境风险防范措施，建立</w:t>
            </w:r>
            <w:r>
              <w:rPr>
                <w:rFonts w:hint="default" w:ascii="Times New Roman" w:hAnsi="Times New Roman" w:eastAsia="宋体" w:cs="Times New Roman"/>
                <w:color w:val="auto"/>
                <w:sz w:val="21"/>
                <w:szCs w:val="21"/>
                <w:lang w:eastAsia="zh-CN"/>
              </w:rPr>
              <w:t>了</w:t>
            </w:r>
            <w:r>
              <w:rPr>
                <w:rFonts w:hint="default" w:ascii="Times New Roman" w:hAnsi="Times New Roman" w:eastAsia="宋体" w:cs="Times New Roman"/>
                <w:color w:val="auto"/>
                <w:sz w:val="21"/>
                <w:szCs w:val="21"/>
              </w:rPr>
              <w:t>环境管理制度。</w:t>
            </w:r>
            <w:r>
              <w:rPr>
                <w:rFonts w:hint="default" w:ascii="Times New Roman" w:hAnsi="Times New Roman" w:eastAsia="宋体" w:cs="Times New Roman"/>
                <w:color w:val="auto"/>
                <w:sz w:val="21"/>
                <w:szCs w:val="21"/>
                <w:lang w:eastAsia="zh-CN"/>
              </w:rPr>
              <w:t>编制了应急预案并备案，定期组织演练，</w:t>
            </w:r>
            <w:r>
              <w:rPr>
                <w:rFonts w:hint="default" w:ascii="Times New Roman" w:hAnsi="Times New Roman" w:eastAsia="宋体" w:cs="Times New Roman"/>
                <w:color w:val="auto"/>
                <w:sz w:val="21"/>
                <w:szCs w:val="21"/>
              </w:rPr>
              <w:t>设置</w:t>
            </w:r>
            <w:r>
              <w:rPr>
                <w:rFonts w:hint="default" w:ascii="Times New Roman" w:hAnsi="Times New Roman" w:eastAsia="宋体" w:cs="Times New Roman"/>
                <w:color w:val="auto"/>
                <w:sz w:val="21"/>
                <w:szCs w:val="21"/>
                <w:lang w:eastAsia="zh-CN"/>
              </w:rPr>
              <w:t>了</w:t>
            </w:r>
            <w:r>
              <w:rPr>
                <w:rFonts w:hint="default" w:ascii="Times New Roman" w:hAnsi="Times New Roman" w:eastAsia="宋体" w:cs="Times New Roman"/>
                <w:color w:val="auto"/>
                <w:sz w:val="21"/>
                <w:szCs w:val="21"/>
              </w:rPr>
              <w:t>废水事故应急池，雨水、废水排</w:t>
            </w:r>
            <w:r>
              <w:rPr>
                <w:rFonts w:hint="default" w:ascii="Times New Roman" w:hAnsi="Times New Roman" w:eastAsia="宋体" w:cs="Times New Roman"/>
                <w:color w:val="auto"/>
                <w:sz w:val="21"/>
                <w:szCs w:val="21"/>
                <w:lang w:eastAsia="zh-CN"/>
              </w:rPr>
              <w:t>口</w:t>
            </w:r>
            <w:r>
              <w:rPr>
                <w:rFonts w:hint="default" w:ascii="Times New Roman" w:hAnsi="Times New Roman" w:eastAsia="宋体" w:cs="Times New Roman"/>
                <w:color w:val="auto"/>
                <w:sz w:val="21"/>
                <w:szCs w:val="21"/>
              </w:rPr>
              <w:t>设置</w:t>
            </w:r>
            <w:r>
              <w:rPr>
                <w:rFonts w:hint="default" w:ascii="Times New Roman" w:hAnsi="Times New Roman" w:eastAsia="宋体" w:cs="Times New Roman"/>
                <w:color w:val="auto"/>
                <w:sz w:val="21"/>
                <w:szCs w:val="21"/>
                <w:lang w:eastAsia="zh-CN"/>
              </w:rPr>
              <w:t>了</w:t>
            </w:r>
            <w:r>
              <w:rPr>
                <w:rFonts w:hint="default" w:ascii="Times New Roman" w:hAnsi="Times New Roman" w:eastAsia="宋体" w:cs="Times New Roman"/>
                <w:color w:val="auto"/>
                <w:sz w:val="21"/>
                <w:szCs w:val="21"/>
              </w:rPr>
              <w:t>隔断装置。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283"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排污口设置应按《江苏省排污口设置及规范化整治管理办法》的要求执行，废水、废气、噪声排放口和固体废物存放地设标志牌；废水、废气排放口设置釆样口；废水排放口安装污水自动计量装置、</w:t>
            </w:r>
            <w:r>
              <w:rPr>
                <w:rFonts w:hint="default" w:ascii="Times New Roman" w:hAnsi="Times New Roman" w:eastAsia="宋体" w:cs="Times New Roman"/>
                <w:color w:val="auto"/>
                <w:sz w:val="21"/>
                <w:szCs w:val="21"/>
                <w:lang w:val="en-US" w:eastAsia="en-US"/>
              </w:rPr>
              <w:t>COD</w:t>
            </w:r>
            <w:r>
              <w:rPr>
                <w:rFonts w:hint="default" w:ascii="Times New Roman" w:hAnsi="Times New Roman" w:eastAsia="宋体" w:cs="Times New Roman"/>
                <w:color w:val="auto"/>
                <w:sz w:val="21"/>
                <w:szCs w:val="21"/>
              </w:rPr>
              <w:t>等主要污染物在线监测仪器，并与张 家港市环境保护局联网。</w:t>
            </w:r>
          </w:p>
        </w:tc>
        <w:tc>
          <w:tcPr>
            <w:tcW w:w="171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各类排污口按照要求设置了监测平台、采样孔、标志牌，</w:t>
            </w:r>
            <w:r>
              <w:rPr>
                <w:rFonts w:hint="default" w:ascii="Times New Roman" w:hAnsi="Times New Roman" w:eastAsia="宋体" w:cs="Times New Roman"/>
                <w:color w:val="auto"/>
                <w:sz w:val="21"/>
                <w:szCs w:val="21"/>
              </w:rPr>
              <w:t>废水排放口安装</w:t>
            </w:r>
            <w:r>
              <w:rPr>
                <w:rFonts w:hint="default" w:ascii="Times New Roman" w:hAnsi="Times New Roman" w:eastAsia="宋体" w:cs="Times New Roman"/>
                <w:color w:val="auto"/>
                <w:sz w:val="21"/>
                <w:szCs w:val="21"/>
                <w:lang w:eastAsia="zh-CN"/>
              </w:rPr>
              <w:t>了</w:t>
            </w:r>
            <w:r>
              <w:rPr>
                <w:rFonts w:hint="default" w:ascii="Times New Roman" w:hAnsi="Times New Roman" w:eastAsia="宋体" w:cs="Times New Roman"/>
                <w:color w:val="auto"/>
                <w:sz w:val="21"/>
                <w:szCs w:val="21"/>
              </w:rPr>
              <w:t>污水自动计量装置、</w:t>
            </w:r>
            <w:r>
              <w:rPr>
                <w:rFonts w:hint="default" w:ascii="Times New Roman" w:hAnsi="Times New Roman" w:eastAsia="宋体" w:cs="Times New Roman"/>
                <w:color w:val="auto"/>
                <w:sz w:val="21"/>
                <w:szCs w:val="21"/>
                <w:lang w:val="en-US" w:eastAsia="en-US"/>
              </w:rPr>
              <w:t>COD</w:t>
            </w:r>
            <w:r>
              <w:rPr>
                <w:rFonts w:hint="default" w:ascii="Times New Roman" w:hAnsi="Times New Roman" w:eastAsia="宋体" w:cs="Times New Roman"/>
                <w:color w:val="auto"/>
                <w:sz w:val="21"/>
                <w:szCs w:val="21"/>
              </w:rPr>
              <w:t>等主要污染物在线监测仪器，并与张家港市环境保护局</w:t>
            </w:r>
            <w:r>
              <w:rPr>
                <w:rFonts w:hint="default" w:ascii="Times New Roman" w:hAnsi="Times New Roman" w:eastAsia="宋体" w:cs="Times New Roman"/>
                <w:color w:val="auto"/>
                <w:sz w:val="21"/>
                <w:szCs w:val="21"/>
                <w:lang w:eastAsia="zh-CN"/>
              </w:rPr>
              <w:t>进行了</w:t>
            </w:r>
            <w:r>
              <w:rPr>
                <w:rFonts w:hint="default" w:ascii="Times New Roman" w:hAnsi="Times New Roman" w:eastAsia="宋体" w:cs="Times New Roman"/>
                <w:color w:val="auto"/>
                <w:sz w:val="21"/>
                <w:szCs w:val="21"/>
              </w:rPr>
              <w:t>联网。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3283"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本项目建成后，企业需加强对全厂的废水和废气中的特征污染因子的监测。</w:t>
            </w:r>
          </w:p>
        </w:tc>
        <w:tc>
          <w:tcPr>
            <w:tcW w:w="171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已与江苏新锐环境监测有限公司签订了年度监测协议，按照排污证要求定期进行监测并填报自行监测数据平台。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3283"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企业需建立危废规范化管理平台，充分运用物联网技术，釆用含二维码信息的危险废物标签实现危废从产生到消亡的电子信息识别跟踪，并与张家港保税区危废智能监管平台联网，实线全过程、可视化、可溯源管理。</w:t>
            </w:r>
          </w:p>
        </w:tc>
        <w:tc>
          <w:tcPr>
            <w:tcW w:w="171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建立了危废管理制度，制定了危废管理计划，并在平台进行了备案，危废转移按照相应要求进行管理。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3283"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环境影响评价文件以及审批意见中提出的环境保护对策措施必须与主体工程同时设计、同时施工、同时投产，并开展环境监理工作。项目建成后，建设单位应按照国家规定的程序和要求向环保部门申领、变更、延续排污许可证，做到持证排污、按证排污。配套建设的环境保护设施经验收合格后，其主体工程方可投入生产或者使用；未经验收或者验收不合格 的，不得投入生产或者使用。</w:t>
            </w:r>
          </w:p>
        </w:tc>
        <w:tc>
          <w:tcPr>
            <w:tcW w:w="171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环保设施与主体工程</w:t>
            </w:r>
            <w:r>
              <w:rPr>
                <w:rFonts w:hint="default" w:ascii="Times New Roman" w:hAnsi="Times New Roman" w:eastAsia="宋体" w:cs="Times New Roman"/>
                <w:color w:val="auto"/>
                <w:sz w:val="21"/>
                <w:szCs w:val="21"/>
              </w:rPr>
              <w:t>同时设计、同时施工、同时投产，</w:t>
            </w:r>
            <w:r>
              <w:rPr>
                <w:rFonts w:hint="default" w:ascii="Times New Roman" w:hAnsi="Times New Roman" w:eastAsia="宋体" w:cs="Times New Roman"/>
                <w:color w:val="auto"/>
                <w:sz w:val="21"/>
                <w:szCs w:val="21"/>
                <w:lang w:eastAsia="zh-CN"/>
              </w:rPr>
              <w:t>已将本项目纳入了排污证。</w:t>
            </w:r>
          </w:p>
        </w:tc>
      </w:tr>
    </w:tbl>
    <w:p>
      <w:pPr>
        <w:pStyle w:val="2"/>
        <w:rPr>
          <w:rFonts w:hint="default" w:ascii="Times New Roman" w:hAnsi="Times New Roman" w:eastAsia="宋体" w:cs="Times New Roman"/>
          <w:color w:val="auto"/>
          <w:lang w:val="en-US" w:eastAsia="zh-CN"/>
        </w:rPr>
      </w:pP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7"/>
        <w:gridCol w:w="6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2720" w:type="pct"/>
            <w:vAlign w:val="center"/>
          </w:tcPr>
          <w:p>
            <w:pPr>
              <w:pStyle w:val="2"/>
              <w:jc w:val="center"/>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drawing>
                <wp:inline distT="0" distB="0" distL="114300" distR="114300">
                  <wp:extent cx="2337435" cy="1753235"/>
                  <wp:effectExtent l="0" t="0" r="5715" b="18415"/>
                  <wp:docPr id="22" name="图片 22" descr="C:/Users/Administrator/AppData/Local/Temp/picturecompress_2021111120405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AppData/Local/Temp/picturecompress_20211111204053/output_1.jpgoutput_1"/>
                          <pic:cNvPicPr>
                            <a:picLocks noChangeAspect="1"/>
                          </pic:cNvPicPr>
                        </pic:nvPicPr>
                        <pic:blipFill>
                          <a:blip r:embed="rId31"/>
                          <a:stretch>
                            <a:fillRect/>
                          </a:stretch>
                        </pic:blipFill>
                        <pic:spPr>
                          <a:xfrm>
                            <a:off x="0" y="0"/>
                            <a:ext cx="2337435" cy="1753235"/>
                          </a:xfrm>
                          <a:prstGeom prst="rect">
                            <a:avLst/>
                          </a:prstGeom>
                        </pic:spPr>
                      </pic:pic>
                    </a:graphicData>
                  </a:graphic>
                </wp:inline>
              </w:drawing>
            </w:r>
          </w:p>
        </w:tc>
        <w:tc>
          <w:tcPr>
            <w:tcW w:w="2279" w:type="pct"/>
            <w:vAlign w:val="center"/>
          </w:tcPr>
          <w:p>
            <w:pPr>
              <w:pStyle w:val="2"/>
              <w:jc w:val="center"/>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drawing>
                <wp:inline distT="0" distB="0" distL="114300" distR="114300">
                  <wp:extent cx="2284730" cy="1713865"/>
                  <wp:effectExtent l="0" t="0" r="1270" b="635"/>
                  <wp:docPr id="23" name="图片 23" descr="C:/Users/Administrator/AppData/Local/Temp/picturecompress_2021111120410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AppData/Local/Temp/picturecompress_20211111204101/output_1.jpgoutput_1"/>
                          <pic:cNvPicPr>
                            <a:picLocks noChangeAspect="1"/>
                          </pic:cNvPicPr>
                        </pic:nvPicPr>
                        <pic:blipFill>
                          <a:blip r:embed="rId32"/>
                          <a:stretch>
                            <a:fillRect/>
                          </a:stretch>
                        </pic:blipFill>
                        <pic:spPr>
                          <a:xfrm>
                            <a:off x="0" y="0"/>
                            <a:ext cx="2284730" cy="17138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2720" w:type="pct"/>
            <w:vAlign w:val="center"/>
          </w:tcPr>
          <w:p>
            <w:pPr>
              <w:pStyle w:val="2"/>
              <w:jc w:val="center"/>
              <w:rPr>
                <w:rFonts w:hint="default" w:ascii="Times New Roman" w:hAnsi="Times New Roman" w:eastAsia="宋体" w:cs="Times New Roman"/>
                <w:sz w:val="21"/>
                <w:szCs w:val="21"/>
                <w:vertAlign w:val="baseline"/>
              </w:rPr>
            </w:pPr>
            <w:r>
              <w:rPr>
                <w:rFonts w:hint="eastAsia" w:ascii="Times New Roman" w:hAnsi="Times New Roman" w:cs="Times New Roman"/>
                <w:sz w:val="21"/>
                <w:szCs w:val="21"/>
                <w:lang w:eastAsia="zh-CN"/>
              </w:rPr>
              <w:t>增加了一套活性炭吸附装置</w:t>
            </w:r>
          </w:p>
        </w:tc>
        <w:tc>
          <w:tcPr>
            <w:tcW w:w="2279" w:type="pct"/>
            <w:vAlign w:val="center"/>
          </w:tcPr>
          <w:p>
            <w:pPr>
              <w:pStyle w:val="2"/>
              <w:jc w:val="center"/>
              <w:rPr>
                <w:rFonts w:hint="default" w:ascii="Times New Roman" w:hAnsi="Times New Roman" w:eastAsia="宋体" w:cs="Times New Roman"/>
                <w:sz w:val="21"/>
                <w:szCs w:val="21"/>
                <w:vertAlign w:val="baseline"/>
              </w:rPr>
            </w:pPr>
            <w:r>
              <w:rPr>
                <w:rFonts w:hint="eastAsia" w:ascii="Times New Roman" w:hAnsi="Times New Roman" w:cs="Times New Roman"/>
                <w:sz w:val="21"/>
                <w:szCs w:val="21"/>
                <w:lang w:eastAsia="zh-CN"/>
              </w:rPr>
              <w:t>增加了一套液碱淋洗装置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0" w:type="pct"/>
            <w:vAlign w:val="center"/>
          </w:tcPr>
          <w:p>
            <w:pPr>
              <w:pStyle w:val="2"/>
              <w:jc w:val="center"/>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drawing>
                <wp:inline distT="0" distB="0" distL="114300" distR="114300">
                  <wp:extent cx="2551430" cy="1912620"/>
                  <wp:effectExtent l="0" t="0" r="1270" b="11430"/>
                  <wp:docPr id="25" name="图片 25" descr="8f8b484c028abd9d08c4ac71f4f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8f8b484c028abd9d08c4ac71f4f5187"/>
                          <pic:cNvPicPr>
                            <a:picLocks noChangeAspect="1"/>
                          </pic:cNvPicPr>
                        </pic:nvPicPr>
                        <pic:blipFill>
                          <a:blip r:embed="rId33"/>
                          <a:stretch>
                            <a:fillRect/>
                          </a:stretch>
                        </pic:blipFill>
                        <pic:spPr>
                          <a:xfrm>
                            <a:off x="0" y="0"/>
                            <a:ext cx="2551430" cy="1912620"/>
                          </a:xfrm>
                          <a:prstGeom prst="rect">
                            <a:avLst/>
                          </a:prstGeom>
                        </pic:spPr>
                      </pic:pic>
                    </a:graphicData>
                  </a:graphic>
                </wp:inline>
              </w:drawing>
            </w:r>
          </w:p>
        </w:tc>
        <w:tc>
          <w:tcPr>
            <w:tcW w:w="2279" w:type="pct"/>
            <w:vAlign w:val="center"/>
          </w:tcPr>
          <w:p>
            <w:pPr>
              <w:pStyle w:val="2"/>
              <w:jc w:val="center"/>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drawing>
                <wp:inline distT="0" distB="0" distL="114300" distR="114300">
                  <wp:extent cx="2565400" cy="1760220"/>
                  <wp:effectExtent l="0" t="0" r="6350" b="11430"/>
                  <wp:docPr id="26" name="图片 26" descr="1636634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36634355(1)"/>
                          <pic:cNvPicPr>
                            <a:picLocks noChangeAspect="1"/>
                          </pic:cNvPicPr>
                        </pic:nvPicPr>
                        <pic:blipFill>
                          <a:blip r:embed="rId34"/>
                          <a:stretch>
                            <a:fillRect/>
                          </a:stretch>
                        </pic:blipFill>
                        <pic:spPr>
                          <a:xfrm>
                            <a:off x="0" y="0"/>
                            <a:ext cx="2565400" cy="1760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4" w:hRule="atLeast"/>
          <w:jc w:val="center"/>
        </w:trPr>
        <w:tc>
          <w:tcPr>
            <w:tcW w:w="5000" w:type="pct"/>
            <w:gridSpan w:val="2"/>
            <w:vAlign w:val="center"/>
          </w:tcPr>
          <w:p>
            <w:pPr>
              <w:pStyle w:val="2"/>
              <w:jc w:val="center"/>
              <w:rPr>
                <w:rFonts w:hint="eastAsia"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rPr>
              <w:t>冷冻冷凝的温度</w:t>
            </w:r>
            <w:r>
              <w:rPr>
                <w:rFonts w:hint="eastAsia" w:ascii="Times New Roman" w:hAnsi="Times New Roman" w:eastAsia="宋体" w:cs="Times New Roman"/>
                <w:sz w:val="21"/>
                <w:szCs w:val="21"/>
                <w:lang w:eastAsia="zh-CN"/>
              </w:rPr>
              <w:t>降低参数显示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2720" w:type="pct"/>
            <w:vAlign w:val="center"/>
          </w:tcPr>
          <w:p>
            <w:pPr>
              <w:pStyle w:val="2"/>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drawing>
                <wp:inline distT="0" distB="0" distL="114300" distR="114300">
                  <wp:extent cx="3717925" cy="1717675"/>
                  <wp:effectExtent l="0" t="0" r="15875" b="15875"/>
                  <wp:docPr id="7" name="图片 7" descr="23f474be8cef1d7e0fc0e13c4194b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3f474be8cef1d7e0fc0e13c4194b97"/>
                          <pic:cNvPicPr>
                            <a:picLocks noChangeAspect="1"/>
                          </pic:cNvPicPr>
                        </pic:nvPicPr>
                        <pic:blipFill>
                          <a:blip r:embed="rId35"/>
                          <a:stretch>
                            <a:fillRect/>
                          </a:stretch>
                        </pic:blipFill>
                        <pic:spPr>
                          <a:xfrm>
                            <a:off x="0" y="0"/>
                            <a:ext cx="3717925" cy="1717675"/>
                          </a:xfrm>
                          <a:prstGeom prst="rect">
                            <a:avLst/>
                          </a:prstGeom>
                        </pic:spPr>
                      </pic:pic>
                    </a:graphicData>
                  </a:graphic>
                </wp:inline>
              </w:drawing>
            </w:r>
          </w:p>
        </w:tc>
        <w:tc>
          <w:tcPr>
            <w:tcW w:w="2279" w:type="pct"/>
            <w:vAlign w:val="center"/>
          </w:tcPr>
          <w:p>
            <w:pPr>
              <w:pStyle w:val="2"/>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drawing>
                <wp:inline distT="0" distB="0" distL="114300" distR="114300">
                  <wp:extent cx="2809240" cy="2095500"/>
                  <wp:effectExtent l="0" t="0" r="10160" b="0"/>
                  <wp:docPr id="6" name="图片 6" descr="4c7f576cd906563c574b5e31def9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c7f576cd906563c574b5e31def9187"/>
                          <pic:cNvPicPr>
                            <a:picLocks noChangeAspect="1"/>
                          </pic:cNvPicPr>
                        </pic:nvPicPr>
                        <pic:blipFill>
                          <a:blip r:embed="rId36"/>
                          <a:stretch>
                            <a:fillRect/>
                          </a:stretch>
                        </pic:blipFill>
                        <pic:spPr>
                          <a:xfrm>
                            <a:off x="0" y="0"/>
                            <a:ext cx="2809240" cy="20955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720" w:type="pct"/>
            <w:vAlign w:val="center"/>
          </w:tcPr>
          <w:p>
            <w:pPr>
              <w:pStyle w:val="2"/>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rPr>
              <w:t>年产1.9万吨各类皂粒制品扩建项目拆除</w:t>
            </w:r>
            <w:r>
              <w:rPr>
                <w:rFonts w:hint="eastAsia" w:ascii="Times New Roman" w:hAnsi="Times New Roman" w:eastAsia="宋体" w:cs="Times New Roman"/>
                <w:color w:val="auto"/>
                <w:sz w:val="21"/>
                <w:szCs w:val="21"/>
                <w:lang w:val="en-US" w:eastAsia="zh-CN"/>
              </w:rPr>
              <w:t>前车间</w:t>
            </w:r>
          </w:p>
        </w:tc>
        <w:tc>
          <w:tcPr>
            <w:tcW w:w="2279" w:type="pct"/>
            <w:vAlign w:val="center"/>
          </w:tcPr>
          <w:p>
            <w:pPr>
              <w:pStyle w:val="2"/>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rPr>
              <w:t>年产1.9万吨各类皂粒制品扩建项目拆除</w:t>
            </w:r>
            <w:r>
              <w:rPr>
                <w:rFonts w:hint="eastAsia" w:ascii="Times New Roman" w:hAnsi="Times New Roman" w:eastAsia="宋体" w:cs="Times New Roman"/>
                <w:color w:val="auto"/>
                <w:sz w:val="21"/>
                <w:szCs w:val="21"/>
                <w:lang w:val="en-US" w:eastAsia="zh-CN"/>
              </w:rPr>
              <w:t>后车间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5000" w:type="pct"/>
            <w:gridSpan w:val="2"/>
            <w:vAlign w:val="center"/>
          </w:tcPr>
          <w:p>
            <w:pPr>
              <w:pStyle w:val="2"/>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lang w:val="en-US" w:eastAsia="zh-CN"/>
              </w:rPr>
              <w:t>图4.4-1  以新带老措施落实照片</w:t>
            </w:r>
          </w:p>
        </w:tc>
      </w:tr>
    </w:tbl>
    <w:p>
      <w:pPr>
        <w:pStyle w:val="2"/>
        <w:rPr>
          <w:rFonts w:hint="default" w:ascii="Times New Roman" w:hAnsi="Times New Roman" w:eastAsia="宋体" w:cs="Times New Roman"/>
          <w:color w:val="auto"/>
          <w:lang w:val="en-US" w:eastAsia="zh-CN"/>
        </w:rPr>
        <w:sectPr>
          <w:pgSz w:w="16838" w:h="11911" w:orient="landscape"/>
          <w:pgMar w:top="1678" w:right="1463" w:bottom="1678" w:left="1463" w:header="907" w:footer="884" w:gutter="0"/>
          <w:pgBorders>
            <w:top w:val="none" w:sz="0" w:space="0"/>
            <w:left w:val="none" w:sz="0" w:space="0"/>
            <w:bottom w:val="none" w:sz="0" w:space="0"/>
            <w:right w:val="none" w:sz="0" w:space="0"/>
          </w:pgBorders>
          <w:pgNumType w:fmt="decimal"/>
          <w:cols w:space="0" w:num="1"/>
          <w:rtlGutter w:val="0"/>
          <w:docGrid w:type="lines" w:linePitch="0" w:charSpace="0"/>
        </w:sectPr>
      </w:pPr>
    </w:p>
    <w:p>
      <w:pPr>
        <w:pStyle w:val="3"/>
        <w:keepNext w:val="0"/>
        <w:keepLines w:val="0"/>
        <w:pageBreakBefore w:val="0"/>
        <w:widowControl w:val="0"/>
        <w:numPr>
          <w:ilvl w:val="0"/>
          <w:numId w:val="5"/>
        </w:numPr>
        <w:kinsoku/>
        <w:wordWrap/>
        <w:topLinePunct w:val="0"/>
        <w:autoSpaceDE w:val="0"/>
        <w:autoSpaceDN w:val="0"/>
        <w:bidi w:val="0"/>
        <w:spacing w:before="0" w:after="0" w:line="360" w:lineRule="auto"/>
        <w:ind w:left="0" w:leftChars="0" w:right="0" w:rightChars="0" w:firstLine="0" w:firstLineChars="0"/>
        <w:jc w:val="both"/>
        <w:textAlignment w:val="auto"/>
        <w:rPr>
          <w:rFonts w:hint="default" w:ascii="Times New Roman" w:hAnsi="Times New Roman" w:eastAsia="宋体" w:cs="Times New Roman"/>
          <w:color w:val="auto"/>
          <w:sz w:val="28"/>
          <w:szCs w:val="28"/>
        </w:rPr>
      </w:pPr>
      <w:bookmarkStart w:id="48" w:name="_Toc9813"/>
      <w:r>
        <w:rPr>
          <w:rFonts w:hint="default" w:ascii="Times New Roman" w:hAnsi="Times New Roman" w:eastAsia="宋体" w:cs="Times New Roman"/>
          <w:color w:val="auto"/>
          <w:sz w:val="28"/>
          <w:szCs w:val="28"/>
          <w:lang w:eastAsia="zh-CN"/>
        </w:rPr>
        <w:t>建设项目环评报告书主要结论</w:t>
      </w:r>
      <w:bookmarkEnd w:id="45"/>
      <w:r>
        <w:rPr>
          <w:rFonts w:hint="default" w:ascii="Times New Roman" w:hAnsi="Times New Roman" w:eastAsia="宋体" w:cs="Times New Roman"/>
          <w:color w:val="auto"/>
          <w:sz w:val="28"/>
          <w:szCs w:val="28"/>
        </w:rPr>
        <w:t>及审批部门审批决定</w:t>
      </w:r>
      <w:bookmarkEnd w:id="48"/>
    </w:p>
    <w:p>
      <w:pPr>
        <w:pStyle w:val="4"/>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textAlignment w:val="auto"/>
        <w:rPr>
          <w:rFonts w:hint="default" w:ascii="Times New Roman" w:hAnsi="Times New Roman" w:eastAsia="宋体" w:cs="Times New Roman"/>
          <w:color w:val="auto"/>
          <w:sz w:val="28"/>
          <w:szCs w:val="28"/>
          <w:lang w:val="en-US" w:eastAsia="zh-CN"/>
        </w:rPr>
      </w:pPr>
      <w:bookmarkStart w:id="49" w:name="_Toc4329"/>
      <w:r>
        <w:rPr>
          <w:rFonts w:hint="default" w:ascii="Times New Roman" w:hAnsi="Times New Roman" w:eastAsia="宋体" w:cs="Times New Roman"/>
          <w:color w:val="auto"/>
          <w:sz w:val="28"/>
          <w:szCs w:val="28"/>
          <w:lang w:val="en-US" w:eastAsia="zh-CN"/>
        </w:rPr>
        <w:t>5.1 建设项目环评报告书的主要结论</w:t>
      </w:r>
      <w:bookmarkEnd w:id="49"/>
    </w:p>
    <w:p>
      <w:pPr>
        <w:keepNext w:val="0"/>
        <w:keepLines w:val="0"/>
        <w:pageBreakBefore w:val="0"/>
        <w:widowControl w:val="0"/>
        <w:tabs>
          <w:tab w:val="left" w:pos="2492"/>
          <w:tab w:val="left" w:pos="2520"/>
        </w:tabs>
        <w:kinsoku/>
        <w:wordWrap/>
        <w:overflowPunct w:val="0"/>
        <w:topLinePunct w:val="0"/>
        <w:autoSpaceDE w:val="0"/>
        <w:autoSpaceDN w:val="0"/>
        <w:bidi w:val="0"/>
        <w:adjustRightInd w:val="0"/>
        <w:snapToGrid w:val="0"/>
        <w:spacing w:before="0" w:after="0" w:line="360" w:lineRule="auto"/>
        <w:ind w:left="0" w:leftChars="0" w:right="0" w:rightChars="0" w:firstLine="480" w:firstLineChars="200"/>
        <w:jc w:val="left"/>
        <w:textAlignment w:val="auto"/>
        <w:rPr>
          <w:rFonts w:hint="default" w:ascii="Times New Roman" w:hAnsi="Times New Roman" w:eastAsia="宋体" w:cs="Times New Roman"/>
          <w:snapToGrid w:val="0"/>
          <w:color w:val="auto"/>
          <w:kern w:val="0"/>
          <w:sz w:val="24"/>
          <w:szCs w:val="24"/>
          <w:lang w:eastAsia="zh-CN"/>
        </w:rPr>
      </w:pPr>
      <w:bookmarkStart w:id="50" w:name="_Hlk528916492"/>
      <w:bookmarkStart w:id="51" w:name="_Hlk528680891"/>
      <w:bookmarkStart w:id="52" w:name="_Toc11551"/>
      <w:bookmarkStart w:id="53" w:name="_Toc16304"/>
      <w:r>
        <w:rPr>
          <w:rFonts w:hint="default" w:ascii="Times New Roman" w:hAnsi="Times New Roman" w:eastAsia="宋体" w:cs="Times New Roman"/>
          <w:snapToGrid w:val="0"/>
          <w:color w:val="auto"/>
          <w:kern w:val="0"/>
          <w:sz w:val="24"/>
          <w:szCs w:val="24"/>
        </w:rPr>
        <w:t>本项目符合国家和地方产业政策，选址符合相关规划要求，项目采取的污染治理措施可行可靠，可有效实现污染物达标排放，总体上对评价区域环境影响较小，不会降低区域的环境质量现状，环境风险可控。因此，本报告书认为，建设单位只要在项目设计、施工和投产运行中切实落实本报告书中提出的各项环保措施，确保污染治理设施的正常和稳定运行，严格执行环保“三同时”要求的前提下，从环保角度讲，本项目的建设是可行的</w:t>
      </w:r>
      <w:r>
        <w:rPr>
          <w:rFonts w:hint="default" w:ascii="Times New Roman" w:hAnsi="Times New Roman" w:eastAsia="宋体" w:cs="Times New Roman"/>
          <w:snapToGrid w:val="0"/>
          <w:color w:val="auto"/>
          <w:kern w:val="0"/>
          <w:sz w:val="24"/>
          <w:szCs w:val="24"/>
          <w:lang w:eastAsia="zh-CN"/>
        </w:rPr>
        <w:t>。</w:t>
      </w:r>
      <w:bookmarkEnd w:id="50"/>
      <w:bookmarkEnd w:id="51"/>
    </w:p>
    <w:p>
      <w:pPr>
        <w:pStyle w:val="4"/>
        <w:keepNext w:val="0"/>
        <w:keepLines w:val="0"/>
        <w:pageBreakBefore w:val="0"/>
        <w:widowControl w:val="0"/>
        <w:numPr>
          <w:ilvl w:val="0"/>
          <w:numId w:val="0"/>
        </w:numPr>
        <w:kinsoku/>
        <w:wordWrap/>
        <w:topLinePunct w:val="0"/>
        <w:autoSpaceDE w:val="0"/>
        <w:autoSpaceDN w:val="0"/>
        <w:bidi w:val="0"/>
        <w:spacing w:before="0" w:after="0" w:line="360" w:lineRule="auto"/>
        <w:ind w:left="0" w:leftChars="0" w:right="0" w:rightChars="0"/>
        <w:jc w:val="left"/>
        <w:textAlignment w:val="auto"/>
        <w:rPr>
          <w:rFonts w:hint="default" w:ascii="Times New Roman" w:hAnsi="Times New Roman" w:eastAsia="宋体" w:cs="Times New Roman"/>
          <w:color w:val="auto"/>
          <w:sz w:val="28"/>
          <w:szCs w:val="28"/>
          <w:lang w:eastAsia="zh-CN"/>
        </w:rPr>
      </w:pPr>
      <w:bookmarkStart w:id="54" w:name="_Toc32150"/>
      <w:r>
        <w:rPr>
          <w:rFonts w:hint="default" w:ascii="Times New Roman" w:hAnsi="Times New Roman" w:eastAsia="宋体" w:cs="Times New Roman"/>
          <w:color w:val="auto"/>
          <w:sz w:val="28"/>
          <w:szCs w:val="28"/>
          <w:lang w:val="en-US" w:eastAsia="zh-CN"/>
        </w:rPr>
        <w:t xml:space="preserve">5.2 </w:t>
      </w:r>
      <w:r>
        <w:rPr>
          <w:rFonts w:hint="default" w:ascii="Times New Roman" w:hAnsi="Times New Roman" w:eastAsia="宋体" w:cs="Times New Roman"/>
          <w:color w:val="auto"/>
          <w:sz w:val="28"/>
          <w:szCs w:val="28"/>
          <w:lang w:eastAsia="zh-CN"/>
        </w:rPr>
        <w:t>审批部门审批决定</w:t>
      </w:r>
      <w:bookmarkEnd w:id="54"/>
    </w:p>
    <w:p>
      <w:pPr>
        <w:keepNext w:val="0"/>
        <w:keepLines w:val="0"/>
        <w:pageBreakBefore w:val="0"/>
        <w:widowControl w:val="0"/>
        <w:tabs>
          <w:tab w:val="left" w:pos="2492"/>
          <w:tab w:val="left" w:pos="2520"/>
        </w:tabs>
        <w:kinsoku/>
        <w:wordWrap/>
        <w:overflowPunct w:val="0"/>
        <w:topLinePunct w:val="0"/>
        <w:autoSpaceDE w:val="0"/>
        <w:autoSpaceDN w:val="0"/>
        <w:bidi w:val="0"/>
        <w:adjustRightInd w:val="0"/>
        <w:snapToGrid w:val="0"/>
        <w:spacing w:before="0" w:after="0" w:line="360" w:lineRule="auto"/>
        <w:ind w:left="0" w:leftChars="0" w:right="0" w:rightChars="0" w:firstLine="480" w:firstLineChars="200"/>
        <w:jc w:val="left"/>
        <w:textAlignment w:val="auto"/>
        <w:rPr>
          <w:rFonts w:hint="default" w:ascii="Times New Roman" w:hAnsi="Times New Roman" w:eastAsia="宋体" w:cs="Times New Roman"/>
          <w:snapToGrid w:val="0"/>
          <w:color w:val="auto"/>
          <w:kern w:val="0"/>
          <w:sz w:val="24"/>
          <w:szCs w:val="24"/>
          <w:lang w:val="en-US" w:eastAsia="zh-CN"/>
        </w:rPr>
      </w:pPr>
      <w:r>
        <w:rPr>
          <w:rFonts w:hint="default" w:ascii="Times New Roman" w:hAnsi="Times New Roman" w:eastAsia="宋体" w:cs="Times New Roman"/>
          <w:snapToGrid w:val="0"/>
          <w:color w:val="auto"/>
          <w:kern w:val="0"/>
          <w:sz w:val="24"/>
          <w:szCs w:val="24"/>
          <w:lang w:eastAsia="zh-CN"/>
        </w:rPr>
        <w:t>张家港保税区管理委员会对本</w:t>
      </w:r>
      <w:r>
        <w:rPr>
          <w:rFonts w:hint="default" w:ascii="Times New Roman" w:hAnsi="Times New Roman" w:eastAsia="宋体" w:cs="Times New Roman"/>
          <w:snapToGrid w:val="0"/>
          <w:color w:val="auto"/>
          <w:kern w:val="0"/>
          <w:sz w:val="24"/>
          <w:szCs w:val="24"/>
        </w:rPr>
        <w:t>项目批复意见</w:t>
      </w:r>
      <w:r>
        <w:rPr>
          <w:rFonts w:hint="default" w:ascii="Times New Roman" w:hAnsi="Times New Roman" w:eastAsia="宋体" w:cs="Times New Roman"/>
          <w:snapToGrid w:val="0"/>
          <w:color w:val="auto"/>
          <w:kern w:val="0"/>
          <w:sz w:val="24"/>
          <w:szCs w:val="24"/>
          <w:lang w:eastAsia="zh-CN"/>
        </w:rPr>
        <w:t>见附件</w:t>
      </w:r>
      <w:r>
        <w:rPr>
          <w:rFonts w:hint="default" w:ascii="Times New Roman" w:hAnsi="Times New Roman" w:eastAsia="宋体" w:cs="Times New Roman"/>
          <w:snapToGrid w:val="0"/>
          <w:color w:val="auto"/>
          <w:kern w:val="0"/>
          <w:sz w:val="24"/>
          <w:szCs w:val="24"/>
          <w:lang w:val="en-US" w:eastAsia="zh-CN"/>
        </w:rPr>
        <w:t>。</w:t>
      </w:r>
    </w:p>
    <w:p>
      <w:pPr>
        <w:pStyle w:val="2"/>
        <w:rPr>
          <w:rFonts w:hint="default" w:ascii="Times New Roman" w:hAnsi="Times New Roman" w:eastAsia="宋体" w:cs="Times New Roman"/>
          <w:color w:val="auto"/>
        </w:rPr>
      </w:pP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beforeLines="50" w:after="0" w:line="360" w:lineRule="auto"/>
        <w:ind w:left="0" w:leftChars="0" w:right="0" w:rightChars="0" w:firstLine="0" w:firstLineChars="0"/>
        <w:jc w:val="left"/>
        <w:textAlignment w:val="auto"/>
        <w:outlineLvl w:val="0"/>
        <w:rPr>
          <w:rFonts w:hint="default" w:ascii="Times New Roman" w:hAnsi="Times New Roman" w:eastAsia="宋体" w:cs="Times New Roman"/>
          <w:b/>
          <w:bCs/>
          <w:color w:val="auto"/>
          <w:sz w:val="28"/>
          <w:szCs w:val="28"/>
          <w:lang w:val="en-US" w:eastAsia="zh-CN"/>
        </w:rPr>
        <w:sectPr>
          <w:pgSz w:w="11911" w:h="16838"/>
          <w:pgMar w:top="1463" w:right="1678" w:bottom="1463" w:left="1678" w:header="907" w:footer="884" w:gutter="0"/>
          <w:pgBorders>
            <w:top w:val="none" w:sz="0" w:space="0"/>
            <w:left w:val="none" w:sz="0" w:space="0"/>
            <w:bottom w:val="none" w:sz="0" w:space="0"/>
            <w:right w:val="none" w:sz="0" w:space="0"/>
          </w:pgBorders>
          <w:pgNumType w:fmt="decimal"/>
          <w:cols w:space="0" w:num="1"/>
          <w:rtlGutter w:val="0"/>
          <w:docGrid w:type="lines" w:linePitch="0" w:charSpace="0"/>
        </w:sectPr>
      </w:pP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beforeLines="50" w:after="0" w:line="360" w:lineRule="auto"/>
        <w:ind w:left="0" w:leftChars="0" w:right="0" w:rightChars="0" w:firstLine="0" w:firstLineChars="0"/>
        <w:jc w:val="left"/>
        <w:textAlignment w:val="auto"/>
        <w:outlineLvl w:val="0"/>
        <w:rPr>
          <w:rFonts w:hint="default" w:ascii="Times New Roman" w:hAnsi="Times New Roman" w:eastAsia="宋体" w:cs="Times New Roman"/>
          <w:b/>
          <w:bCs/>
          <w:color w:val="auto"/>
          <w:sz w:val="28"/>
          <w:szCs w:val="28"/>
        </w:rPr>
      </w:pPr>
      <w:bookmarkStart w:id="55" w:name="_Toc10375"/>
      <w:r>
        <w:rPr>
          <w:rFonts w:hint="default" w:ascii="Times New Roman" w:hAnsi="Times New Roman" w:eastAsia="宋体" w:cs="Times New Roman"/>
          <w:b/>
          <w:bCs/>
          <w:color w:val="auto"/>
          <w:sz w:val="28"/>
          <w:szCs w:val="28"/>
          <w:lang w:val="en-US" w:eastAsia="zh-CN"/>
        </w:rPr>
        <w:t>6、</w:t>
      </w:r>
      <w:r>
        <w:rPr>
          <w:rFonts w:hint="default" w:ascii="Times New Roman" w:hAnsi="Times New Roman" w:eastAsia="宋体" w:cs="Times New Roman"/>
          <w:b/>
          <w:bCs/>
          <w:color w:val="auto"/>
          <w:sz w:val="28"/>
          <w:szCs w:val="28"/>
        </w:rPr>
        <w:t>验收监测评价标准</w:t>
      </w:r>
      <w:bookmarkEnd w:id="55"/>
    </w:p>
    <w:p>
      <w:pPr>
        <w:pStyle w:val="4"/>
        <w:keepNext w:val="0"/>
        <w:keepLines w:val="0"/>
        <w:pageBreakBefore w:val="0"/>
        <w:widowControl w:val="0"/>
        <w:numPr>
          <w:ilvl w:val="0"/>
          <w:numId w:val="0"/>
        </w:numPr>
        <w:kinsoku/>
        <w:wordWrap/>
        <w:topLinePunct w:val="0"/>
        <w:autoSpaceDE w:val="0"/>
        <w:autoSpaceDN w:val="0"/>
        <w:bidi w:val="0"/>
        <w:spacing w:before="0" w:after="0" w:line="360" w:lineRule="auto"/>
        <w:ind w:left="0" w:leftChars="0" w:right="0" w:rightChars="0"/>
        <w:jc w:val="left"/>
        <w:textAlignment w:val="auto"/>
        <w:rPr>
          <w:rFonts w:hint="default" w:ascii="Times New Roman" w:hAnsi="Times New Roman" w:eastAsia="宋体" w:cs="Times New Roman"/>
          <w:color w:val="auto"/>
          <w:sz w:val="28"/>
          <w:szCs w:val="28"/>
          <w:lang w:eastAsia="zh-CN"/>
        </w:rPr>
      </w:pPr>
      <w:bookmarkStart w:id="56" w:name="_Toc12859"/>
      <w:r>
        <w:rPr>
          <w:rFonts w:hint="default" w:ascii="Times New Roman" w:hAnsi="Times New Roman" w:eastAsia="宋体" w:cs="Times New Roman"/>
          <w:color w:val="auto"/>
          <w:sz w:val="28"/>
          <w:szCs w:val="28"/>
          <w:lang w:val="en-US" w:eastAsia="zh-CN"/>
        </w:rPr>
        <w:t>6</w:t>
      </w:r>
      <w:r>
        <w:rPr>
          <w:rFonts w:hint="default" w:ascii="Times New Roman" w:hAnsi="Times New Roman" w:eastAsia="宋体" w:cs="Times New Roman"/>
          <w:color w:val="auto"/>
          <w:sz w:val="28"/>
          <w:szCs w:val="28"/>
          <w:lang w:eastAsia="zh-CN"/>
        </w:rPr>
        <w:t>.</w:t>
      </w:r>
      <w:r>
        <w:rPr>
          <w:rFonts w:hint="default" w:ascii="Times New Roman" w:hAnsi="Times New Roman" w:eastAsia="宋体" w:cs="Times New Roman"/>
          <w:color w:val="auto"/>
          <w:sz w:val="28"/>
          <w:szCs w:val="28"/>
          <w:lang w:val="en-US" w:eastAsia="zh-CN"/>
        </w:rPr>
        <w:t xml:space="preserve">1 </w:t>
      </w:r>
      <w:r>
        <w:rPr>
          <w:rFonts w:hint="default" w:ascii="Times New Roman" w:hAnsi="Times New Roman" w:eastAsia="宋体" w:cs="Times New Roman"/>
          <w:color w:val="auto"/>
          <w:sz w:val="28"/>
          <w:szCs w:val="28"/>
          <w:lang w:eastAsia="zh-CN"/>
        </w:rPr>
        <w:t>废水排放标准</w:t>
      </w:r>
      <w:bookmarkEnd w:id="56"/>
    </w:p>
    <w:p>
      <w:pPr>
        <w:keepNext w:val="0"/>
        <w:keepLines w:val="0"/>
        <w:pageBreakBefore w:val="0"/>
        <w:widowControl w:val="0"/>
        <w:tabs>
          <w:tab w:val="left" w:pos="2492"/>
          <w:tab w:val="left" w:pos="2520"/>
        </w:tabs>
        <w:kinsoku/>
        <w:wordWrap/>
        <w:overflowPunct w:val="0"/>
        <w:topLinePunct w:val="0"/>
        <w:autoSpaceDE w:val="0"/>
        <w:autoSpaceDN w:val="0"/>
        <w:bidi w:val="0"/>
        <w:adjustRightInd w:val="0"/>
        <w:snapToGrid w:val="0"/>
        <w:spacing w:before="0" w:after="0" w:line="360" w:lineRule="auto"/>
        <w:ind w:left="0" w:leftChars="0" w:right="0" w:rightChars="0" w:firstLine="480" w:firstLineChars="200"/>
        <w:jc w:val="left"/>
        <w:textAlignment w:val="auto"/>
        <w:rPr>
          <w:rFonts w:hint="default" w:ascii="Times New Roman" w:hAnsi="Times New Roman" w:eastAsia="宋体" w:cs="Times New Roman"/>
          <w:snapToGrid w:val="0"/>
          <w:color w:val="auto"/>
          <w:kern w:val="0"/>
          <w:sz w:val="24"/>
          <w:szCs w:val="24"/>
          <w:lang w:eastAsia="zh-CN"/>
        </w:rPr>
      </w:pPr>
      <w:bookmarkStart w:id="57" w:name="_Toc149"/>
      <w:r>
        <w:rPr>
          <w:rFonts w:hint="default" w:ascii="Times New Roman" w:hAnsi="Times New Roman" w:eastAsia="宋体" w:cs="Times New Roman"/>
          <w:snapToGrid w:val="0"/>
          <w:color w:val="auto"/>
          <w:kern w:val="0"/>
          <w:sz w:val="24"/>
          <w:szCs w:val="24"/>
          <w:lang w:eastAsia="zh-CN"/>
        </w:rPr>
        <w:t>本项目废水接管排入张家港保税区胜科水务有限公司（以下简称胜科水务）进行深度处理，非直接排放，接管排放标准参照胜科水务接管标准见下表。</w:t>
      </w:r>
    </w:p>
    <w:p>
      <w:pPr>
        <w:tabs>
          <w:tab w:val="left" w:pos="0"/>
        </w:tabs>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w:t>
      </w:r>
      <w:r>
        <w:rPr>
          <w:rFonts w:hint="default" w:ascii="Times New Roman" w:hAnsi="Times New Roman" w:eastAsia="宋体" w:cs="Times New Roman"/>
          <w:b/>
          <w:color w:val="auto"/>
          <w:lang w:val="en-US" w:eastAsia="zh-CN"/>
        </w:rPr>
        <w:t>6-1</w:t>
      </w:r>
      <w:r>
        <w:rPr>
          <w:rFonts w:hint="default" w:ascii="Times New Roman" w:hAnsi="Times New Roman" w:eastAsia="宋体" w:cs="Times New Roman"/>
          <w:b/>
          <w:color w:val="auto"/>
        </w:rPr>
        <w:t xml:space="preserve">  </w:t>
      </w:r>
      <w:r>
        <w:rPr>
          <w:rFonts w:hint="default" w:ascii="Times New Roman" w:hAnsi="Times New Roman" w:eastAsia="宋体" w:cs="Times New Roman"/>
          <w:b/>
          <w:color w:val="auto"/>
          <w:lang w:val="en-US" w:eastAsia="zh-CN"/>
        </w:rPr>
        <w:t>本项目</w:t>
      </w:r>
      <w:r>
        <w:rPr>
          <w:rFonts w:hint="default" w:ascii="Times New Roman" w:hAnsi="Times New Roman" w:eastAsia="宋体" w:cs="Times New Roman"/>
          <w:b/>
          <w:color w:val="auto"/>
        </w:rPr>
        <w:t>主要水质控制指标</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5"/>
        <w:gridCol w:w="3552"/>
        <w:gridCol w:w="2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pct"/>
            <w:shd w:val="clear" w:color="auto" w:fill="auto"/>
            <w:vAlign w:val="center"/>
          </w:tcPr>
          <w:p>
            <w:pPr>
              <w:widowControl/>
              <w:adjustRightInd w:val="0"/>
              <w:snapToGrid w:val="0"/>
              <w:spacing w:line="240" w:lineRule="auto"/>
              <w:jc w:val="center"/>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val="en-US" w:eastAsia="zh-CN"/>
              </w:rPr>
              <w:t>指标</w:t>
            </w:r>
          </w:p>
        </w:tc>
        <w:tc>
          <w:tcPr>
            <w:tcW w:w="2025" w:type="pct"/>
            <w:shd w:val="clear" w:color="auto" w:fill="auto"/>
            <w:vAlign w:val="center"/>
          </w:tcPr>
          <w:p>
            <w:pPr>
              <w:widowControl/>
              <w:adjustRightInd w:val="0"/>
              <w:snapToGrid w:val="0"/>
              <w:spacing w:line="240" w:lineRule="auto"/>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en-US" w:eastAsia="zh-CN"/>
              </w:rPr>
              <w:t>污水厂接管</w:t>
            </w:r>
            <w:r>
              <w:rPr>
                <w:rFonts w:hint="default" w:ascii="Times New Roman" w:hAnsi="Times New Roman" w:eastAsia="宋体" w:cs="Times New Roman"/>
                <w:b/>
                <w:bCs/>
                <w:color w:val="auto"/>
                <w:kern w:val="0"/>
                <w:sz w:val="21"/>
                <w:szCs w:val="21"/>
              </w:rPr>
              <w:t>（mg/L，pH值除外）</w:t>
            </w:r>
          </w:p>
        </w:tc>
        <w:tc>
          <w:tcPr>
            <w:tcW w:w="1317" w:type="pct"/>
            <w:shd w:val="clear" w:color="auto" w:fill="auto"/>
            <w:vAlign w:val="center"/>
          </w:tcPr>
          <w:p>
            <w:pPr>
              <w:widowControl/>
              <w:adjustRightInd w:val="0"/>
              <w:snapToGrid w:val="0"/>
              <w:spacing w:line="240" w:lineRule="auto"/>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pct"/>
            <w:shd w:val="clear" w:color="auto" w:fill="auto"/>
            <w:vAlign w:val="center"/>
          </w:tcPr>
          <w:p>
            <w:pPr>
              <w:adjustRightInd w:val="0"/>
              <w:snapToGrid w:val="0"/>
              <w:spacing w:line="240" w:lineRule="auto"/>
              <w:ind w:left="0" w:leftChars="0" w:right="0" w:rightChars="0"/>
              <w:jc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PH</w:t>
            </w:r>
          </w:p>
        </w:tc>
        <w:tc>
          <w:tcPr>
            <w:tcW w:w="2025" w:type="pct"/>
            <w:shd w:val="clear" w:color="auto" w:fill="auto"/>
            <w:vAlign w:val="center"/>
          </w:tcPr>
          <w:p>
            <w:pPr>
              <w:adjustRightInd w:val="0"/>
              <w:snapToGrid w:val="0"/>
              <w:spacing w:line="240" w:lineRule="auto"/>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6～9</w:t>
            </w:r>
          </w:p>
        </w:tc>
        <w:tc>
          <w:tcPr>
            <w:tcW w:w="1317" w:type="pct"/>
            <w:vMerge w:val="restart"/>
            <w:shd w:val="clear" w:color="auto" w:fill="auto"/>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胜科水务</w:t>
            </w:r>
          </w:p>
          <w:p>
            <w:pPr>
              <w:widowControl/>
              <w:adjustRightInd w:val="0"/>
              <w:snapToGrid w:val="0"/>
              <w:spacing w:line="240" w:lineRule="auto"/>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sz w:val="21"/>
                <w:szCs w:val="21"/>
                <w:lang w:eastAsia="zh-CN"/>
              </w:rPr>
              <w:t>接管</w:t>
            </w:r>
            <w:r>
              <w:rPr>
                <w:rFonts w:hint="default" w:ascii="Times New Roman" w:hAnsi="Times New Roman" w:eastAsia="宋体" w:cs="Times New Roman"/>
                <w:color w:val="auto"/>
                <w:sz w:val="21"/>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pct"/>
            <w:shd w:val="clear" w:color="auto" w:fill="auto"/>
            <w:vAlign w:val="center"/>
          </w:tcPr>
          <w:p>
            <w:pPr>
              <w:adjustRightInd w:val="0"/>
              <w:snapToGrid w:val="0"/>
              <w:spacing w:line="240" w:lineRule="auto"/>
              <w:ind w:left="0" w:leftChars="0" w:right="0" w:rightChars="0"/>
              <w:jc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COD</w:t>
            </w:r>
          </w:p>
        </w:tc>
        <w:tc>
          <w:tcPr>
            <w:tcW w:w="2025" w:type="pct"/>
            <w:shd w:val="clear" w:color="auto" w:fill="auto"/>
            <w:vAlign w:val="center"/>
          </w:tcPr>
          <w:p>
            <w:pPr>
              <w:adjustRightInd w:val="0"/>
              <w:snapToGrid w:val="0"/>
              <w:spacing w:line="240" w:lineRule="auto"/>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500 mg/L</w:t>
            </w:r>
          </w:p>
        </w:tc>
        <w:tc>
          <w:tcPr>
            <w:tcW w:w="1317" w:type="pct"/>
            <w:vMerge w:val="continue"/>
            <w:shd w:val="clear" w:color="auto" w:fill="auto"/>
            <w:vAlign w:val="center"/>
          </w:tcPr>
          <w:p>
            <w:pPr>
              <w:widowControl/>
              <w:adjustRightInd w:val="0"/>
              <w:snapToGrid w:val="0"/>
              <w:spacing w:line="240" w:lineRule="auto"/>
              <w:jc w:val="center"/>
              <w:rPr>
                <w:rFonts w:hint="default"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pct"/>
            <w:shd w:val="clear" w:color="auto" w:fill="auto"/>
            <w:vAlign w:val="center"/>
          </w:tcPr>
          <w:p>
            <w:pPr>
              <w:adjustRightInd w:val="0"/>
              <w:snapToGrid w:val="0"/>
              <w:spacing w:line="240" w:lineRule="auto"/>
              <w:ind w:left="0" w:leftChars="0" w:right="0" w:rightChars="0"/>
              <w:jc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2025" w:type="pct"/>
            <w:shd w:val="clear" w:color="auto" w:fill="auto"/>
            <w:vAlign w:val="center"/>
          </w:tcPr>
          <w:p>
            <w:pPr>
              <w:adjustRightInd w:val="0"/>
              <w:snapToGrid w:val="0"/>
              <w:spacing w:line="240" w:lineRule="auto"/>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25 mg/L</w:t>
            </w:r>
          </w:p>
        </w:tc>
        <w:tc>
          <w:tcPr>
            <w:tcW w:w="1317" w:type="pct"/>
            <w:vMerge w:val="continue"/>
            <w:shd w:val="clear" w:color="auto" w:fill="auto"/>
            <w:vAlign w:val="center"/>
          </w:tcPr>
          <w:p>
            <w:pPr>
              <w:widowControl/>
              <w:adjustRightInd w:val="0"/>
              <w:snapToGrid w:val="0"/>
              <w:spacing w:line="240" w:lineRule="auto"/>
              <w:jc w:val="center"/>
              <w:rPr>
                <w:rFonts w:hint="default"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pct"/>
            <w:shd w:val="clear" w:color="auto" w:fill="auto"/>
            <w:vAlign w:val="center"/>
          </w:tcPr>
          <w:p>
            <w:pPr>
              <w:adjustRightInd w:val="0"/>
              <w:snapToGrid w:val="0"/>
              <w:spacing w:line="240" w:lineRule="auto"/>
              <w:ind w:left="0" w:leftChars="0" w:right="0" w:rightChars="0"/>
              <w:jc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TP</w:t>
            </w:r>
          </w:p>
        </w:tc>
        <w:tc>
          <w:tcPr>
            <w:tcW w:w="2025" w:type="pct"/>
            <w:shd w:val="clear" w:color="auto" w:fill="auto"/>
            <w:vAlign w:val="center"/>
          </w:tcPr>
          <w:p>
            <w:pPr>
              <w:adjustRightInd w:val="0"/>
              <w:snapToGrid w:val="0"/>
              <w:spacing w:line="240" w:lineRule="auto"/>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2.0 mg/L</w:t>
            </w:r>
          </w:p>
        </w:tc>
        <w:tc>
          <w:tcPr>
            <w:tcW w:w="1317" w:type="pct"/>
            <w:vMerge w:val="continue"/>
            <w:shd w:val="clear" w:color="auto" w:fill="auto"/>
            <w:vAlign w:val="center"/>
          </w:tcPr>
          <w:p>
            <w:pPr>
              <w:widowControl/>
              <w:adjustRightInd w:val="0"/>
              <w:snapToGrid w:val="0"/>
              <w:spacing w:line="240" w:lineRule="auto"/>
              <w:jc w:val="center"/>
              <w:rPr>
                <w:rFonts w:hint="default"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6" w:type="pct"/>
            <w:shd w:val="clear" w:color="auto" w:fill="auto"/>
            <w:vAlign w:val="center"/>
          </w:tcPr>
          <w:p>
            <w:pPr>
              <w:adjustRightInd w:val="0"/>
              <w:snapToGrid w:val="0"/>
              <w:spacing w:line="240" w:lineRule="auto"/>
              <w:ind w:left="0" w:leftChars="0" w:right="0" w:rightChars="0"/>
              <w:jc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rPr>
              <w:t>SS</w:t>
            </w:r>
          </w:p>
        </w:tc>
        <w:tc>
          <w:tcPr>
            <w:tcW w:w="2025" w:type="pct"/>
            <w:shd w:val="clear" w:color="auto" w:fill="auto"/>
            <w:vAlign w:val="center"/>
          </w:tcPr>
          <w:p>
            <w:pPr>
              <w:adjustRightInd w:val="0"/>
              <w:snapToGrid w:val="0"/>
              <w:spacing w:line="240" w:lineRule="auto"/>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250 mg/L</w:t>
            </w:r>
          </w:p>
        </w:tc>
        <w:tc>
          <w:tcPr>
            <w:tcW w:w="1317" w:type="pct"/>
            <w:vMerge w:val="continue"/>
            <w:shd w:val="clear" w:color="auto" w:fill="auto"/>
            <w:vAlign w:val="center"/>
          </w:tcPr>
          <w:p>
            <w:pPr>
              <w:widowControl/>
              <w:adjustRightInd w:val="0"/>
              <w:snapToGrid w:val="0"/>
              <w:spacing w:line="240" w:lineRule="auto"/>
              <w:jc w:val="center"/>
              <w:rPr>
                <w:rFonts w:hint="default" w:ascii="Times New Roman" w:hAnsi="Times New Roman" w:eastAsia="宋体"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3"/>
            <w:shd w:val="clear" w:color="auto" w:fill="auto"/>
            <w:vAlign w:val="center"/>
          </w:tcPr>
          <w:p>
            <w:pPr>
              <w:widowControl/>
              <w:adjustRightInd w:val="0"/>
              <w:snapToGrid w:val="0"/>
              <w:spacing w:line="240" w:lineRule="auto"/>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val="0"/>
                <w:color w:val="auto"/>
                <w:sz w:val="21"/>
                <w:szCs w:val="21"/>
                <w:lang w:val="en-US" w:eastAsia="zh-CN" w:bidi="ar-SA"/>
              </w:rPr>
              <w:t>项目清下水排入区域雨水管网，COD参照</w:t>
            </w:r>
            <w:r>
              <w:rPr>
                <w:rFonts w:hint="eastAsia" w:ascii="Times New Roman" w:hAnsi="Times New Roman" w:cs="Times New Roman"/>
                <w:b w:val="0"/>
                <w:color w:val="auto"/>
                <w:sz w:val="21"/>
                <w:szCs w:val="21"/>
                <w:lang w:val="en-US" w:eastAsia="zh-CN" w:bidi="ar-SA"/>
              </w:rPr>
              <w:t>环评中要求的</w:t>
            </w:r>
            <w:r>
              <w:rPr>
                <w:rFonts w:hint="default" w:ascii="Times New Roman" w:hAnsi="Times New Roman" w:eastAsia="宋体" w:cs="Times New Roman"/>
                <w:b w:val="0"/>
                <w:color w:val="auto"/>
                <w:sz w:val="21"/>
                <w:szCs w:val="21"/>
                <w:lang w:val="en-US" w:eastAsia="zh-CN" w:bidi="ar-SA"/>
              </w:rPr>
              <w:t>《地表水环境质量标准》（GB3838-2002）IV类执行，即COD≤30mg/L。</w:t>
            </w:r>
          </w:p>
        </w:tc>
      </w:tr>
    </w:tbl>
    <w:p>
      <w:pPr>
        <w:pStyle w:val="4"/>
        <w:keepNext w:val="0"/>
        <w:keepLines w:val="0"/>
        <w:pageBreakBefore w:val="0"/>
        <w:widowControl w:val="0"/>
        <w:kinsoku/>
        <w:wordWrap/>
        <w:overflowPunct/>
        <w:topLinePunct w:val="0"/>
        <w:autoSpaceDE w:val="0"/>
        <w:autoSpaceDN w:val="0"/>
        <w:bidi w:val="0"/>
        <w:adjustRightInd/>
        <w:snapToGrid/>
        <w:spacing w:before="157" w:beforeLines="50" w:after="0" w:line="360" w:lineRule="auto"/>
        <w:ind w:left="0" w:leftChars="0" w:right="0" w:rightChars="0" w:firstLine="0" w:firstLineChars="0"/>
        <w:jc w:val="left"/>
        <w:textAlignment w:val="auto"/>
        <w:outlineLvl w:val="1"/>
        <w:rPr>
          <w:rFonts w:hint="default" w:ascii="Times New Roman" w:hAnsi="Times New Roman" w:eastAsia="宋体" w:cs="Times New Roman"/>
          <w:b/>
          <w:bCs/>
          <w:color w:val="auto"/>
          <w:sz w:val="28"/>
          <w:szCs w:val="28"/>
        </w:rPr>
      </w:pPr>
      <w:bookmarkStart w:id="58" w:name="_Toc7484"/>
      <w:r>
        <w:rPr>
          <w:rFonts w:hint="default" w:ascii="Times New Roman" w:hAnsi="Times New Roman" w:eastAsia="宋体" w:cs="Times New Roman"/>
          <w:b/>
          <w:bCs/>
          <w:color w:val="auto"/>
          <w:sz w:val="28"/>
          <w:szCs w:val="28"/>
          <w:lang w:val="en-US" w:eastAsia="zh-CN"/>
        </w:rPr>
        <w:t>6</w:t>
      </w:r>
      <w:r>
        <w:rPr>
          <w:rFonts w:hint="default" w:ascii="Times New Roman" w:hAnsi="Times New Roman" w:eastAsia="宋体" w:cs="Times New Roman"/>
          <w:b/>
          <w:bCs/>
          <w:color w:val="auto"/>
          <w:sz w:val="28"/>
          <w:szCs w:val="28"/>
        </w:rPr>
        <w:t>.</w:t>
      </w:r>
      <w:bookmarkStart w:id="59" w:name="_Toc69869879"/>
      <w:r>
        <w:rPr>
          <w:rFonts w:hint="default" w:ascii="Times New Roman" w:hAnsi="Times New Roman" w:eastAsia="宋体" w:cs="Times New Roman"/>
          <w:b/>
          <w:bCs/>
          <w:color w:val="auto"/>
          <w:sz w:val="28"/>
          <w:szCs w:val="28"/>
          <w:lang w:val="en-US" w:eastAsia="zh-CN"/>
        </w:rPr>
        <w:t xml:space="preserve">2 </w:t>
      </w:r>
      <w:r>
        <w:rPr>
          <w:rFonts w:hint="default" w:ascii="Times New Roman" w:hAnsi="Times New Roman" w:eastAsia="宋体" w:cs="Times New Roman"/>
          <w:b/>
          <w:bCs/>
          <w:color w:val="auto"/>
          <w:sz w:val="28"/>
          <w:szCs w:val="28"/>
        </w:rPr>
        <w:t>废气评价标准</w:t>
      </w:r>
      <w:bookmarkEnd w:id="57"/>
      <w:bookmarkEnd w:id="58"/>
    </w:p>
    <w:bookmarkEnd w:id="59"/>
    <w:p>
      <w:pPr>
        <w:keepNext w:val="0"/>
        <w:keepLines w:val="0"/>
        <w:pageBreakBefore w:val="0"/>
        <w:widowControl w:val="0"/>
        <w:tabs>
          <w:tab w:val="left" w:pos="2492"/>
          <w:tab w:val="left" w:pos="2520"/>
        </w:tabs>
        <w:kinsoku/>
        <w:wordWrap/>
        <w:overflowPunct w:val="0"/>
        <w:topLinePunct w:val="0"/>
        <w:autoSpaceDE w:val="0"/>
        <w:autoSpaceDN w:val="0"/>
        <w:bidi w:val="0"/>
        <w:adjustRightInd w:val="0"/>
        <w:snapToGrid w:val="0"/>
        <w:spacing w:before="0" w:after="0" w:line="360" w:lineRule="auto"/>
        <w:ind w:left="0" w:leftChars="0" w:right="0" w:rightChars="0" w:firstLine="480" w:firstLineChars="200"/>
        <w:jc w:val="left"/>
        <w:textAlignment w:val="auto"/>
        <w:rPr>
          <w:rFonts w:hint="default" w:ascii="Times New Roman" w:hAnsi="Times New Roman" w:eastAsia="宋体" w:cs="Times New Roman"/>
          <w:snapToGrid w:val="0"/>
          <w:color w:val="auto"/>
          <w:kern w:val="0"/>
          <w:sz w:val="24"/>
          <w:szCs w:val="24"/>
          <w:lang w:eastAsia="zh-CN"/>
        </w:rPr>
      </w:pPr>
      <w:bookmarkStart w:id="60" w:name="_Toc6364"/>
      <w:r>
        <w:rPr>
          <w:rFonts w:hint="default" w:ascii="Times New Roman" w:hAnsi="Times New Roman" w:eastAsia="宋体" w:cs="Times New Roman"/>
          <w:snapToGrid w:val="0"/>
          <w:color w:val="auto"/>
          <w:kern w:val="0"/>
          <w:sz w:val="24"/>
          <w:szCs w:val="24"/>
          <w:lang w:eastAsia="zh-CN"/>
        </w:rPr>
        <w:t>项目产生的非甲烷总烃排放执行《化学工业挥发性有机物排放标准》（DB 32/3151-2016）表1和表2标准限值，颗粒物执行《大气污染物综合排放标准》（GB16297-1996）表2二级标准，异丙醇执行制定标准，</w:t>
      </w:r>
      <w:r>
        <w:rPr>
          <w:rFonts w:hint="default" w:ascii="Times New Roman" w:hAnsi="Times New Roman" w:eastAsia="宋体" w:cs="Times New Roman"/>
          <w:snapToGrid w:val="0"/>
          <w:color w:val="auto"/>
          <w:kern w:val="0"/>
          <w:sz w:val="24"/>
          <w:szCs w:val="24"/>
          <w:lang w:val="en-US" w:eastAsia="zh-CN"/>
        </w:rPr>
        <w:t>详</w:t>
      </w:r>
      <w:r>
        <w:rPr>
          <w:rFonts w:hint="default" w:ascii="Times New Roman" w:hAnsi="Times New Roman" w:eastAsia="宋体" w:cs="Times New Roman"/>
          <w:snapToGrid w:val="0"/>
          <w:color w:val="auto"/>
          <w:kern w:val="0"/>
          <w:sz w:val="24"/>
          <w:szCs w:val="24"/>
          <w:lang w:eastAsia="zh-CN"/>
        </w:rPr>
        <w:t>见表</w:t>
      </w:r>
      <w:r>
        <w:rPr>
          <w:rFonts w:hint="default" w:ascii="Times New Roman" w:hAnsi="Times New Roman" w:eastAsia="宋体" w:cs="Times New Roman"/>
          <w:snapToGrid w:val="0"/>
          <w:color w:val="auto"/>
          <w:kern w:val="0"/>
          <w:sz w:val="24"/>
          <w:szCs w:val="24"/>
          <w:lang w:val="en-US" w:eastAsia="zh-CN"/>
        </w:rPr>
        <w:t>6-2</w:t>
      </w:r>
      <w:r>
        <w:rPr>
          <w:rFonts w:hint="default" w:ascii="Times New Roman" w:hAnsi="Times New Roman" w:eastAsia="宋体" w:cs="Times New Roman"/>
          <w:snapToGrid w:val="0"/>
          <w:color w:val="auto"/>
          <w:kern w:val="0"/>
          <w:sz w:val="24"/>
          <w:szCs w:val="24"/>
          <w:lang w:eastAsia="zh-CN"/>
        </w:rPr>
        <w:t>。</w:t>
      </w:r>
    </w:p>
    <w:p>
      <w:pPr>
        <w:adjustRightInd w:val="0"/>
        <w:snapToGrid w:val="0"/>
        <w:jc w:val="center"/>
        <w:rPr>
          <w:rFonts w:hint="default" w:ascii="Times New Roman" w:hAnsi="Times New Roman" w:eastAsia="宋体" w:cs="Times New Roman"/>
          <w:b/>
          <w:snapToGrid w:val="0"/>
          <w:color w:val="auto"/>
          <w:kern w:val="0"/>
        </w:rPr>
      </w:pPr>
      <w:r>
        <w:rPr>
          <w:rFonts w:hint="default" w:ascii="Times New Roman" w:hAnsi="Times New Roman" w:eastAsia="宋体" w:cs="Times New Roman"/>
          <w:b/>
          <w:snapToGrid w:val="0"/>
          <w:color w:val="auto"/>
          <w:kern w:val="0"/>
        </w:rPr>
        <w:t>表</w:t>
      </w:r>
      <w:r>
        <w:rPr>
          <w:rFonts w:hint="default" w:ascii="Times New Roman" w:hAnsi="Times New Roman" w:eastAsia="宋体" w:cs="Times New Roman"/>
          <w:b/>
          <w:snapToGrid w:val="0"/>
          <w:color w:val="auto"/>
          <w:kern w:val="0"/>
          <w:lang w:val="en-US" w:eastAsia="zh-CN"/>
        </w:rPr>
        <w:t>6-2</w:t>
      </w:r>
      <w:r>
        <w:rPr>
          <w:rFonts w:hint="default" w:ascii="Times New Roman" w:hAnsi="Times New Roman" w:eastAsia="宋体" w:cs="Times New Roman"/>
          <w:b/>
          <w:snapToGrid w:val="0"/>
          <w:color w:val="auto"/>
          <w:kern w:val="0"/>
        </w:rPr>
        <w:t xml:space="preserve">  大气污染物排放限值</w:t>
      </w:r>
    </w:p>
    <w:tbl>
      <w:tblPr>
        <w:tblStyle w:val="23"/>
        <w:tblW w:w="491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82"/>
        <w:gridCol w:w="1274"/>
        <w:gridCol w:w="930"/>
        <w:gridCol w:w="1213"/>
        <w:gridCol w:w="1336"/>
        <w:gridCol w:w="248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01" w:type="pct"/>
            <w:tcBorders>
              <w:tl2br w:val="nil"/>
              <w:tr2bl w:val="nil"/>
            </w:tcBorders>
            <w:noWrap w:val="0"/>
            <w:vAlign w:val="center"/>
          </w:tcPr>
          <w:p>
            <w:pPr>
              <w:adjustRightInd w:val="0"/>
              <w:snapToGrid w:val="0"/>
              <w:spacing w:line="2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污染物名称</w:t>
            </w:r>
          </w:p>
        </w:tc>
        <w:tc>
          <w:tcPr>
            <w:tcW w:w="738" w:type="pct"/>
            <w:tcBorders>
              <w:tl2br w:val="nil"/>
              <w:tr2bl w:val="nil"/>
            </w:tcBorders>
            <w:noWrap w:val="0"/>
            <w:vAlign w:val="center"/>
          </w:tcPr>
          <w:p>
            <w:pPr>
              <w:adjustRightInd w:val="0"/>
              <w:snapToGrid w:val="0"/>
              <w:spacing w:line="2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最高允许排放浓度（mg/m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539" w:type="pct"/>
            <w:tcBorders>
              <w:tl2br w:val="nil"/>
              <w:tr2bl w:val="nil"/>
            </w:tcBorders>
            <w:noWrap w:val="0"/>
            <w:vAlign w:val="center"/>
          </w:tcPr>
          <w:p>
            <w:pPr>
              <w:adjustRightInd w:val="0"/>
              <w:snapToGrid w:val="0"/>
              <w:spacing w:line="2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排气筒高度（m）</w:t>
            </w:r>
          </w:p>
        </w:tc>
        <w:tc>
          <w:tcPr>
            <w:tcW w:w="703" w:type="pct"/>
            <w:tcBorders>
              <w:tl2br w:val="nil"/>
              <w:tr2bl w:val="nil"/>
            </w:tcBorders>
            <w:noWrap w:val="0"/>
            <w:vAlign w:val="center"/>
          </w:tcPr>
          <w:p>
            <w:pPr>
              <w:adjustRightInd w:val="0"/>
              <w:snapToGrid w:val="0"/>
              <w:spacing w:line="2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最高允许排放速率（kg/h）</w:t>
            </w:r>
          </w:p>
        </w:tc>
        <w:tc>
          <w:tcPr>
            <w:tcW w:w="774" w:type="pct"/>
            <w:tcBorders>
              <w:tl2br w:val="nil"/>
              <w:tr2bl w:val="nil"/>
            </w:tcBorders>
            <w:noWrap w:val="0"/>
            <w:vAlign w:val="center"/>
          </w:tcPr>
          <w:p>
            <w:pPr>
              <w:adjustRightInd w:val="0"/>
              <w:snapToGrid w:val="0"/>
              <w:spacing w:line="2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无组织排放监控浓度限值（mg/m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1442" w:type="pct"/>
            <w:tcBorders>
              <w:tl2br w:val="nil"/>
              <w:tr2bl w:val="nil"/>
            </w:tcBorders>
            <w:noWrap w:val="0"/>
            <w:vAlign w:val="center"/>
          </w:tcPr>
          <w:p>
            <w:pPr>
              <w:adjustRightInd w:val="0"/>
              <w:snapToGrid w:val="0"/>
              <w:spacing w:line="2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01"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73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539" w:type="pct"/>
            <w:tcBorders>
              <w:tl2br w:val="nil"/>
              <w:tr2bl w:val="nil"/>
            </w:tcBorders>
            <w:noWrap w:val="0"/>
            <w:vAlign w:val="center"/>
          </w:tcPr>
          <w:p>
            <w:pPr>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w:t>
            </w:r>
          </w:p>
        </w:tc>
        <w:tc>
          <w:tcPr>
            <w:tcW w:w="70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15</w:t>
            </w:r>
            <w:r>
              <w:rPr>
                <w:rFonts w:hint="default" w:ascii="Times New Roman" w:hAnsi="Times New Roman" w:eastAsia="宋体" w:cs="Times New Roman"/>
                <w:color w:val="auto"/>
                <w:sz w:val="21"/>
                <w:szCs w:val="21"/>
                <w:vertAlign w:val="superscript"/>
              </w:rPr>
              <w:t>①</w:t>
            </w:r>
          </w:p>
        </w:tc>
        <w:tc>
          <w:tcPr>
            <w:tcW w:w="774"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1442" w:type="pct"/>
            <w:vMerge w:val="restart"/>
            <w:tcBorders>
              <w:tl2br w:val="nil"/>
              <w:tr2bl w:val="nil"/>
            </w:tcBorders>
            <w:noWrap w:val="0"/>
            <w:vAlign w:val="center"/>
          </w:tcPr>
          <w:p>
            <w:pPr>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江苏省地方标准《化学工业挥发性有机物排放标准》（DB32/3151-2016）表1、表2标准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01"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臭气浓度</w:t>
            </w:r>
          </w:p>
        </w:tc>
        <w:tc>
          <w:tcPr>
            <w:tcW w:w="73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1500（无量纲）</w:t>
            </w:r>
          </w:p>
        </w:tc>
        <w:tc>
          <w:tcPr>
            <w:tcW w:w="539" w:type="pct"/>
            <w:tcBorders>
              <w:tl2br w:val="nil"/>
              <w:tr2bl w:val="nil"/>
            </w:tcBorders>
            <w:noWrap w:val="0"/>
            <w:vAlign w:val="center"/>
          </w:tcPr>
          <w:p>
            <w:pPr>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70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774"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20（无量纲）</w:t>
            </w:r>
          </w:p>
        </w:tc>
        <w:tc>
          <w:tcPr>
            <w:tcW w:w="1442" w:type="pct"/>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eastAsia="宋体"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01"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738"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39" w:type="pct"/>
            <w:tcBorders>
              <w:tl2br w:val="nil"/>
              <w:tr2bl w:val="nil"/>
            </w:tcBorders>
            <w:noWrap w:val="0"/>
            <w:vAlign w:val="center"/>
          </w:tcPr>
          <w:p>
            <w:pPr>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w:t>
            </w:r>
          </w:p>
        </w:tc>
        <w:tc>
          <w:tcPr>
            <w:tcW w:w="70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24</w:t>
            </w:r>
            <w:r>
              <w:rPr>
                <w:rFonts w:hint="default" w:ascii="Times New Roman" w:hAnsi="Times New Roman" w:eastAsia="宋体" w:cs="Times New Roman"/>
                <w:color w:val="auto"/>
                <w:sz w:val="21"/>
                <w:szCs w:val="21"/>
                <w:vertAlign w:val="superscript"/>
              </w:rPr>
              <w:t>①</w:t>
            </w:r>
          </w:p>
        </w:tc>
        <w:tc>
          <w:tcPr>
            <w:tcW w:w="774"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442" w:type="pct"/>
            <w:tcBorders>
              <w:tl2br w:val="nil"/>
              <w:tr2bl w:val="nil"/>
            </w:tcBorders>
            <w:noWrap w:val="0"/>
            <w:vAlign w:val="center"/>
          </w:tcPr>
          <w:p>
            <w:pPr>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《大气污染物综合排放标准》（GB16297-1996）表2二级标准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01" w:type="pct"/>
            <w:tcBorders>
              <w:tl2br w:val="nil"/>
              <w:tr2bl w:val="nil"/>
            </w:tcBorders>
            <w:noWrap w:val="0"/>
            <w:vAlign w:val="center"/>
          </w:tcPr>
          <w:p>
            <w:pPr>
              <w:pStyle w:val="9"/>
              <w:spacing w:line="240" w:lineRule="exact"/>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异丙醇</w:t>
            </w:r>
          </w:p>
        </w:tc>
        <w:tc>
          <w:tcPr>
            <w:tcW w:w="738" w:type="pct"/>
            <w:tcBorders>
              <w:tl2br w:val="nil"/>
              <w:tr2bl w:val="nil"/>
            </w:tcBorders>
            <w:noWrap w:val="0"/>
            <w:vAlign w:val="center"/>
          </w:tcPr>
          <w:p>
            <w:pPr>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39" w:type="pct"/>
            <w:tcBorders>
              <w:tl2br w:val="nil"/>
              <w:tr2bl w:val="nil"/>
            </w:tcBorders>
            <w:noWrap w:val="0"/>
            <w:vAlign w:val="center"/>
          </w:tcPr>
          <w:p>
            <w:pPr>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w:t>
            </w:r>
          </w:p>
        </w:tc>
        <w:tc>
          <w:tcPr>
            <w:tcW w:w="703" w:type="pct"/>
            <w:tcBorders>
              <w:tl2br w:val="nil"/>
              <w:tr2bl w:val="nil"/>
            </w:tcBorders>
            <w:noWrap w:val="0"/>
            <w:vAlign w:val="center"/>
          </w:tcPr>
          <w:p>
            <w:pPr>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0.45</w:t>
            </w:r>
          </w:p>
        </w:tc>
        <w:tc>
          <w:tcPr>
            <w:tcW w:w="774" w:type="pct"/>
            <w:tcBorders>
              <w:tl2br w:val="nil"/>
              <w:tr2bl w:val="nil"/>
            </w:tcBorders>
            <w:noWrap w:val="0"/>
            <w:vAlign w:val="center"/>
          </w:tcPr>
          <w:p>
            <w:pPr>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w:t>
            </w:r>
          </w:p>
        </w:tc>
        <w:tc>
          <w:tcPr>
            <w:tcW w:w="1442" w:type="pct"/>
            <w:tcBorders>
              <w:tl2br w:val="nil"/>
              <w:tr2bl w:val="nil"/>
            </w:tcBorders>
            <w:noWrap w:val="0"/>
            <w:vAlign w:val="center"/>
          </w:tcPr>
          <w:p>
            <w:pPr>
              <w:adjustRightInd w:val="0"/>
              <w:snapToGrid w:val="0"/>
              <w:spacing w:line="2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制定标准</w:t>
            </w:r>
            <w:r>
              <w:rPr>
                <w:rFonts w:hint="default" w:ascii="Times New Roman" w:hAnsi="Times New Roman" w:eastAsia="宋体" w:cs="Times New Roman"/>
                <w:color w:val="auto"/>
                <w:sz w:val="21"/>
                <w:szCs w:val="21"/>
                <w:vertAlign w:val="superscript"/>
              </w:rPr>
              <w:t>②</w:t>
            </w:r>
          </w:p>
        </w:tc>
      </w:tr>
    </w:tbl>
    <w:p>
      <w:pPr>
        <w:autoSpaceDE/>
        <w:autoSpaceDN/>
        <w:spacing w:before="0" w:after="0" w:line="240" w:lineRule="auto"/>
        <w:ind w:left="0" w:right="0"/>
        <w:jc w:val="both"/>
        <w:rPr>
          <w:rFonts w:hint="default" w:ascii="Times New Roman" w:hAnsi="Times New Roman" w:eastAsia="宋体" w:cs="Times New Roman"/>
          <w:color w:val="auto"/>
          <w:kern w:val="2"/>
          <w:sz w:val="20"/>
          <w:szCs w:val="20"/>
          <w:lang w:eastAsia="zh-CN"/>
        </w:rPr>
      </w:pPr>
      <w:r>
        <w:rPr>
          <w:rFonts w:hint="default" w:ascii="Times New Roman" w:hAnsi="Times New Roman" w:eastAsia="宋体" w:cs="Times New Roman"/>
          <w:color w:val="auto"/>
          <w:kern w:val="2"/>
          <w:sz w:val="20"/>
          <w:szCs w:val="20"/>
          <w:lang w:eastAsia="zh-CN"/>
        </w:rPr>
        <w:t>*注：①本项目排气筒15m，因排气筒未高出周围200m半径范围内的建筑物5m以上，根据标准要求，排放速率标准值严格50%执行</w:t>
      </w:r>
      <w:r>
        <w:rPr>
          <w:rFonts w:hint="eastAsia" w:ascii="Times New Roman" w:hAnsi="Times New Roman" w:cs="Times New Roman"/>
          <w:color w:val="auto"/>
          <w:kern w:val="2"/>
          <w:sz w:val="20"/>
          <w:szCs w:val="20"/>
          <w:lang w:eastAsia="zh-CN"/>
        </w:rPr>
        <w:t>，根据内插法计算，非甲烷总烃排放速率限值为</w:t>
      </w:r>
      <w:r>
        <w:rPr>
          <w:rFonts w:hint="eastAsia" w:ascii="Times New Roman" w:hAnsi="Times New Roman" w:cs="Times New Roman"/>
          <w:color w:val="auto"/>
          <w:kern w:val="2"/>
          <w:sz w:val="20"/>
          <w:szCs w:val="20"/>
          <w:lang w:val="en-US" w:eastAsia="zh-CN"/>
        </w:rPr>
        <w:t>30kg/h，严格50%执行后为15kg/h，颗粒物</w:t>
      </w:r>
      <w:r>
        <w:rPr>
          <w:rFonts w:hint="eastAsia" w:ascii="Times New Roman" w:hAnsi="Times New Roman" w:cs="Times New Roman"/>
          <w:color w:val="auto"/>
          <w:kern w:val="2"/>
          <w:sz w:val="20"/>
          <w:szCs w:val="20"/>
          <w:lang w:eastAsia="zh-CN"/>
        </w:rPr>
        <w:t>排放速率限值为</w:t>
      </w:r>
      <w:r>
        <w:rPr>
          <w:rFonts w:hint="eastAsia" w:ascii="Times New Roman" w:hAnsi="Times New Roman" w:cs="Times New Roman"/>
          <w:color w:val="auto"/>
          <w:kern w:val="2"/>
          <w:sz w:val="20"/>
          <w:szCs w:val="20"/>
          <w:lang w:val="en-US" w:eastAsia="zh-CN"/>
        </w:rPr>
        <w:t>48kg/h，严格50%执行后为24kg/h</w:t>
      </w:r>
      <w:r>
        <w:rPr>
          <w:rFonts w:hint="default" w:ascii="Times New Roman" w:hAnsi="Times New Roman" w:eastAsia="宋体" w:cs="Times New Roman"/>
          <w:color w:val="auto"/>
          <w:kern w:val="2"/>
          <w:sz w:val="20"/>
          <w:szCs w:val="20"/>
          <w:lang w:eastAsia="zh-CN"/>
        </w:rPr>
        <w:t>。</w:t>
      </w:r>
    </w:p>
    <w:p>
      <w:pPr>
        <w:autoSpaceDE/>
        <w:autoSpaceDN/>
        <w:spacing w:before="0" w:after="0" w:line="240" w:lineRule="auto"/>
        <w:ind w:left="0" w:right="0" w:firstLine="400" w:firstLineChars="200"/>
        <w:jc w:val="both"/>
        <w:rPr>
          <w:rFonts w:hint="default" w:ascii="Times New Roman" w:hAnsi="Times New Roman" w:eastAsia="宋体" w:cs="Times New Roman"/>
          <w:color w:val="auto"/>
          <w:kern w:val="2"/>
          <w:sz w:val="20"/>
          <w:szCs w:val="20"/>
          <w:lang w:eastAsia="zh-CN"/>
        </w:rPr>
      </w:pPr>
      <w:r>
        <w:rPr>
          <w:rFonts w:hint="default" w:ascii="Times New Roman" w:hAnsi="Times New Roman" w:eastAsia="宋体" w:cs="Times New Roman"/>
          <w:color w:val="auto"/>
          <w:kern w:val="2"/>
          <w:sz w:val="20"/>
          <w:szCs w:val="20"/>
          <w:lang w:eastAsia="zh-CN"/>
        </w:rPr>
        <w:t>②标准计算方法如下： Q=CmRKe</w:t>
      </w:r>
    </w:p>
    <w:p>
      <w:pPr>
        <w:autoSpaceDE/>
        <w:autoSpaceDN/>
        <w:spacing w:before="0" w:after="0" w:line="240" w:lineRule="auto"/>
        <w:ind w:left="0" w:right="0" w:firstLine="400" w:firstLineChars="200"/>
        <w:jc w:val="both"/>
        <w:rPr>
          <w:rFonts w:hint="default" w:ascii="Times New Roman" w:hAnsi="Times New Roman" w:eastAsia="宋体" w:cs="Times New Roman"/>
          <w:color w:val="auto"/>
          <w:kern w:val="2"/>
          <w:sz w:val="20"/>
          <w:szCs w:val="20"/>
          <w:lang w:eastAsia="zh-CN"/>
        </w:rPr>
      </w:pPr>
      <w:r>
        <w:rPr>
          <w:rFonts w:hint="default" w:ascii="Times New Roman" w:hAnsi="Times New Roman" w:eastAsia="宋体" w:cs="Times New Roman"/>
          <w:color w:val="auto"/>
          <w:kern w:val="2"/>
          <w:sz w:val="20"/>
          <w:szCs w:val="20"/>
          <w:lang w:eastAsia="zh-CN"/>
        </w:rPr>
        <w:t>式中：Q--排气筒允许排放率，kg/h；</w:t>
      </w:r>
    </w:p>
    <w:p>
      <w:pPr>
        <w:autoSpaceDE/>
        <w:autoSpaceDN/>
        <w:spacing w:before="0" w:after="0" w:line="240" w:lineRule="auto"/>
        <w:ind w:left="0" w:right="0" w:firstLine="1000" w:firstLineChars="500"/>
        <w:jc w:val="both"/>
        <w:rPr>
          <w:rFonts w:hint="default" w:ascii="Times New Roman" w:hAnsi="Times New Roman" w:eastAsia="宋体" w:cs="Times New Roman"/>
          <w:color w:val="auto"/>
          <w:kern w:val="2"/>
          <w:sz w:val="20"/>
          <w:szCs w:val="20"/>
          <w:lang w:eastAsia="zh-CN"/>
        </w:rPr>
      </w:pPr>
      <w:r>
        <w:rPr>
          <w:rFonts w:hint="default" w:ascii="Times New Roman" w:hAnsi="Times New Roman" w:eastAsia="宋体" w:cs="Times New Roman"/>
          <w:color w:val="auto"/>
          <w:kern w:val="2"/>
          <w:sz w:val="20"/>
          <w:szCs w:val="20"/>
          <w:lang w:eastAsia="zh-CN"/>
        </w:rPr>
        <w:t>Cm--标准浓度限值，mg/Nm</w:t>
      </w:r>
      <w:r>
        <w:rPr>
          <w:rFonts w:hint="default" w:ascii="Times New Roman" w:hAnsi="Times New Roman" w:eastAsia="宋体" w:cs="Times New Roman"/>
          <w:color w:val="auto"/>
          <w:kern w:val="2"/>
          <w:sz w:val="20"/>
          <w:szCs w:val="20"/>
          <w:vertAlign w:val="superscript"/>
          <w:lang w:eastAsia="zh-CN"/>
        </w:rPr>
        <w:t>3</w:t>
      </w:r>
      <w:r>
        <w:rPr>
          <w:rFonts w:hint="default" w:ascii="Times New Roman" w:hAnsi="Times New Roman" w:eastAsia="宋体" w:cs="Times New Roman"/>
          <w:color w:val="auto"/>
          <w:kern w:val="2"/>
          <w:sz w:val="20"/>
          <w:szCs w:val="20"/>
          <w:lang w:eastAsia="zh-CN"/>
        </w:rPr>
        <w:t>。</w:t>
      </w:r>
    </w:p>
    <w:p>
      <w:pPr>
        <w:autoSpaceDE/>
        <w:autoSpaceDN/>
        <w:spacing w:before="0" w:after="0" w:line="240" w:lineRule="auto"/>
        <w:ind w:left="0" w:right="0" w:firstLine="1000" w:firstLineChars="500"/>
        <w:jc w:val="both"/>
        <w:rPr>
          <w:rFonts w:hint="default" w:ascii="Times New Roman" w:hAnsi="Times New Roman" w:eastAsia="宋体" w:cs="Times New Roman"/>
          <w:color w:val="auto"/>
          <w:kern w:val="2"/>
          <w:sz w:val="20"/>
          <w:szCs w:val="20"/>
          <w:lang w:eastAsia="zh-CN"/>
        </w:rPr>
      </w:pPr>
      <w:r>
        <w:rPr>
          <w:rFonts w:hint="default" w:ascii="Times New Roman" w:hAnsi="Times New Roman" w:eastAsia="宋体" w:cs="Times New Roman"/>
          <w:color w:val="auto"/>
          <w:kern w:val="2"/>
          <w:sz w:val="20"/>
          <w:szCs w:val="20"/>
          <w:lang w:eastAsia="zh-CN"/>
        </w:rPr>
        <w:t>R --排放系数；按排气筒高度15m计，R取值6。</w:t>
      </w:r>
    </w:p>
    <w:p>
      <w:pPr>
        <w:autoSpaceDE/>
        <w:autoSpaceDN/>
        <w:spacing w:before="0" w:after="0" w:line="240" w:lineRule="auto"/>
        <w:ind w:left="0" w:right="0" w:firstLine="1000" w:firstLineChars="500"/>
        <w:jc w:val="both"/>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0"/>
          <w:szCs w:val="20"/>
          <w:lang w:eastAsia="zh-CN"/>
        </w:rPr>
        <w:t>Ke--地区性经济技术系数，取值为0.5～1.5，本报告取值0.5。</w:t>
      </w:r>
    </w:p>
    <w:p>
      <w:pPr>
        <w:keepNext w:val="0"/>
        <w:keepLines w:val="0"/>
        <w:pageBreakBefore w:val="0"/>
        <w:widowControl w:val="0"/>
        <w:kinsoku/>
        <w:wordWrap/>
        <w:overflowPunct/>
        <w:topLinePunct w:val="0"/>
        <w:autoSpaceDE w:val="0"/>
        <w:autoSpaceDN w:val="0"/>
        <w:bidi w:val="0"/>
        <w:spacing w:line="360" w:lineRule="auto"/>
        <w:textAlignment w:val="auto"/>
        <w:rPr>
          <w:rFonts w:hint="default" w:ascii="Times New Roman" w:hAnsi="Times New Roman" w:eastAsia="宋体" w:cs="Times New Roman"/>
          <w:snapToGrid w:val="0"/>
          <w:color w:val="auto"/>
          <w:kern w:val="0"/>
          <w:sz w:val="18"/>
          <w:szCs w:val="18"/>
        </w:rPr>
      </w:pPr>
      <w:r>
        <w:rPr>
          <w:rFonts w:hint="default" w:ascii="Times New Roman" w:hAnsi="Times New Roman" w:eastAsia="宋体" w:cs="Times New Roman"/>
          <w:snapToGrid w:val="0"/>
          <w:color w:val="auto"/>
          <w:kern w:val="0"/>
          <w:sz w:val="18"/>
          <w:szCs w:val="18"/>
        </w:rPr>
        <w:br w:type="page"/>
      </w:r>
    </w:p>
    <w:p>
      <w:pPr>
        <w:pStyle w:val="4"/>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textAlignment w:val="auto"/>
        <w:rPr>
          <w:rFonts w:hint="default" w:ascii="Times New Roman" w:hAnsi="Times New Roman" w:eastAsia="宋体" w:cs="Times New Roman"/>
          <w:color w:val="auto"/>
          <w:sz w:val="28"/>
          <w:szCs w:val="28"/>
          <w:lang w:eastAsia="zh-CN"/>
        </w:rPr>
      </w:pPr>
      <w:bookmarkStart w:id="61" w:name="_Toc3280"/>
      <w:r>
        <w:rPr>
          <w:rFonts w:hint="default" w:ascii="Times New Roman" w:hAnsi="Times New Roman" w:eastAsia="宋体" w:cs="Times New Roman"/>
          <w:color w:val="auto"/>
          <w:sz w:val="28"/>
          <w:szCs w:val="28"/>
          <w:lang w:val="en-US" w:eastAsia="zh-CN"/>
        </w:rPr>
        <w:t>6</w:t>
      </w:r>
      <w:r>
        <w:rPr>
          <w:rFonts w:hint="default" w:ascii="Times New Roman" w:hAnsi="Times New Roman" w:eastAsia="宋体" w:cs="Times New Roman"/>
          <w:color w:val="auto"/>
          <w:sz w:val="28"/>
          <w:szCs w:val="28"/>
          <w:lang w:eastAsia="zh-CN"/>
        </w:rPr>
        <w:t>.3</w:t>
      </w:r>
      <w:r>
        <w:rPr>
          <w:rFonts w:hint="default" w:ascii="Times New Roman" w:hAnsi="Times New Roman" w:eastAsia="宋体" w:cs="Times New Roman"/>
          <w:color w:val="auto"/>
          <w:sz w:val="28"/>
          <w:szCs w:val="28"/>
          <w:lang w:val="en-US" w:eastAsia="zh-CN"/>
        </w:rPr>
        <w:t xml:space="preserve"> </w:t>
      </w:r>
      <w:r>
        <w:rPr>
          <w:rFonts w:hint="default" w:ascii="Times New Roman" w:hAnsi="Times New Roman" w:eastAsia="宋体" w:cs="Times New Roman"/>
          <w:color w:val="auto"/>
          <w:sz w:val="28"/>
          <w:szCs w:val="28"/>
          <w:lang w:eastAsia="zh-CN"/>
        </w:rPr>
        <w:t>噪声评价标准</w:t>
      </w:r>
      <w:bookmarkEnd w:id="60"/>
      <w:bookmarkEnd w:id="61"/>
    </w:p>
    <w:p>
      <w:pPr>
        <w:spacing w:line="360" w:lineRule="auto"/>
        <w:ind w:firstLine="480" w:firstLineChars="200"/>
        <w:rPr>
          <w:rFonts w:hint="default" w:ascii="Times New Roman" w:hAnsi="Times New Roman" w:eastAsia="宋体" w:cs="Times New Roman"/>
          <w:color w:val="auto"/>
        </w:rPr>
      </w:pPr>
      <w:bookmarkStart w:id="62" w:name="_Toc27931"/>
      <w:r>
        <w:rPr>
          <w:rFonts w:hint="default" w:ascii="Times New Roman" w:hAnsi="Times New Roman" w:eastAsia="宋体" w:cs="Times New Roman"/>
          <w:color w:val="auto"/>
          <w:sz w:val="24"/>
        </w:rPr>
        <w:t>厂界噪声评价标准见表6-</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w:t>
      </w:r>
    </w:p>
    <w:p>
      <w:pPr>
        <w:ind w:firstLine="482" w:firstLineChars="20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表6-</w:t>
      </w:r>
      <w:r>
        <w:rPr>
          <w:rFonts w:hint="default" w:ascii="Times New Roman" w:hAnsi="Times New Roman" w:eastAsia="宋体" w:cs="Times New Roman"/>
          <w:b/>
          <w:bCs/>
          <w:color w:val="auto"/>
          <w:lang w:val="en-US" w:eastAsia="zh-CN"/>
        </w:rPr>
        <w:t>4</w:t>
      </w:r>
      <w:r>
        <w:rPr>
          <w:rFonts w:hint="default" w:ascii="Times New Roman" w:hAnsi="Times New Roman" w:eastAsia="宋体" w:cs="Times New Roman"/>
          <w:b/>
          <w:bCs/>
          <w:color w:val="auto"/>
        </w:rPr>
        <w:t xml:space="preserve">  工业企业厂界噪声排放标准</w:t>
      </w:r>
    </w:p>
    <w:tbl>
      <w:tblPr>
        <w:tblStyle w:val="24"/>
        <w:tblW w:w="8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346"/>
        <w:gridCol w:w="1347"/>
        <w:gridCol w:w="3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09" w:type="dxa"/>
            <w:vAlign w:val="center"/>
          </w:tcPr>
          <w:p>
            <w:pPr>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评价标准</w:t>
            </w:r>
          </w:p>
        </w:tc>
        <w:tc>
          <w:tcPr>
            <w:tcW w:w="1346" w:type="dxa"/>
            <w:vAlign w:val="center"/>
          </w:tcPr>
          <w:p>
            <w:pPr>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347" w:type="dxa"/>
            <w:vAlign w:val="center"/>
          </w:tcPr>
          <w:p>
            <w:pPr>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3884" w:type="dxa"/>
            <w:vAlign w:val="center"/>
          </w:tcPr>
          <w:p>
            <w:pPr>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09" w:type="dxa"/>
            <w:vAlign w:val="center"/>
          </w:tcPr>
          <w:p>
            <w:pPr>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 xml:space="preserve"> 类</w:t>
            </w:r>
          </w:p>
        </w:tc>
        <w:tc>
          <w:tcPr>
            <w:tcW w:w="1346" w:type="dxa"/>
            <w:vAlign w:val="center"/>
          </w:tcPr>
          <w:p>
            <w:pPr>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dB（A）</w:t>
            </w:r>
          </w:p>
        </w:tc>
        <w:tc>
          <w:tcPr>
            <w:tcW w:w="1347" w:type="dxa"/>
            <w:vAlign w:val="center"/>
          </w:tcPr>
          <w:p>
            <w:pPr>
              <w:keepNext w:val="0"/>
              <w:keepLines w:val="0"/>
              <w:pageBreakBefore w:val="0"/>
              <w:widowControl w:val="0"/>
              <w:kinsoku/>
              <w:wordWrap/>
              <w:overflowPunct/>
              <w:topLinePunct w:val="0"/>
              <w:autoSpaceDE w:val="0"/>
              <w:autoSpaceDN w:val="0"/>
              <w:bidi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dB（A）</w:t>
            </w:r>
          </w:p>
        </w:tc>
        <w:tc>
          <w:tcPr>
            <w:tcW w:w="388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《工业企业厂界环境噪声排放标准》（GB12348-2008）</w:t>
            </w:r>
          </w:p>
        </w:tc>
      </w:tr>
    </w:tbl>
    <w:p>
      <w:pPr>
        <w:pStyle w:val="3"/>
        <w:keepNext w:val="0"/>
        <w:keepLines w:val="0"/>
        <w:pageBreakBefore w:val="0"/>
        <w:widowControl w:val="0"/>
        <w:kinsoku/>
        <w:wordWrap/>
        <w:overflowPunct/>
        <w:topLinePunct w:val="0"/>
        <w:autoSpaceDE w:val="0"/>
        <w:autoSpaceDN w:val="0"/>
        <w:bidi w:val="0"/>
        <w:adjustRightInd/>
        <w:snapToGrid/>
        <w:spacing w:before="0" w:beforeLines="50" w:after="0" w:line="288" w:lineRule="auto"/>
        <w:ind w:left="0" w:leftChars="0" w:right="0" w:rightChars="0" w:firstLine="0" w:firstLineChars="0"/>
        <w:jc w:val="left"/>
        <w:textAlignment w:val="auto"/>
        <w:outlineLvl w:val="0"/>
        <w:rPr>
          <w:rFonts w:hint="default" w:ascii="Times New Roman" w:hAnsi="Times New Roman" w:eastAsia="宋体" w:cs="Times New Roman"/>
          <w:color w:val="auto"/>
          <w:sz w:val="28"/>
          <w:szCs w:val="28"/>
          <w:lang w:val="en-US" w:eastAsia="zh-CN"/>
        </w:rPr>
        <w:sectPr>
          <w:pgSz w:w="11911" w:h="16838"/>
          <w:pgMar w:top="1463" w:right="1678" w:bottom="1463" w:left="1678" w:header="907" w:footer="884" w:gutter="0"/>
          <w:pgBorders>
            <w:top w:val="none" w:sz="0" w:space="0"/>
            <w:left w:val="none" w:sz="0" w:space="0"/>
            <w:bottom w:val="none" w:sz="0" w:space="0"/>
            <w:right w:val="none" w:sz="0" w:space="0"/>
          </w:pgBorders>
          <w:pgNumType w:fmt="decimal"/>
          <w:cols w:space="0" w:num="1"/>
          <w:rtlGutter w:val="0"/>
          <w:docGrid w:type="lines" w:linePitch="0" w:charSpace="0"/>
        </w:sectPr>
      </w:pPr>
    </w:p>
    <w:p>
      <w:pPr>
        <w:pStyle w:val="3"/>
        <w:keepNext w:val="0"/>
        <w:keepLines w:val="0"/>
        <w:pageBreakBefore w:val="0"/>
        <w:widowControl w:val="0"/>
        <w:kinsoku/>
        <w:wordWrap/>
        <w:overflowPunct/>
        <w:topLinePunct w:val="0"/>
        <w:autoSpaceDE w:val="0"/>
        <w:autoSpaceDN w:val="0"/>
        <w:bidi w:val="0"/>
        <w:adjustRightInd/>
        <w:snapToGrid/>
        <w:spacing w:before="0" w:beforeLines="50" w:after="0" w:line="360" w:lineRule="auto"/>
        <w:ind w:left="0" w:leftChars="0" w:right="0" w:rightChars="0" w:firstLine="0" w:firstLineChars="0"/>
        <w:jc w:val="left"/>
        <w:textAlignment w:val="auto"/>
        <w:outlineLvl w:val="0"/>
        <w:rPr>
          <w:rFonts w:hint="default" w:ascii="Times New Roman" w:hAnsi="Times New Roman" w:eastAsia="宋体" w:cs="Times New Roman"/>
          <w:color w:val="auto"/>
          <w:sz w:val="28"/>
          <w:szCs w:val="28"/>
        </w:rPr>
      </w:pPr>
      <w:bookmarkStart w:id="63" w:name="_Toc4478"/>
      <w:r>
        <w:rPr>
          <w:rFonts w:hint="default" w:ascii="Times New Roman" w:hAnsi="Times New Roman" w:eastAsia="宋体" w:cs="Times New Roman"/>
          <w:color w:val="auto"/>
          <w:sz w:val="28"/>
          <w:szCs w:val="28"/>
          <w:lang w:val="en-US" w:eastAsia="zh-CN"/>
        </w:rPr>
        <w:t>7、</w:t>
      </w:r>
      <w:r>
        <w:rPr>
          <w:rFonts w:hint="default" w:ascii="Times New Roman" w:hAnsi="Times New Roman" w:eastAsia="宋体" w:cs="Times New Roman"/>
          <w:color w:val="auto"/>
          <w:sz w:val="28"/>
          <w:szCs w:val="28"/>
        </w:rPr>
        <w:t>验收监测内容</w:t>
      </w:r>
      <w:bookmarkEnd w:id="62"/>
      <w:bookmarkEnd w:id="63"/>
    </w:p>
    <w:p>
      <w:pPr>
        <w:pStyle w:val="4"/>
        <w:keepNext w:val="0"/>
        <w:keepLines w:val="0"/>
        <w:pageBreakBefore w:val="0"/>
        <w:widowControl w:val="0"/>
        <w:kinsoku/>
        <w:wordWrap/>
        <w:overflowPunct/>
        <w:topLinePunct w:val="0"/>
        <w:autoSpaceDE w:val="0"/>
        <w:autoSpaceDN w:val="0"/>
        <w:bidi w:val="0"/>
        <w:adjustRightInd/>
        <w:snapToGrid/>
        <w:spacing w:before="157" w:beforeLines="50" w:after="0" w:line="360" w:lineRule="auto"/>
        <w:ind w:left="0" w:leftChars="0" w:right="0" w:rightChars="0" w:firstLine="0" w:firstLineChars="0"/>
        <w:jc w:val="left"/>
        <w:textAlignment w:val="auto"/>
        <w:outlineLvl w:val="1"/>
        <w:rPr>
          <w:rFonts w:hint="default" w:ascii="Times New Roman" w:hAnsi="Times New Roman" w:eastAsia="宋体" w:cs="Times New Roman"/>
          <w:b/>
          <w:bCs/>
          <w:color w:val="auto"/>
          <w:sz w:val="28"/>
          <w:szCs w:val="28"/>
        </w:rPr>
      </w:pPr>
      <w:bookmarkStart w:id="64" w:name="_Toc6567"/>
      <w:bookmarkStart w:id="65" w:name="_Toc31345"/>
      <w:r>
        <w:rPr>
          <w:rFonts w:hint="default" w:ascii="Times New Roman" w:hAnsi="Times New Roman" w:eastAsia="宋体" w:cs="Times New Roman"/>
          <w:b/>
          <w:bCs/>
          <w:color w:val="auto"/>
          <w:sz w:val="28"/>
          <w:szCs w:val="28"/>
          <w:lang w:val="en-US" w:eastAsia="zh-CN"/>
        </w:rPr>
        <w:t>7</w:t>
      </w:r>
      <w:r>
        <w:rPr>
          <w:rFonts w:hint="default" w:ascii="Times New Roman" w:hAnsi="Times New Roman" w:eastAsia="宋体" w:cs="Times New Roman"/>
          <w:b/>
          <w:bCs/>
          <w:color w:val="auto"/>
          <w:sz w:val="28"/>
          <w:szCs w:val="28"/>
        </w:rPr>
        <w:t>.1</w:t>
      </w:r>
      <w:r>
        <w:rPr>
          <w:rFonts w:hint="default" w:ascii="Times New Roman" w:hAnsi="Times New Roman" w:eastAsia="宋体" w:cs="Times New Roman"/>
          <w:b/>
          <w:bCs/>
          <w:color w:val="auto"/>
          <w:sz w:val="28"/>
          <w:szCs w:val="28"/>
          <w:lang w:val="en-US" w:eastAsia="zh-CN"/>
        </w:rPr>
        <w:t xml:space="preserve"> </w:t>
      </w:r>
      <w:r>
        <w:rPr>
          <w:rFonts w:hint="default" w:ascii="Times New Roman" w:hAnsi="Times New Roman" w:eastAsia="宋体" w:cs="Times New Roman"/>
          <w:b/>
          <w:bCs/>
          <w:color w:val="auto"/>
          <w:sz w:val="28"/>
          <w:szCs w:val="28"/>
        </w:rPr>
        <w:t>废水监测</w:t>
      </w:r>
      <w:bookmarkEnd w:id="64"/>
      <w:bookmarkEnd w:id="65"/>
    </w:p>
    <w:p>
      <w:pPr>
        <w:keepNext w:val="0"/>
        <w:keepLines w:val="0"/>
        <w:pageBreakBefore w:val="0"/>
        <w:widowControl w:val="0"/>
        <w:tabs>
          <w:tab w:val="left" w:pos="360"/>
        </w:tabs>
        <w:kinsoku/>
        <w:wordWrap/>
        <w:overflowPunct/>
        <w:topLinePunct w:val="0"/>
        <w:autoSpaceDE w:val="0"/>
        <w:autoSpaceDN w:val="0"/>
        <w:bidi w:val="0"/>
        <w:adjustRightInd/>
        <w:snapToGrid/>
        <w:spacing w:after="0" w:line="360" w:lineRule="auto"/>
        <w:ind w:left="0" w:leftChars="0" w:right="0" w:rightChars="0"/>
        <w:jc w:val="left"/>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rPr>
        <w:t>.1.1</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监测内容</w:t>
      </w:r>
    </w:p>
    <w:p>
      <w:pPr>
        <w:keepNext w:val="0"/>
        <w:keepLines w:val="0"/>
        <w:pageBreakBefore w:val="0"/>
        <w:widowControl w:val="0"/>
        <w:kinsoku/>
        <w:wordWrap/>
        <w:overflowPunct/>
        <w:topLinePunct w:val="0"/>
        <w:autoSpaceDE w:val="0"/>
        <w:autoSpaceDN w:val="0"/>
        <w:bidi w:val="0"/>
        <w:adjustRightInd/>
        <w:snapToGrid/>
        <w:spacing w:after="0" w:line="360" w:lineRule="auto"/>
        <w:ind w:left="0" w:leftChars="0" w:right="0" w:rightChars="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废水监测内容见表</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-1。</w:t>
      </w:r>
    </w:p>
    <w:p>
      <w:pPr>
        <w:keepNext w:val="0"/>
        <w:keepLines w:val="0"/>
        <w:pageBreakBefore w:val="0"/>
        <w:widowControl w:val="0"/>
        <w:tabs>
          <w:tab w:val="left" w:pos="2072"/>
          <w:tab w:val="center" w:pos="4960"/>
        </w:tabs>
        <w:kinsoku/>
        <w:wordWrap/>
        <w:overflowPunct/>
        <w:topLinePunct w:val="0"/>
        <w:autoSpaceDE w:val="0"/>
        <w:autoSpaceDN w:val="0"/>
        <w:bidi w:val="0"/>
        <w:adjustRightInd/>
        <w:snapToGrid/>
        <w:spacing w:after="0" w:line="360" w:lineRule="auto"/>
        <w:ind w:left="0" w:leftChars="0" w:right="0" w:rightChars="0" w:firstLine="482" w:firstLineChars="200"/>
        <w:jc w:val="center"/>
        <w:textAlignment w:val="auto"/>
        <w:rPr>
          <w:rFonts w:hint="default" w:ascii="Times New Roman" w:hAnsi="Times New Roman" w:eastAsia="宋体" w:cs="Times New Roman"/>
          <w:b/>
          <w:bCs/>
          <w:color w:val="auto"/>
          <w:sz w:val="24"/>
          <w:szCs w:val="22"/>
        </w:rPr>
      </w:pPr>
      <w:r>
        <w:rPr>
          <w:rFonts w:hint="default" w:ascii="Times New Roman" w:hAnsi="Times New Roman" w:eastAsia="宋体" w:cs="Times New Roman"/>
          <w:b/>
          <w:bCs/>
          <w:color w:val="auto"/>
          <w:sz w:val="24"/>
          <w:szCs w:val="22"/>
        </w:rPr>
        <w:t>表</w:t>
      </w:r>
      <w:r>
        <w:rPr>
          <w:rFonts w:hint="default" w:ascii="Times New Roman" w:hAnsi="Times New Roman" w:eastAsia="宋体" w:cs="Times New Roman"/>
          <w:b/>
          <w:bCs/>
          <w:color w:val="auto"/>
          <w:sz w:val="24"/>
          <w:szCs w:val="22"/>
          <w:lang w:val="en-US" w:eastAsia="zh-CN"/>
        </w:rPr>
        <w:t>7</w:t>
      </w:r>
      <w:r>
        <w:rPr>
          <w:rFonts w:hint="default" w:ascii="Times New Roman" w:hAnsi="Times New Roman" w:eastAsia="宋体" w:cs="Times New Roman"/>
          <w:b/>
          <w:bCs/>
          <w:color w:val="auto"/>
          <w:sz w:val="24"/>
          <w:szCs w:val="22"/>
        </w:rPr>
        <w:t>-1</w:t>
      </w:r>
      <w:r>
        <w:rPr>
          <w:rFonts w:hint="default" w:ascii="Times New Roman" w:hAnsi="Times New Roman" w:eastAsia="宋体" w:cs="Times New Roman"/>
          <w:b/>
          <w:bCs/>
          <w:color w:val="auto"/>
          <w:sz w:val="24"/>
          <w:szCs w:val="22"/>
          <w:lang w:val="en-US" w:eastAsia="zh-CN"/>
        </w:rPr>
        <w:t xml:space="preserve">  </w:t>
      </w:r>
      <w:r>
        <w:rPr>
          <w:rFonts w:hint="default" w:ascii="Times New Roman" w:hAnsi="Times New Roman" w:eastAsia="宋体" w:cs="Times New Roman"/>
          <w:b/>
          <w:bCs/>
          <w:color w:val="auto"/>
          <w:sz w:val="24"/>
          <w:szCs w:val="22"/>
        </w:rPr>
        <w:t>废水监测点位、监测项目和监测频次</w:t>
      </w:r>
    </w:p>
    <w:tbl>
      <w:tblPr>
        <w:tblStyle w:val="23"/>
        <w:tblW w:w="87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3"/>
        <w:gridCol w:w="2927"/>
        <w:gridCol w:w="2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监测点位</w:t>
            </w:r>
          </w:p>
        </w:tc>
        <w:tc>
          <w:tcPr>
            <w:tcW w:w="292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监测指标</w:t>
            </w:r>
          </w:p>
        </w:tc>
        <w:tc>
          <w:tcPr>
            <w:tcW w:w="289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95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pacing w:val="0"/>
                <w:sz w:val="21"/>
                <w:szCs w:val="21"/>
                <w:lang w:val="en-US" w:eastAsia="zh-CN"/>
              </w:rPr>
              <w:t>厂区污水处理站进口、厂区污水处理站出口</w:t>
            </w:r>
          </w:p>
        </w:tc>
        <w:tc>
          <w:tcPr>
            <w:tcW w:w="292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化学需氧量、悬浮物</w:t>
            </w:r>
          </w:p>
        </w:tc>
        <w:tc>
          <w:tcPr>
            <w:tcW w:w="289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kern w:val="0"/>
                <w:sz w:val="21"/>
                <w:szCs w:val="21"/>
                <w:lang w:val="en-US" w:eastAsia="zh-CN"/>
              </w:rPr>
              <w:t>分为</w:t>
            </w:r>
            <w:r>
              <w:rPr>
                <w:rFonts w:hint="default" w:ascii="Times New Roman" w:hAnsi="Times New Roman" w:eastAsia="宋体" w:cs="Times New Roman"/>
                <w:color w:val="auto"/>
                <w:kern w:val="0"/>
                <w:sz w:val="21"/>
                <w:szCs w:val="21"/>
                <w:lang w:eastAsia="zh-CN"/>
              </w:rPr>
              <w:t>异丙醇系列、异辛醇系列、</w:t>
            </w:r>
            <w:r>
              <w:rPr>
                <w:rFonts w:hint="default" w:ascii="Times New Roman" w:hAnsi="Times New Roman" w:eastAsia="宋体" w:cs="Times New Roman"/>
                <w:color w:val="auto"/>
                <w:kern w:val="0"/>
                <w:sz w:val="21"/>
                <w:szCs w:val="21"/>
              </w:rPr>
              <w:t>三羟甲基丙烷系列</w:t>
            </w:r>
            <w:r>
              <w:rPr>
                <w:rFonts w:hint="default" w:ascii="Times New Roman" w:hAnsi="Times New Roman" w:eastAsia="宋体" w:cs="Times New Roman"/>
                <w:color w:val="auto"/>
                <w:kern w:val="0"/>
                <w:sz w:val="21"/>
                <w:szCs w:val="21"/>
                <w:lang w:val="en-US" w:eastAsia="zh-CN"/>
              </w:rPr>
              <w:t>三种工况监测，每种工况</w:t>
            </w:r>
            <w:r>
              <w:rPr>
                <w:rFonts w:hint="default" w:ascii="Times New Roman" w:hAnsi="Times New Roman" w:eastAsia="宋体" w:cs="Times New Roman"/>
                <w:b w:val="0"/>
                <w:bCs/>
                <w:color w:val="auto"/>
                <w:sz w:val="21"/>
                <w:szCs w:val="21"/>
                <w:lang w:eastAsia="zh-CN"/>
              </w:rPr>
              <w:t>监测</w:t>
            </w:r>
            <w:r>
              <w:rPr>
                <w:rFonts w:hint="default" w:ascii="Times New Roman" w:hAnsi="Times New Roman" w:eastAsia="宋体" w:cs="Times New Roman"/>
                <w:b w:val="0"/>
                <w:bCs/>
                <w:color w:val="auto"/>
                <w:sz w:val="21"/>
                <w:szCs w:val="21"/>
              </w:rPr>
              <w:t>2天，每天</w:t>
            </w:r>
            <w:r>
              <w:rPr>
                <w:rFonts w:hint="default" w:ascii="Times New Roman" w:hAnsi="Times New Roman" w:eastAsia="宋体" w:cs="Times New Roman"/>
                <w:b w:val="0"/>
                <w:bCs/>
                <w:color w:val="auto"/>
                <w:sz w:val="21"/>
                <w:szCs w:val="21"/>
                <w:lang w:val="en-US" w:eastAsia="zh-CN"/>
              </w:rPr>
              <w:t>4</w:t>
            </w:r>
            <w:r>
              <w:rPr>
                <w:rFonts w:hint="default" w:ascii="Times New Roman" w:hAnsi="Times New Roman" w:eastAsia="宋体" w:cs="Times New Roman"/>
                <w:b w:val="0"/>
                <w:bCs/>
                <w:color w:val="auto"/>
                <w:sz w:val="21"/>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295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i w:val="0"/>
                <w:color w:val="auto"/>
                <w:kern w:val="0"/>
                <w:sz w:val="20"/>
                <w:szCs w:val="20"/>
                <w:u w:val="none"/>
                <w:lang w:val="en-US" w:eastAsia="zh-CN" w:bidi="ar"/>
              </w:rPr>
            </w:pPr>
            <w:r>
              <w:rPr>
                <w:rFonts w:hint="default" w:ascii="Times New Roman" w:hAnsi="Times New Roman" w:eastAsia="宋体" w:cs="Times New Roman"/>
                <w:color w:val="auto"/>
                <w:spacing w:val="0"/>
                <w:sz w:val="21"/>
                <w:szCs w:val="21"/>
                <w:lang w:val="en-US" w:eastAsia="zh-CN"/>
              </w:rPr>
              <w:t>胜科水务接管口</w:t>
            </w:r>
          </w:p>
        </w:tc>
        <w:tc>
          <w:tcPr>
            <w:tcW w:w="292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pH值、悬浮物、化学需氧量、氨氮、总磷、动植物油</w:t>
            </w:r>
          </w:p>
        </w:tc>
        <w:tc>
          <w:tcPr>
            <w:tcW w:w="289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2953"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i w:val="0"/>
                <w:color w:val="auto"/>
                <w:kern w:val="0"/>
                <w:sz w:val="20"/>
                <w:szCs w:val="20"/>
                <w:u w:val="none"/>
                <w:lang w:val="en-US" w:eastAsia="zh-CN" w:bidi="ar"/>
              </w:rPr>
            </w:pPr>
            <w:r>
              <w:rPr>
                <w:rFonts w:hint="default" w:ascii="Times New Roman" w:hAnsi="Times New Roman" w:eastAsia="宋体" w:cs="Times New Roman"/>
                <w:color w:val="auto"/>
                <w:spacing w:val="0"/>
                <w:sz w:val="21"/>
                <w:szCs w:val="21"/>
                <w:lang w:val="en-US" w:eastAsia="zh-CN"/>
              </w:rPr>
              <w:t>循环冷却水排水（清下水排口）</w:t>
            </w:r>
          </w:p>
        </w:tc>
        <w:tc>
          <w:tcPr>
            <w:tcW w:w="292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化学需氧量、悬浮物</w:t>
            </w:r>
          </w:p>
        </w:tc>
        <w:tc>
          <w:tcPr>
            <w:tcW w:w="289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监测</w:t>
            </w:r>
            <w:r>
              <w:rPr>
                <w:rFonts w:hint="default" w:ascii="Times New Roman" w:hAnsi="Times New Roman" w:eastAsia="宋体" w:cs="Times New Roman"/>
                <w:b w:val="0"/>
                <w:bCs/>
                <w:color w:val="auto"/>
                <w:sz w:val="21"/>
                <w:szCs w:val="21"/>
              </w:rPr>
              <w:t>2天，每天</w:t>
            </w:r>
            <w:r>
              <w:rPr>
                <w:rFonts w:hint="default" w:ascii="Times New Roman" w:hAnsi="Times New Roman" w:eastAsia="宋体" w:cs="Times New Roman"/>
                <w:b w:val="0"/>
                <w:bCs/>
                <w:color w:val="auto"/>
                <w:sz w:val="21"/>
                <w:szCs w:val="21"/>
                <w:lang w:val="en-US" w:eastAsia="zh-CN"/>
              </w:rPr>
              <w:t>4</w:t>
            </w:r>
            <w:r>
              <w:rPr>
                <w:rFonts w:hint="default" w:ascii="Times New Roman" w:hAnsi="Times New Roman" w:eastAsia="宋体" w:cs="Times New Roman"/>
                <w:b w:val="0"/>
                <w:bCs/>
                <w:color w:val="auto"/>
                <w:sz w:val="21"/>
                <w:szCs w:val="21"/>
              </w:rPr>
              <w:t>次</w:t>
            </w:r>
          </w:p>
        </w:tc>
      </w:tr>
    </w:tbl>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jc w:val="both"/>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rPr>
        <w:t>.1.2</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监测依据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zh-CN" w:eastAsia="zh-CN"/>
        </w:rPr>
        <w:t>废水采样按生态环境部《污水监测技术规范》（HJ/T91</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zh-CN" w:eastAsia="zh-CN"/>
        </w:rPr>
        <w:t>-20</w:t>
      </w:r>
      <w:r>
        <w:rPr>
          <w:rFonts w:hint="default" w:ascii="Times New Roman" w:hAnsi="Times New Roman" w:eastAsia="宋体" w:cs="Times New Roman"/>
          <w:color w:val="auto"/>
          <w:sz w:val="24"/>
          <w:szCs w:val="24"/>
          <w:lang w:val="en-US" w:eastAsia="zh-CN"/>
        </w:rPr>
        <w:t>19</w:t>
      </w:r>
      <w:r>
        <w:rPr>
          <w:rFonts w:hint="default" w:ascii="Times New Roman" w:hAnsi="Times New Roman" w:eastAsia="宋体" w:cs="Times New Roman"/>
          <w:color w:val="auto"/>
          <w:sz w:val="24"/>
          <w:szCs w:val="24"/>
          <w:lang w:val="zh-CN" w:eastAsia="zh-CN"/>
        </w:rPr>
        <w:t>）及《建设项目竣工环境保护验收技术指南 污染影响类》中相关要求执行。</w:t>
      </w:r>
      <w:r>
        <w:rPr>
          <w:rFonts w:hint="default" w:ascii="Times New Roman" w:hAnsi="Times New Roman" w:eastAsia="宋体" w:cs="Times New Roman"/>
          <w:color w:val="auto"/>
          <w:sz w:val="24"/>
          <w:szCs w:val="24"/>
        </w:rPr>
        <w:t>具体分析方法见</w:t>
      </w:r>
      <w:r>
        <w:rPr>
          <w:rFonts w:hint="default" w:ascii="Times New Roman" w:hAnsi="Times New Roman" w:eastAsia="宋体" w:cs="Times New Roman"/>
          <w:color w:val="auto"/>
          <w:sz w:val="24"/>
          <w:szCs w:val="24"/>
          <w:lang w:eastAsia="zh-CN"/>
        </w:rPr>
        <w:t>表8-1</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after="0" w:line="360" w:lineRule="auto"/>
        <w:ind w:right="0" w:rightChars="0"/>
        <w:jc w:val="both"/>
        <w:textAlignment w:val="auto"/>
        <w:outlineLvl w:val="9"/>
        <w:rPr>
          <w:rFonts w:hint="default" w:ascii="Times New Roman" w:hAnsi="Times New Roman" w:eastAsia="宋体" w:cs="Times New Roman"/>
          <w:color w:val="auto"/>
          <w:sz w:val="28"/>
          <w:szCs w:val="28"/>
        </w:rPr>
        <w:sectPr>
          <w:pgSz w:w="11911" w:h="16838"/>
          <w:pgMar w:top="1463" w:right="1678" w:bottom="1463" w:left="1678" w:header="907" w:footer="884" w:gutter="0"/>
          <w:pgBorders>
            <w:top w:val="none" w:sz="0" w:space="0"/>
            <w:left w:val="none" w:sz="0" w:space="0"/>
            <w:bottom w:val="none" w:sz="0" w:space="0"/>
            <w:right w:val="none" w:sz="0" w:space="0"/>
          </w:pgBorders>
          <w:pgNumType w:fmt="decimal"/>
          <w:cols w:space="0" w:num="1"/>
          <w:rtlGutter w:val="0"/>
          <w:docGrid w:type="lines" w:linePitch="0" w:charSpace="0"/>
        </w:sectPr>
      </w:pPr>
    </w:p>
    <w:p>
      <w:pPr>
        <w:pStyle w:val="4"/>
        <w:keepNext w:val="0"/>
        <w:keepLines w:val="0"/>
        <w:pageBreakBefore w:val="0"/>
        <w:widowControl w:val="0"/>
        <w:kinsoku/>
        <w:wordWrap/>
        <w:overflowPunct/>
        <w:topLinePunct w:val="0"/>
        <w:autoSpaceDE w:val="0"/>
        <w:autoSpaceDN w:val="0"/>
        <w:bidi w:val="0"/>
        <w:adjustRightInd/>
        <w:snapToGrid/>
        <w:spacing w:before="157" w:beforeLines="50" w:after="0" w:line="360" w:lineRule="auto"/>
        <w:ind w:left="0" w:leftChars="0" w:right="0" w:rightChars="0" w:firstLine="0" w:firstLineChars="0"/>
        <w:jc w:val="left"/>
        <w:textAlignment w:val="auto"/>
        <w:outlineLvl w:val="1"/>
        <w:rPr>
          <w:rFonts w:hint="default" w:ascii="Times New Roman" w:hAnsi="Times New Roman" w:eastAsia="宋体" w:cs="Times New Roman"/>
          <w:color w:val="auto"/>
          <w:sz w:val="28"/>
          <w:szCs w:val="28"/>
        </w:rPr>
      </w:pPr>
      <w:bookmarkStart w:id="66" w:name="_Toc24512"/>
      <w:bookmarkStart w:id="67" w:name="_Toc19776"/>
      <w:r>
        <w:rPr>
          <w:rFonts w:hint="default" w:ascii="Times New Roman" w:hAnsi="Times New Roman" w:eastAsia="宋体" w:cs="Times New Roman"/>
          <w:color w:val="auto"/>
          <w:sz w:val="28"/>
          <w:szCs w:val="28"/>
          <w:lang w:val="en-US" w:eastAsia="zh-CN"/>
        </w:rPr>
        <w:t>7</w:t>
      </w:r>
      <w:r>
        <w:rPr>
          <w:rFonts w:hint="default" w:ascii="Times New Roman" w:hAnsi="Times New Roman" w:eastAsia="宋体" w:cs="Times New Roman"/>
          <w:color w:val="auto"/>
          <w:sz w:val="28"/>
          <w:szCs w:val="28"/>
        </w:rPr>
        <w:t>.2</w:t>
      </w:r>
      <w:r>
        <w:rPr>
          <w:rFonts w:hint="default" w:ascii="Times New Roman" w:hAnsi="Times New Roman" w:eastAsia="宋体" w:cs="Times New Roman"/>
          <w:color w:val="auto"/>
          <w:sz w:val="28"/>
          <w:szCs w:val="28"/>
          <w:lang w:val="en-US" w:eastAsia="zh-CN"/>
        </w:rPr>
        <w:t xml:space="preserve"> </w:t>
      </w:r>
      <w:r>
        <w:rPr>
          <w:rFonts w:hint="default" w:ascii="Times New Roman" w:hAnsi="Times New Roman" w:eastAsia="宋体" w:cs="Times New Roman"/>
          <w:color w:val="auto"/>
          <w:sz w:val="28"/>
          <w:szCs w:val="28"/>
        </w:rPr>
        <w:t>废气监测</w:t>
      </w:r>
      <w:bookmarkEnd w:id="66"/>
      <w:bookmarkEnd w:id="67"/>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jc w:val="both"/>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rPr>
        <w:t>.2.1</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监测内容</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废气监测内容见表</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-2。</w:t>
      </w:r>
    </w:p>
    <w:p>
      <w:pPr>
        <w:keepNext w:val="0"/>
        <w:keepLines w:val="0"/>
        <w:pageBreakBefore w:val="0"/>
        <w:widowControl w:val="0"/>
        <w:kinsoku/>
        <w:wordWrap/>
        <w:overflowPunct/>
        <w:topLinePunct w:val="0"/>
        <w:bidi w:val="0"/>
        <w:adjustRightInd/>
        <w:snapToGrid/>
        <w:spacing w:after="0" w:line="360" w:lineRule="auto"/>
        <w:ind w:left="0" w:leftChars="0" w:right="0" w:rightChars="0"/>
        <w:jc w:val="center"/>
        <w:textAlignment w:val="auto"/>
        <w:rPr>
          <w:rFonts w:hint="default" w:ascii="Times New Roman" w:hAnsi="Times New Roman" w:eastAsia="宋体" w:cs="Times New Roman"/>
          <w:b/>
          <w:bCs/>
          <w:color w:val="auto"/>
          <w:sz w:val="24"/>
          <w:szCs w:val="22"/>
        </w:rPr>
      </w:pPr>
      <w:r>
        <w:rPr>
          <w:rFonts w:hint="default" w:ascii="Times New Roman" w:hAnsi="Times New Roman" w:eastAsia="宋体" w:cs="Times New Roman"/>
          <w:b/>
          <w:bCs/>
          <w:color w:val="auto"/>
          <w:sz w:val="24"/>
          <w:szCs w:val="22"/>
        </w:rPr>
        <w:t>表</w:t>
      </w:r>
      <w:r>
        <w:rPr>
          <w:rFonts w:hint="default" w:ascii="Times New Roman" w:hAnsi="Times New Roman" w:eastAsia="宋体" w:cs="Times New Roman"/>
          <w:b/>
          <w:bCs/>
          <w:color w:val="auto"/>
          <w:sz w:val="24"/>
          <w:szCs w:val="22"/>
          <w:lang w:val="en-US" w:eastAsia="zh-CN"/>
        </w:rPr>
        <w:t>7</w:t>
      </w:r>
      <w:r>
        <w:rPr>
          <w:rFonts w:hint="default" w:ascii="Times New Roman" w:hAnsi="Times New Roman" w:eastAsia="宋体" w:cs="Times New Roman"/>
          <w:b/>
          <w:bCs/>
          <w:color w:val="auto"/>
          <w:sz w:val="24"/>
          <w:szCs w:val="22"/>
        </w:rPr>
        <w:t>-</w:t>
      </w:r>
      <w:r>
        <w:rPr>
          <w:rFonts w:hint="default" w:ascii="Times New Roman" w:hAnsi="Times New Roman" w:eastAsia="宋体" w:cs="Times New Roman"/>
          <w:b/>
          <w:bCs/>
          <w:color w:val="auto"/>
          <w:sz w:val="24"/>
          <w:szCs w:val="22"/>
          <w:lang w:val="en-US" w:eastAsia="zh-CN"/>
        </w:rPr>
        <w:t xml:space="preserve">2  </w:t>
      </w:r>
      <w:r>
        <w:rPr>
          <w:rFonts w:hint="default" w:ascii="Times New Roman" w:hAnsi="Times New Roman" w:eastAsia="宋体" w:cs="Times New Roman"/>
          <w:b/>
          <w:bCs/>
          <w:color w:val="auto"/>
          <w:sz w:val="24"/>
          <w:szCs w:val="22"/>
        </w:rPr>
        <w:t>废气监测点位、监测项目和监测频次</w:t>
      </w:r>
    </w:p>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1175"/>
        <w:gridCol w:w="1225"/>
        <w:gridCol w:w="1575"/>
        <w:gridCol w:w="4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0"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i w:val="0"/>
                <w:color w:val="auto"/>
                <w:sz w:val="21"/>
                <w:szCs w:val="21"/>
                <w:u w:val="none"/>
                <w:lang w:val="en-US" w:eastAsia="zh-CN"/>
              </w:rPr>
            </w:pPr>
            <w:r>
              <w:rPr>
                <w:rFonts w:hint="default" w:ascii="Times New Roman" w:hAnsi="Times New Roman" w:eastAsia="宋体" w:cs="Times New Roman"/>
                <w:b/>
                <w:bCs/>
                <w:i w:val="0"/>
                <w:color w:val="auto"/>
                <w:sz w:val="21"/>
                <w:szCs w:val="21"/>
                <w:u w:val="none"/>
                <w:lang w:val="en-US" w:eastAsia="zh-CN"/>
              </w:rPr>
              <w:t>类别</w:t>
            </w:r>
          </w:p>
        </w:tc>
        <w:tc>
          <w:tcPr>
            <w:tcW w:w="670"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i w:val="0"/>
                <w:color w:val="auto"/>
                <w:sz w:val="21"/>
                <w:szCs w:val="21"/>
                <w:u w:val="none"/>
                <w:lang w:val="en-US" w:eastAsia="zh-CN"/>
              </w:rPr>
            </w:pPr>
            <w:r>
              <w:rPr>
                <w:rFonts w:hint="default" w:ascii="Times New Roman" w:hAnsi="Times New Roman" w:eastAsia="宋体" w:cs="Times New Roman"/>
                <w:b/>
                <w:bCs/>
                <w:i w:val="0"/>
                <w:color w:val="auto"/>
                <w:sz w:val="21"/>
                <w:szCs w:val="21"/>
                <w:u w:val="none"/>
                <w:lang w:val="en-US" w:eastAsia="zh-CN"/>
              </w:rPr>
              <w:t>污染源名称</w:t>
            </w:r>
          </w:p>
        </w:tc>
        <w:tc>
          <w:tcPr>
            <w:tcW w:w="698"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i w:val="0"/>
                <w:color w:val="auto"/>
                <w:sz w:val="21"/>
                <w:szCs w:val="21"/>
                <w:u w:val="none"/>
                <w:lang w:val="en-US" w:eastAsia="zh-CN"/>
              </w:rPr>
            </w:pPr>
            <w:r>
              <w:rPr>
                <w:rFonts w:hint="default" w:ascii="Times New Roman" w:hAnsi="Times New Roman" w:eastAsia="宋体" w:cs="Times New Roman"/>
                <w:b/>
                <w:bCs/>
                <w:i w:val="0"/>
                <w:color w:val="auto"/>
                <w:sz w:val="21"/>
                <w:szCs w:val="21"/>
                <w:u w:val="none"/>
                <w:lang w:val="en-US" w:eastAsia="zh-CN"/>
              </w:rPr>
              <w:t>监测点位</w:t>
            </w:r>
          </w:p>
        </w:tc>
        <w:tc>
          <w:tcPr>
            <w:tcW w:w="898"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i w:val="0"/>
                <w:color w:val="auto"/>
                <w:sz w:val="21"/>
                <w:szCs w:val="21"/>
                <w:u w:val="none"/>
                <w:lang w:val="en-US" w:eastAsia="zh-CN"/>
              </w:rPr>
            </w:pPr>
            <w:r>
              <w:rPr>
                <w:rFonts w:hint="default" w:ascii="Times New Roman" w:hAnsi="Times New Roman" w:eastAsia="宋体" w:cs="Times New Roman"/>
                <w:b/>
                <w:bCs/>
                <w:i w:val="0"/>
                <w:color w:val="auto"/>
                <w:sz w:val="21"/>
                <w:szCs w:val="21"/>
                <w:u w:val="none"/>
                <w:lang w:val="en-US" w:eastAsia="zh-CN"/>
              </w:rPr>
              <w:t>指标</w:t>
            </w:r>
          </w:p>
        </w:tc>
        <w:tc>
          <w:tcPr>
            <w:tcW w:w="2282" w:type="pc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i w:val="0"/>
                <w:color w:val="auto"/>
                <w:sz w:val="21"/>
                <w:szCs w:val="21"/>
                <w:u w:val="none"/>
                <w:lang w:val="en-US" w:eastAsia="zh-CN"/>
              </w:rPr>
            </w:pPr>
            <w:r>
              <w:rPr>
                <w:rFonts w:hint="default" w:ascii="Times New Roman" w:hAnsi="Times New Roman" w:eastAsia="宋体" w:cs="Times New Roman"/>
                <w:b/>
                <w:bCs/>
                <w:i w:val="0"/>
                <w:color w:val="auto"/>
                <w:sz w:val="21"/>
                <w:szCs w:val="21"/>
                <w:u w:val="none"/>
                <w:lang w:val="en-US" w:eastAsia="zh-CN"/>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0" w:type="pct"/>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有组织废气</w:t>
            </w:r>
          </w:p>
        </w:tc>
        <w:tc>
          <w:tcPr>
            <w:tcW w:w="670"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甲类装置区清釜废气、工艺废气等</w:t>
            </w:r>
          </w:p>
        </w:tc>
        <w:tc>
          <w:tcPr>
            <w:tcW w:w="69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多级冷凝+热井+活性炭吸附后废气15#排气筒</w:t>
            </w:r>
          </w:p>
        </w:tc>
        <w:tc>
          <w:tcPr>
            <w:tcW w:w="89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非甲烷总烃、异丙醇、臭气浓度</w:t>
            </w:r>
          </w:p>
        </w:tc>
        <w:tc>
          <w:tcPr>
            <w:tcW w:w="2282"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分为异丙醇系列、异辛醇系列、三羟甲基丙烷系列三种工况监测，每种工况监测2天，每天3次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0"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670"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投料废气</w:t>
            </w:r>
          </w:p>
        </w:tc>
        <w:tc>
          <w:tcPr>
            <w:tcW w:w="69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投料粉尘14#排气筒</w:t>
            </w:r>
          </w:p>
        </w:tc>
        <w:tc>
          <w:tcPr>
            <w:tcW w:w="89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2282"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分为异丙醇系列、异辛醇系列、三羟甲基丙烷系列三种工况监测，每种工况监测2天，每天1次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50" w:type="pct"/>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无组织废气</w:t>
            </w:r>
          </w:p>
        </w:tc>
        <w:tc>
          <w:tcPr>
            <w:tcW w:w="670" w:type="pct"/>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w:t>
            </w:r>
          </w:p>
        </w:tc>
        <w:tc>
          <w:tcPr>
            <w:tcW w:w="698" w:type="pct"/>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厂界上风向1个点位、厂界下风向3个点位</w:t>
            </w:r>
          </w:p>
        </w:tc>
        <w:tc>
          <w:tcPr>
            <w:tcW w:w="89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气象参数、臭气浓度、颗粒物、异丙醇</w:t>
            </w:r>
          </w:p>
        </w:tc>
        <w:tc>
          <w:tcPr>
            <w:tcW w:w="2282"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分为异丙醇系列、异辛醇系列、三羟甲基丙烷系列三种工况监测，每种工况监测2天，每天3次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450"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670"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698"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89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气象参数、非甲烷总烃、</w:t>
            </w:r>
          </w:p>
        </w:tc>
        <w:tc>
          <w:tcPr>
            <w:tcW w:w="2282"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分为异丙醇系列、异辛醇系列、三羟甲基丙烷系列三种工况监测，每种工况监测2天，每天4次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0"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670"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厂区内</w:t>
            </w:r>
          </w:p>
        </w:tc>
        <w:tc>
          <w:tcPr>
            <w:tcW w:w="69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罐区、生产装置区域周边6个点位</w:t>
            </w:r>
          </w:p>
        </w:tc>
        <w:tc>
          <w:tcPr>
            <w:tcW w:w="89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气象参数、非甲烷总烃</w:t>
            </w:r>
          </w:p>
        </w:tc>
        <w:tc>
          <w:tcPr>
            <w:tcW w:w="2282"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分为异丙醇系列、异辛醇系列、三羟甲基丙烷系列三种工况监测，每种工况监测2天，每天3次</w:t>
            </w:r>
          </w:p>
        </w:tc>
      </w:tr>
    </w:tbl>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left"/>
        <w:textAlignment w:val="auto"/>
        <w:outlineLvl w:val="9"/>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备注：1、多级冷凝+热井+活性炭吸附进口不具备监测条件，未做监测，根据《建设项目竣工环境保护验收技术指南 污染影响类》要求，若不具备监测条件，无法进行环保设施处理效率监测的，需在验收监测报告（表）中说明具体情况及原因，本项目多级冷凝+热井+活性炭吸附进口管道无法满足《固定源废气监测技术规范》HJ-T 397-2007中5.1中采样位置设置规范要求，故进口未检测；</w:t>
      </w:r>
    </w:p>
    <w:p>
      <w:pPr>
        <w:pStyle w:val="2"/>
        <w:keepNext w:val="0"/>
        <w:keepLines w:val="0"/>
        <w:pageBreakBefore w:val="0"/>
        <w:widowControl w:val="0"/>
        <w:numPr>
          <w:ilvl w:val="0"/>
          <w:numId w:val="7"/>
        </w:numPr>
        <w:kinsoku/>
        <w:wordWrap/>
        <w:overflowPunct/>
        <w:topLinePunct w:val="0"/>
        <w:autoSpaceDE w:val="0"/>
        <w:autoSpaceDN w:val="0"/>
        <w:bidi w:val="0"/>
        <w:adjustRightInd w:val="0"/>
        <w:snapToGrid/>
        <w:spacing w:line="360" w:lineRule="auto"/>
        <w:jc w:val="left"/>
        <w:textAlignment w:val="auto"/>
        <w:outlineLvl w:val="9"/>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投料工序每天投料时间不超过1h，投料时间小于颗粒物单次采样时间，故以颗粒物单次采样频次数值作为评价依据；</w:t>
      </w:r>
    </w:p>
    <w:p>
      <w:pPr>
        <w:pStyle w:val="2"/>
        <w:keepNext w:val="0"/>
        <w:keepLines w:val="0"/>
        <w:pageBreakBefore w:val="0"/>
        <w:widowControl w:val="0"/>
        <w:numPr>
          <w:ilvl w:val="0"/>
          <w:numId w:val="7"/>
        </w:numPr>
        <w:kinsoku/>
        <w:wordWrap/>
        <w:overflowPunct/>
        <w:topLinePunct w:val="0"/>
        <w:autoSpaceDE w:val="0"/>
        <w:autoSpaceDN w:val="0"/>
        <w:bidi w:val="0"/>
        <w:adjustRightInd w:val="0"/>
        <w:snapToGrid/>
        <w:spacing w:line="360" w:lineRule="auto"/>
        <w:jc w:val="left"/>
        <w:textAlignment w:val="auto"/>
        <w:outlineLvl w:val="9"/>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异辛醇系列、三羟甲基丙烷系列产品生产时所使用的原辅料本身不涉及异丙醇物料，但考虑到三个系列产品生产装置、环保设施为共用一套，生产异丙醇系列产品后可能会有异丙醇污染物残留，故在异辛醇系列、三羟甲基丙烷系列产品生产期间的异丙醇污染物排放情况进行监测。</w:t>
      </w:r>
    </w:p>
    <w:p>
      <w:pPr>
        <w:keepNext w:val="0"/>
        <w:keepLines w:val="0"/>
        <w:pageBreakBefore w:val="0"/>
        <w:widowControl w:val="0"/>
        <w:kinsoku/>
        <w:wordWrap/>
        <w:overflowPunct/>
        <w:topLinePunct w:val="0"/>
        <w:autoSpaceDE/>
        <w:autoSpaceDN/>
        <w:bidi w:val="0"/>
        <w:adjustRightInd/>
        <w:snapToGrid/>
        <w:spacing w:before="157" w:beforeLines="50" w:after="0" w:line="360" w:lineRule="auto"/>
        <w:ind w:left="0" w:leftChars="0" w:right="0" w:rightChars="0" w:firstLine="0" w:firstLineChars="0"/>
        <w:jc w:val="both"/>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rPr>
        <w:t>.2.2监测依据</w:t>
      </w:r>
    </w:p>
    <w:p>
      <w:pPr>
        <w:keepNext w:val="0"/>
        <w:keepLines w:val="0"/>
        <w:pageBreakBefore w:val="0"/>
        <w:widowControl w:val="0"/>
        <w:kinsoku/>
        <w:wordWrap/>
        <w:overflowPunct/>
        <w:topLinePunct w:val="0"/>
        <w:autoSpaceDE w:val="0"/>
        <w:autoSpaceDN w:val="0"/>
        <w:bidi w:val="0"/>
        <w:adjustRightInd w:val="0"/>
        <w:snapToGrid/>
        <w:spacing w:after="0" w:line="360" w:lineRule="auto"/>
        <w:ind w:left="0" w:leftChars="0" w:right="0" w:rightChars="0" w:firstLine="480" w:firstLineChars="200"/>
        <w:jc w:val="left"/>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废气监测按</w:t>
      </w:r>
      <w:r>
        <w:rPr>
          <w:rFonts w:hint="default" w:ascii="Times New Roman" w:hAnsi="Times New Roman" w:eastAsia="宋体" w:cs="Times New Roman"/>
          <w:color w:val="auto"/>
          <w:sz w:val="24"/>
          <w:szCs w:val="24"/>
          <w:lang w:eastAsia="zh-CN"/>
        </w:rPr>
        <w:t>《固定源废气监测技术规范》HJ-T 397-2007及</w:t>
      </w:r>
      <w:r>
        <w:rPr>
          <w:rFonts w:hint="default" w:ascii="Times New Roman" w:hAnsi="Times New Roman" w:eastAsia="宋体" w:cs="Times New Roman"/>
          <w:color w:val="auto"/>
          <w:sz w:val="24"/>
          <w:szCs w:val="24"/>
          <w:lang w:val="en-US" w:eastAsia="zh-CN"/>
        </w:rPr>
        <w:t xml:space="preserve"> HJ/T 55-2000</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大气污染物无组织排放监测技术导则</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挥发性有机物无组织排放控制标准》（GB37822-2019）</w:t>
      </w:r>
      <w:r>
        <w:rPr>
          <w:rFonts w:hint="default" w:ascii="Times New Roman" w:hAnsi="Times New Roman" w:eastAsia="宋体" w:cs="Times New Roman"/>
          <w:color w:val="auto"/>
          <w:sz w:val="24"/>
          <w:szCs w:val="24"/>
          <w:lang w:eastAsia="zh-CN"/>
        </w:rPr>
        <w:t>等相关标准</w:t>
      </w:r>
      <w:r>
        <w:rPr>
          <w:rFonts w:hint="default" w:ascii="Times New Roman" w:hAnsi="Times New Roman" w:eastAsia="宋体" w:cs="Times New Roman"/>
          <w:color w:val="auto"/>
          <w:sz w:val="24"/>
          <w:szCs w:val="24"/>
        </w:rPr>
        <w:t>中相关要求实施监测。具体分析方法见</w:t>
      </w:r>
      <w:r>
        <w:rPr>
          <w:rFonts w:hint="default" w:ascii="Times New Roman" w:hAnsi="Times New Roman" w:eastAsia="宋体" w:cs="Times New Roman"/>
          <w:color w:val="auto"/>
          <w:sz w:val="24"/>
          <w:szCs w:val="24"/>
          <w:lang w:eastAsia="zh-CN"/>
        </w:rPr>
        <w:t>表8-1</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val="0"/>
        <w:autoSpaceDN w:val="0"/>
        <w:bidi w:val="0"/>
        <w:adjustRightInd w:val="0"/>
        <w:snapToGrid/>
        <w:spacing w:after="0" w:line="360" w:lineRule="auto"/>
        <w:ind w:left="0" w:leftChars="0" w:right="0" w:rightChars="0" w:firstLine="480" w:firstLineChars="200"/>
        <w:jc w:val="left"/>
        <w:textAlignment w:val="auto"/>
        <w:outlineLvl w:val="9"/>
        <w:rPr>
          <w:rFonts w:hint="default" w:ascii="Times New Roman" w:hAnsi="Times New Roman" w:eastAsia="宋体" w:cs="Times New Roman"/>
          <w:color w:val="auto"/>
          <w:sz w:val="24"/>
          <w:szCs w:val="24"/>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9" w:hRule="atLeast"/>
        </w:trPr>
        <w:tc>
          <w:tcPr>
            <w:tcW w:w="5000" w:type="pct"/>
            <w:tcBorders>
              <w:tl2br w:val="nil"/>
              <w:tr2bl w:val="nil"/>
            </w:tcBorders>
          </w:tcPr>
          <w:p>
            <w:pPr>
              <w:jc w:val="center"/>
              <w:rPr>
                <w:rFonts w:hint="default" w:ascii="Times New Roman" w:hAnsi="Times New Roman" w:eastAsia="宋体" w:cs="Times New Roman"/>
                <w:color w:val="auto"/>
                <w:lang w:eastAsia="zh-CN"/>
              </w:rPr>
            </w:pPr>
            <w:bookmarkStart w:id="68" w:name="_Toc23761"/>
            <w:r>
              <w:rPr>
                <w:rFonts w:hint="default" w:ascii="Times New Roman" w:hAnsi="Times New Roman" w:eastAsia="宋体" w:cs="Times New Roman"/>
                <w:color w:val="auto"/>
              </w:rPr>
              <w:drawing>
                <wp:inline distT="0" distB="0" distL="114300" distR="114300">
                  <wp:extent cx="4902200" cy="2350770"/>
                  <wp:effectExtent l="0" t="0" r="1270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7"/>
                          <a:stretch>
                            <a:fillRect/>
                          </a:stretch>
                        </pic:blipFill>
                        <pic:spPr>
                          <a:xfrm>
                            <a:off x="0" y="0"/>
                            <a:ext cx="4902200" cy="235077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 w:hRule="atLeast"/>
        </w:trPr>
        <w:tc>
          <w:tcPr>
            <w:tcW w:w="5000" w:type="pct"/>
            <w:tcBorders>
              <w:tl2br w:val="nil"/>
              <w:tr2bl w:val="nil"/>
            </w:tcBorders>
          </w:tcPr>
          <w:p>
            <w:pPr>
              <w:jc w:val="left"/>
              <w:rPr>
                <w:rFonts w:hint="default" w:ascii="Times New Roman" w:hAnsi="Times New Roman" w:eastAsia="宋体" w:cs="Times New Roman"/>
                <w:color w:val="auto"/>
                <w:sz w:val="21"/>
                <w:szCs w:val="21"/>
                <w:shd w:val="clear"/>
                <w:lang w:val="en-US" w:eastAsia="zh-CN"/>
              </w:rPr>
            </w:pPr>
            <w:r>
              <w:rPr>
                <w:rFonts w:hint="default" w:ascii="Times New Roman" w:hAnsi="Times New Roman" w:eastAsia="宋体" w:cs="Times New Roman"/>
                <w:color w:val="auto"/>
                <w:sz w:val="21"/>
                <w:szCs w:val="21"/>
                <w:shd w:val="clear"/>
                <w:lang w:eastAsia="zh-CN"/>
              </w:rPr>
              <w:t>注：◎为有组织废气监测点位。</w:t>
            </w:r>
          </w:p>
          <w:p>
            <w:pPr>
              <w:jc w:val="center"/>
              <w:rPr>
                <w:rFonts w:hint="default" w:ascii="Times New Roman" w:hAnsi="Times New Roman" w:eastAsia="宋体" w:cs="Times New Roman"/>
                <w:b/>
                <w:bCs/>
                <w:color w:val="auto"/>
                <w:sz w:val="24"/>
                <w:szCs w:val="24"/>
                <w:shd w:val="clear"/>
                <w:vertAlign w:val="baseline"/>
                <w:lang w:eastAsia="zh-CN"/>
              </w:rPr>
            </w:pPr>
            <w:r>
              <w:rPr>
                <w:rFonts w:hint="default" w:ascii="Times New Roman" w:hAnsi="Times New Roman" w:eastAsia="宋体" w:cs="Times New Roman"/>
                <w:b/>
                <w:bCs/>
                <w:color w:val="auto"/>
                <w:sz w:val="24"/>
                <w:szCs w:val="24"/>
                <w:shd w:val="clear"/>
                <w:lang w:eastAsia="zh-CN"/>
              </w:rPr>
              <w:t>图</w:t>
            </w:r>
            <w:r>
              <w:rPr>
                <w:rFonts w:hint="default" w:ascii="Times New Roman" w:hAnsi="Times New Roman" w:eastAsia="宋体" w:cs="Times New Roman"/>
                <w:b/>
                <w:bCs/>
                <w:color w:val="auto"/>
                <w:sz w:val="24"/>
                <w:szCs w:val="24"/>
                <w:shd w:val="clear"/>
                <w:lang w:val="en-US" w:eastAsia="zh-CN"/>
              </w:rPr>
              <w:t>7-1  有组织</w:t>
            </w:r>
            <w:r>
              <w:rPr>
                <w:rFonts w:hint="default" w:ascii="Times New Roman" w:hAnsi="Times New Roman" w:eastAsia="宋体" w:cs="Times New Roman"/>
                <w:b/>
                <w:bCs/>
                <w:color w:val="auto"/>
                <w:sz w:val="24"/>
                <w:szCs w:val="24"/>
                <w:shd w:val="clear"/>
                <w:lang w:eastAsia="zh-CN"/>
              </w:rPr>
              <w:t>废气</w:t>
            </w:r>
            <w:r>
              <w:rPr>
                <w:rFonts w:hint="default" w:ascii="Times New Roman" w:hAnsi="Times New Roman" w:eastAsia="宋体" w:cs="Times New Roman"/>
                <w:b/>
                <w:bCs/>
                <w:color w:val="auto"/>
                <w:sz w:val="24"/>
                <w:szCs w:val="24"/>
                <w:shd w:val="clear"/>
              </w:rPr>
              <w:t>监测点位</w:t>
            </w:r>
            <w:r>
              <w:rPr>
                <w:rFonts w:hint="default" w:ascii="Times New Roman" w:hAnsi="Times New Roman" w:eastAsia="宋体" w:cs="Times New Roman"/>
                <w:b/>
                <w:bCs/>
                <w:color w:val="auto"/>
                <w:sz w:val="24"/>
                <w:szCs w:val="24"/>
                <w:shd w:val="clear"/>
                <w:vertAlign w:val="baseline"/>
                <w:lang w:eastAsia="zh-CN"/>
              </w:rPr>
              <w:t>图</w:t>
            </w:r>
          </w:p>
          <w:p>
            <w:pPr>
              <w:pStyle w:val="2"/>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drawing>
                <wp:inline distT="0" distB="0" distL="114300" distR="114300">
                  <wp:extent cx="5430520" cy="3444240"/>
                  <wp:effectExtent l="0" t="0" r="17780" b="38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38"/>
                          <a:stretch>
                            <a:fillRect/>
                          </a:stretch>
                        </pic:blipFill>
                        <pic:spPr>
                          <a:xfrm>
                            <a:off x="0" y="0"/>
                            <a:ext cx="5430520" cy="3444240"/>
                          </a:xfrm>
                          <a:prstGeom prst="rect">
                            <a:avLst/>
                          </a:prstGeom>
                          <a:noFill/>
                          <a:ln>
                            <a:noFill/>
                          </a:ln>
                        </pic:spPr>
                      </pic:pic>
                    </a:graphicData>
                  </a:graphic>
                </wp:inline>
              </w:drawing>
            </w:r>
          </w:p>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5429885" cy="4020820"/>
                  <wp:effectExtent l="0" t="0" r="18415"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9"/>
                          <a:stretch>
                            <a:fillRect/>
                          </a:stretch>
                        </pic:blipFill>
                        <pic:spPr>
                          <a:xfrm>
                            <a:off x="0" y="0"/>
                            <a:ext cx="5429885" cy="4020820"/>
                          </a:xfrm>
                          <a:prstGeom prst="rect">
                            <a:avLst/>
                          </a:prstGeom>
                          <a:noFill/>
                          <a:ln>
                            <a:noFill/>
                          </a:ln>
                        </pic:spPr>
                      </pic:pic>
                    </a:graphicData>
                  </a:graphic>
                </wp:inline>
              </w:drawing>
            </w:r>
          </w:p>
          <w:p>
            <w:pPr>
              <w:pStyle w:val="2"/>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drawing>
                <wp:inline distT="0" distB="0" distL="114300" distR="114300">
                  <wp:extent cx="5427980" cy="3420745"/>
                  <wp:effectExtent l="0" t="0" r="127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0"/>
                          <a:stretch>
                            <a:fillRect/>
                          </a:stretch>
                        </pic:blipFill>
                        <pic:spPr>
                          <a:xfrm>
                            <a:off x="0" y="0"/>
                            <a:ext cx="5427980" cy="3420745"/>
                          </a:xfrm>
                          <a:prstGeom prst="rect">
                            <a:avLst/>
                          </a:prstGeom>
                          <a:noFill/>
                          <a:ln>
                            <a:noFill/>
                          </a:ln>
                        </pic:spPr>
                      </pic:pic>
                    </a:graphicData>
                  </a:graphic>
                </wp:inline>
              </w:drawing>
            </w:r>
          </w:p>
          <w:p>
            <w:pPr>
              <w:jc w:val="left"/>
              <w:rPr>
                <w:rFonts w:hint="default" w:ascii="Times New Roman" w:hAnsi="Times New Roman" w:eastAsia="宋体" w:cs="Times New Roman"/>
                <w:color w:val="auto"/>
                <w:sz w:val="21"/>
                <w:szCs w:val="21"/>
                <w:shd w:val="clear"/>
                <w:lang w:eastAsia="zh-CN"/>
              </w:rPr>
            </w:pPr>
            <w:r>
              <w:rPr>
                <w:rFonts w:hint="default" w:ascii="Times New Roman" w:hAnsi="Times New Roman" w:eastAsia="宋体" w:cs="Times New Roman"/>
                <w:color w:val="auto"/>
                <w:sz w:val="21"/>
                <w:szCs w:val="21"/>
                <w:shd w:val="clear"/>
                <w:lang w:eastAsia="zh-CN"/>
              </w:rPr>
              <w:t>备注：○</w:t>
            </w:r>
            <w:r>
              <w:rPr>
                <w:rFonts w:hint="default" w:ascii="Times New Roman" w:hAnsi="Times New Roman" w:eastAsia="宋体" w:cs="Times New Roman"/>
                <w:color w:val="auto"/>
                <w:sz w:val="21"/>
                <w:szCs w:val="21"/>
                <w:shd w:val="clear"/>
                <w:lang w:val="en-US" w:eastAsia="zh-CN"/>
              </w:rPr>
              <w:t>G1-G4为厂界无组织废气测点位置；</w:t>
            </w:r>
            <w:r>
              <w:rPr>
                <w:rFonts w:hint="default" w:ascii="Times New Roman" w:hAnsi="Times New Roman" w:eastAsia="宋体" w:cs="Times New Roman"/>
                <w:color w:val="auto"/>
                <w:sz w:val="21"/>
                <w:szCs w:val="21"/>
                <w:shd w:val="clear"/>
                <w:lang w:eastAsia="zh-CN"/>
              </w:rPr>
              <w:t>○</w:t>
            </w:r>
            <w:r>
              <w:rPr>
                <w:rFonts w:hint="default" w:ascii="Times New Roman" w:hAnsi="Times New Roman" w:eastAsia="宋体" w:cs="Times New Roman"/>
                <w:color w:val="auto"/>
                <w:sz w:val="21"/>
                <w:szCs w:val="21"/>
                <w:shd w:val="clear"/>
                <w:lang w:val="en-US" w:eastAsia="zh-CN"/>
              </w:rPr>
              <w:t>G5-G10为厂区内无组织非甲烷总烃废气测点位置。</w:t>
            </w:r>
          </w:p>
          <w:p>
            <w:pPr>
              <w:jc w:val="center"/>
              <w:rPr>
                <w:rFonts w:hint="default" w:ascii="Times New Roman" w:hAnsi="Times New Roman" w:eastAsia="宋体" w:cs="Times New Roman"/>
                <w:b/>
                <w:bCs/>
                <w:color w:val="auto"/>
                <w:sz w:val="24"/>
                <w:szCs w:val="24"/>
                <w:shd w:val="clear"/>
                <w:vertAlign w:val="baseline"/>
                <w:lang w:eastAsia="zh-CN"/>
              </w:rPr>
            </w:pPr>
            <w:r>
              <w:rPr>
                <w:rFonts w:hint="default" w:ascii="Times New Roman" w:hAnsi="Times New Roman" w:eastAsia="宋体" w:cs="Times New Roman"/>
                <w:b/>
                <w:bCs/>
                <w:color w:val="auto"/>
                <w:sz w:val="24"/>
                <w:szCs w:val="24"/>
                <w:shd w:val="clear"/>
                <w:lang w:eastAsia="zh-CN"/>
              </w:rPr>
              <w:t>图</w:t>
            </w:r>
            <w:r>
              <w:rPr>
                <w:rFonts w:hint="default" w:ascii="Times New Roman" w:hAnsi="Times New Roman" w:eastAsia="宋体" w:cs="Times New Roman"/>
                <w:b/>
                <w:bCs/>
                <w:color w:val="auto"/>
                <w:sz w:val="24"/>
                <w:szCs w:val="24"/>
                <w:shd w:val="clear"/>
                <w:lang w:val="en-US" w:eastAsia="zh-CN"/>
              </w:rPr>
              <w:t>7-2  无组织</w:t>
            </w:r>
            <w:r>
              <w:rPr>
                <w:rFonts w:hint="default" w:ascii="Times New Roman" w:hAnsi="Times New Roman" w:eastAsia="宋体" w:cs="Times New Roman"/>
                <w:b/>
                <w:bCs/>
                <w:color w:val="auto"/>
                <w:sz w:val="24"/>
                <w:szCs w:val="24"/>
                <w:shd w:val="clear"/>
                <w:lang w:eastAsia="zh-CN"/>
              </w:rPr>
              <w:t>废气</w:t>
            </w:r>
            <w:r>
              <w:rPr>
                <w:rFonts w:hint="default" w:ascii="Times New Roman" w:hAnsi="Times New Roman" w:eastAsia="宋体" w:cs="Times New Roman"/>
                <w:b/>
                <w:bCs/>
                <w:color w:val="auto"/>
                <w:sz w:val="24"/>
                <w:szCs w:val="24"/>
                <w:shd w:val="clear"/>
              </w:rPr>
              <w:t>监测点位</w:t>
            </w:r>
            <w:r>
              <w:rPr>
                <w:rFonts w:hint="default" w:ascii="Times New Roman" w:hAnsi="Times New Roman" w:eastAsia="宋体" w:cs="Times New Roman"/>
                <w:b/>
                <w:bCs/>
                <w:color w:val="auto"/>
                <w:sz w:val="24"/>
                <w:szCs w:val="24"/>
                <w:shd w:val="clear"/>
                <w:vertAlign w:val="baseline"/>
                <w:lang w:eastAsia="zh-CN"/>
              </w:rPr>
              <w:t>图</w:t>
            </w:r>
          </w:p>
        </w:tc>
      </w:tr>
    </w:tbl>
    <w:p>
      <w:pPr>
        <w:rPr>
          <w:rFonts w:hint="default" w:ascii="Times New Roman" w:hAnsi="Times New Roman" w:eastAsia="宋体" w:cs="Times New Roman"/>
          <w:color w:val="auto"/>
          <w:sz w:val="28"/>
          <w:szCs w:val="28"/>
          <w:lang w:val="en-US" w:eastAsia="zh-CN"/>
        </w:rPr>
        <w:sectPr>
          <w:pgSz w:w="11911" w:h="16838"/>
          <w:pgMar w:top="1463" w:right="1678" w:bottom="1463" w:left="1678" w:header="907" w:footer="884" w:gutter="0"/>
          <w:pgBorders>
            <w:top w:val="none" w:sz="0" w:space="0"/>
            <w:left w:val="none" w:sz="0" w:space="0"/>
            <w:bottom w:val="none" w:sz="0" w:space="0"/>
            <w:right w:val="none" w:sz="0" w:space="0"/>
          </w:pgBorders>
          <w:pgNumType w:fmt="decimal"/>
          <w:cols w:space="0" w:num="1"/>
          <w:rtlGutter w:val="0"/>
          <w:docGrid w:type="lines" w:linePitch="0" w:charSpace="0"/>
        </w:sectPr>
      </w:pPr>
    </w:p>
    <w:p>
      <w:pPr>
        <w:pStyle w:val="4"/>
        <w:keepNext w:val="0"/>
        <w:keepLines w:val="0"/>
        <w:pageBreakBefore w:val="0"/>
        <w:widowControl w:val="0"/>
        <w:kinsoku/>
        <w:wordWrap/>
        <w:overflowPunct/>
        <w:topLinePunct w:val="0"/>
        <w:autoSpaceDE w:val="0"/>
        <w:autoSpaceDN w:val="0"/>
        <w:bidi w:val="0"/>
        <w:adjustRightInd/>
        <w:snapToGrid/>
        <w:spacing w:before="157" w:beforeLines="50" w:after="0" w:line="360" w:lineRule="auto"/>
        <w:ind w:left="0" w:leftChars="0" w:right="0" w:rightChars="0" w:firstLine="0" w:firstLineChars="0"/>
        <w:jc w:val="left"/>
        <w:textAlignment w:val="auto"/>
        <w:outlineLvl w:val="1"/>
        <w:rPr>
          <w:rFonts w:hint="default" w:ascii="Times New Roman" w:hAnsi="Times New Roman" w:eastAsia="宋体" w:cs="Times New Roman"/>
          <w:color w:val="auto"/>
          <w:sz w:val="28"/>
          <w:szCs w:val="28"/>
          <w:lang w:val="en-US" w:eastAsia="zh-CN"/>
        </w:rPr>
      </w:pPr>
      <w:bookmarkStart w:id="69" w:name="_Toc25129"/>
      <w:r>
        <w:rPr>
          <w:rFonts w:hint="default" w:ascii="Times New Roman" w:hAnsi="Times New Roman" w:eastAsia="宋体" w:cs="Times New Roman"/>
          <w:color w:val="auto"/>
          <w:sz w:val="28"/>
          <w:szCs w:val="28"/>
          <w:lang w:val="en-US" w:eastAsia="zh-CN"/>
        </w:rPr>
        <w:t>7.3 噪声监测</w:t>
      </w:r>
      <w:bookmarkEnd w:id="68"/>
      <w:bookmarkEnd w:id="69"/>
    </w:p>
    <w:p>
      <w:pPr>
        <w:keepNext w:val="0"/>
        <w:keepLines w:val="0"/>
        <w:pageBreakBefore w:val="0"/>
        <w:widowControl w:val="0"/>
        <w:kinsoku/>
        <w:wordWrap/>
        <w:overflowPunct/>
        <w:topLinePunct w:val="0"/>
        <w:bidi w:val="0"/>
        <w:snapToGrid/>
        <w:spacing w:after="0" w:line="360" w:lineRule="auto"/>
        <w:ind w:left="0" w:leftChars="0" w:right="0" w:rightChars="0"/>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rPr>
        <w:t>.3.1</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监测内容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jc w:val="center"/>
        <w:textAlignment w:val="auto"/>
        <w:outlineLvl w:val="9"/>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 xml:space="preserve">3  </w:t>
      </w:r>
      <w:r>
        <w:rPr>
          <w:rFonts w:hint="default" w:ascii="Times New Roman" w:hAnsi="Times New Roman" w:eastAsia="宋体" w:cs="Times New Roman"/>
          <w:b/>
          <w:bCs/>
          <w:color w:val="auto"/>
          <w:sz w:val="24"/>
          <w:szCs w:val="24"/>
          <w:highlight w:val="none"/>
        </w:rPr>
        <w:t>噪声监测点位、监测项目和监测频次</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1"/>
        <w:gridCol w:w="1873"/>
        <w:gridCol w:w="1487"/>
        <w:gridCol w:w="4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0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0" w:right="0" w:right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噪声类型</w:t>
            </w:r>
          </w:p>
        </w:tc>
        <w:tc>
          <w:tcPr>
            <w:tcW w:w="1068" w:type="pct"/>
            <w:tcBorders>
              <w:left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监测点位</w:t>
            </w:r>
          </w:p>
        </w:tc>
        <w:tc>
          <w:tcPr>
            <w:tcW w:w="848" w:type="pct"/>
            <w:tcBorders>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监测项目</w:t>
            </w:r>
          </w:p>
        </w:tc>
        <w:tc>
          <w:tcPr>
            <w:tcW w:w="237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08"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0" w:right="0" w:right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厂界噪声</w:t>
            </w:r>
          </w:p>
        </w:tc>
        <w:tc>
          <w:tcPr>
            <w:tcW w:w="1068" w:type="pct"/>
            <w:tcBorders>
              <w:left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厂界四周N1-N8</w:t>
            </w:r>
          </w:p>
        </w:tc>
        <w:tc>
          <w:tcPr>
            <w:tcW w:w="848" w:type="pct"/>
            <w:tcBorders>
              <w:right w:val="nil"/>
            </w:tcBorders>
            <w:vAlign w:val="center"/>
          </w:tcPr>
          <w:p>
            <w:pPr>
              <w:pStyle w:val="1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等效声级值</w:t>
            </w:r>
          </w:p>
        </w:tc>
        <w:tc>
          <w:tcPr>
            <w:tcW w:w="237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val="en-US" w:eastAsia="zh-CN"/>
              </w:rPr>
              <w:t>分为</w:t>
            </w:r>
            <w:r>
              <w:rPr>
                <w:rFonts w:hint="default" w:ascii="Times New Roman" w:hAnsi="Times New Roman" w:eastAsia="宋体" w:cs="Times New Roman"/>
                <w:color w:val="auto"/>
                <w:kern w:val="0"/>
                <w:sz w:val="21"/>
                <w:szCs w:val="21"/>
                <w:lang w:eastAsia="zh-CN"/>
              </w:rPr>
              <w:t>异丙醇系列、异辛醇系列、</w:t>
            </w:r>
            <w:r>
              <w:rPr>
                <w:rFonts w:hint="default" w:ascii="Times New Roman" w:hAnsi="Times New Roman" w:eastAsia="宋体" w:cs="Times New Roman"/>
                <w:color w:val="auto"/>
                <w:kern w:val="0"/>
                <w:sz w:val="21"/>
                <w:szCs w:val="21"/>
              </w:rPr>
              <w:t>三羟甲基丙烷系列</w:t>
            </w:r>
            <w:r>
              <w:rPr>
                <w:rFonts w:hint="default" w:ascii="Times New Roman" w:hAnsi="Times New Roman" w:eastAsia="宋体" w:cs="Times New Roman"/>
                <w:color w:val="auto"/>
                <w:kern w:val="0"/>
                <w:sz w:val="21"/>
                <w:szCs w:val="21"/>
                <w:lang w:val="en-US" w:eastAsia="zh-CN"/>
              </w:rPr>
              <w:t>三种工况监测，每种工况</w:t>
            </w:r>
            <w:r>
              <w:rPr>
                <w:rFonts w:hint="default" w:ascii="Times New Roman" w:hAnsi="Times New Roman" w:eastAsia="宋体" w:cs="Times New Roman"/>
                <w:color w:val="auto"/>
                <w:sz w:val="21"/>
                <w:szCs w:val="21"/>
                <w:highlight w:val="none"/>
              </w:rPr>
              <w:t>监测</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天，昼、夜间各监测</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次</w:t>
            </w:r>
          </w:p>
        </w:tc>
      </w:tr>
    </w:tbl>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8321"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outlineLvl w:val="9"/>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color w:val="auto"/>
              </w:rPr>
              <w:drawing>
                <wp:inline distT="0" distB="0" distL="114300" distR="114300">
                  <wp:extent cx="5428615" cy="3226435"/>
                  <wp:effectExtent l="0" t="0" r="635" b="1206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41"/>
                          <a:stretch>
                            <a:fillRect/>
                          </a:stretch>
                        </pic:blipFill>
                        <pic:spPr>
                          <a:xfrm>
                            <a:off x="0" y="0"/>
                            <a:ext cx="5428615" cy="3226435"/>
                          </a:xfrm>
                          <a:prstGeom prst="rect">
                            <a:avLst/>
                          </a:prstGeom>
                          <a:noFill/>
                          <a:ln>
                            <a:noFill/>
                          </a:ln>
                        </pic:spPr>
                      </pic:pic>
                    </a:graphicData>
                  </a:graphic>
                </wp:inline>
              </w:drawing>
            </w:r>
          </w:p>
          <w:p>
            <w:pPr>
              <w:pStyle w:val="2"/>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z w:val="21"/>
                <w:szCs w:val="21"/>
                <w:vertAlign w:val="baseline"/>
                <w:lang w:eastAsia="zh-CN"/>
              </w:rPr>
              <w:t>注：</w:t>
            </w:r>
            <w:r>
              <w:rPr>
                <w:rFonts w:hint="default" w:ascii="Times New Roman" w:hAnsi="Times New Roman" w:eastAsia="宋体" w:cs="Times New Roman"/>
                <w:color w:val="auto"/>
                <w:spacing w:val="0"/>
                <w:sz w:val="21"/>
                <w:szCs w:val="21"/>
                <w:lang w:val="en-US" w:eastAsia="zh-CN"/>
              </w:rPr>
              <w:t>▲N1-N8为厂界环境噪声测点位置。</w:t>
            </w:r>
          </w:p>
          <w:p>
            <w:pPr>
              <w:keepNext w:val="0"/>
              <w:keepLines w:val="0"/>
              <w:pageBreakBefore w:val="0"/>
              <w:widowControl w:val="0"/>
              <w:suppressLineNumbers w:val="0"/>
              <w:kinsoku/>
              <w:wordWrap/>
              <w:overflowPunct/>
              <w:topLinePunct w:val="0"/>
              <w:bidi w:val="0"/>
              <w:snapToGrid/>
              <w:spacing w:before="0" w:beforeAutospacing="0" w:after="0" w:afterAutospacing="0" w:line="240" w:lineRule="atLeast"/>
              <w:ind w:left="0" w:right="0"/>
              <w:jc w:val="center"/>
              <w:textAlignment w:val="auto"/>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图</w:t>
            </w:r>
            <w:r>
              <w:rPr>
                <w:rFonts w:hint="default" w:ascii="Times New Roman" w:hAnsi="Times New Roman" w:eastAsia="宋体" w:cs="Times New Roman"/>
                <w:b/>
                <w:bCs/>
                <w:color w:val="auto"/>
                <w:sz w:val="24"/>
                <w:szCs w:val="24"/>
                <w:vertAlign w:val="baseline"/>
                <w:lang w:val="en-US" w:eastAsia="zh-CN"/>
              </w:rPr>
              <w:t>7-3  噪声监测</w:t>
            </w:r>
            <w:r>
              <w:rPr>
                <w:rFonts w:hint="default" w:ascii="Times New Roman" w:hAnsi="Times New Roman" w:eastAsia="宋体" w:cs="Times New Roman"/>
                <w:b/>
                <w:bCs/>
                <w:color w:val="auto"/>
                <w:sz w:val="24"/>
                <w:szCs w:val="24"/>
                <w:vertAlign w:val="baseline"/>
                <w:lang w:eastAsia="zh-CN"/>
              </w:rPr>
              <w:t>点位图</w:t>
            </w:r>
          </w:p>
        </w:tc>
      </w:tr>
    </w:tbl>
    <w:p>
      <w:pPr>
        <w:keepNext w:val="0"/>
        <w:keepLines w:val="0"/>
        <w:pageBreakBefore w:val="0"/>
        <w:widowControl w:val="0"/>
        <w:kinsoku/>
        <w:wordWrap/>
        <w:overflowPunct/>
        <w:topLinePunct w:val="0"/>
        <w:bidi w:val="0"/>
        <w:snapToGrid/>
        <w:spacing w:after="0" w:line="360" w:lineRule="auto"/>
        <w:ind w:left="0" w:leftChars="0" w:right="0" w:rightChars="0"/>
        <w:textAlignment w:val="auto"/>
        <w:outlineLvl w:val="9"/>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rPr>
        <w:t>.3</w:t>
      </w:r>
      <w:r>
        <w:rPr>
          <w:rFonts w:hint="default" w:ascii="Times New Roman" w:hAnsi="Times New Roman" w:eastAsia="宋体" w:cs="Times New Roman"/>
          <w:b/>
          <w:bCs/>
          <w:color w:val="auto"/>
          <w:sz w:val="24"/>
          <w:szCs w:val="24"/>
          <w:lang w:val="en-US" w:eastAsia="zh-CN"/>
        </w:rPr>
        <w:t xml:space="preserve">.2 </w:t>
      </w:r>
      <w:r>
        <w:rPr>
          <w:rFonts w:hint="default" w:ascii="Times New Roman" w:hAnsi="Times New Roman" w:eastAsia="宋体" w:cs="Times New Roman"/>
          <w:b/>
          <w:bCs/>
          <w:color w:val="auto"/>
          <w:sz w:val="24"/>
          <w:szCs w:val="24"/>
        </w:rPr>
        <w:t>监测</w:t>
      </w:r>
      <w:r>
        <w:rPr>
          <w:rFonts w:hint="default" w:ascii="Times New Roman" w:hAnsi="Times New Roman" w:eastAsia="宋体" w:cs="Times New Roman"/>
          <w:b/>
          <w:bCs/>
          <w:color w:val="auto"/>
          <w:sz w:val="24"/>
          <w:szCs w:val="24"/>
          <w:lang w:eastAsia="zh-CN"/>
        </w:rPr>
        <w:t>依据</w:t>
      </w:r>
    </w:p>
    <w:p>
      <w:pPr>
        <w:pStyle w:val="2"/>
        <w:ind w:firstLine="480" w:firstLineChars="200"/>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4"/>
          <w:szCs w:val="24"/>
        </w:rPr>
        <w:t>噪声监测按《工业企业厂界环境噪声排放标准》（GB 12348-2008）中相关要求实施监测</w:t>
      </w:r>
      <w:r>
        <w:rPr>
          <w:rFonts w:hint="default" w:ascii="Times New Roman" w:hAnsi="Times New Roman" w:eastAsia="宋体" w:cs="Times New Roman"/>
          <w:color w:val="auto"/>
          <w:sz w:val="24"/>
          <w:szCs w:val="24"/>
          <w:lang w:eastAsia="zh-CN"/>
        </w:rPr>
        <w:t>。</w:t>
      </w:r>
    </w:p>
    <w:p>
      <w:pPr>
        <w:pStyle w:val="2"/>
        <w:rPr>
          <w:rFonts w:hint="default" w:ascii="Times New Roman" w:hAnsi="Times New Roman" w:eastAsia="宋体" w:cs="Times New Roman"/>
          <w:color w:val="auto"/>
          <w:sz w:val="28"/>
          <w:szCs w:val="28"/>
        </w:rPr>
      </w:pPr>
    </w:p>
    <w:p>
      <w:pPr>
        <w:pStyle w:val="2"/>
        <w:rPr>
          <w:rFonts w:hint="default" w:ascii="Times New Roman" w:hAnsi="Times New Roman" w:eastAsia="宋体" w:cs="Times New Roman"/>
          <w:color w:val="auto"/>
          <w:sz w:val="28"/>
          <w:szCs w:val="28"/>
        </w:rPr>
        <w:sectPr>
          <w:pgSz w:w="11911" w:h="16838"/>
          <w:pgMar w:top="1463" w:right="1678" w:bottom="1463" w:left="1678" w:header="907" w:footer="884" w:gutter="0"/>
          <w:pgBorders>
            <w:top w:val="none" w:sz="0" w:space="0"/>
            <w:left w:val="none" w:sz="0" w:space="0"/>
            <w:bottom w:val="none" w:sz="0" w:space="0"/>
            <w:right w:val="none" w:sz="0" w:space="0"/>
          </w:pgBorders>
          <w:pgNumType w:fmt="decimal"/>
          <w:cols w:space="0" w:num="1"/>
          <w:rtlGutter w:val="0"/>
          <w:docGrid w:type="lines" w:linePitch="0" w:charSpace="0"/>
        </w:sectPr>
      </w:pPr>
    </w:p>
    <w:bookmarkEnd w:id="52"/>
    <w:bookmarkEnd w:id="53"/>
    <w:p>
      <w:pPr>
        <w:pStyle w:val="3"/>
        <w:keepNext w:val="0"/>
        <w:keepLines w:val="0"/>
        <w:pageBreakBefore w:val="0"/>
        <w:widowControl w:val="0"/>
        <w:kinsoku/>
        <w:wordWrap/>
        <w:overflowPunct/>
        <w:topLinePunct w:val="0"/>
        <w:autoSpaceDE w:val="0"/>
        <w:autoSpaceDN w:val="0"/>
        <w:bidi w:val="0"/>
        <w:adjustRightInd/>
        <w:snapToGrid/>
        <w:spacing w:before="157" w:beforeLines="50" w:after="0" w:line="360" w:lineRule="auto"/>
        <w:ind w:left="0" w:leftChars="0" w:right="0" w:rightChars="0" w:firstLine="0" w:firstLineChars="0"/>
        <w:jc w:val="left"/>
        <w:textAlignment w:val="auto"/>
        <w:outlineLvl w:val="0"/>
        <w:rPr>
          <w:rFonts w:hint="default" w:ascii="Times New Roman" w:hAnsi="Times New Roman" w:eastAsia="宋体" w:cs="Times New Roman"/>
          <w:color w:val="auto"/>
          <w:sz w:val="28"/>
          <w:szCs w:val="28"/>
          <w:highlight w:val="none"/>
          <w:lang w:val="en-US" w:eastAsia="zh-CN"/>
        </w:rPr>
      </w:pPr>
      <w:bookmarkStart w:id="70" w:name="_Toc6277"/>
      <w:bookmarkStart w:id="71" w:name="_Toc8146"/>
      <w:r>
        <w:rPr>
          <w:rFonts w:hint="default" w:ascii="Times New Roman" w:hAnsi="Times New Roman" w:eastAsia="宋体" w:cs="Times New Roman"/>
          <w:color w:val="auto"/>
          <w:sz w:val="28"/>
          <w:szCs w:val="28"/>
          <w:highlight w:val="none"/>
          <w:lang w:val="en-US" w:eastAsia="zh-CN"/>
        </w:rPr>
        <w:t>8、质量保证及质量控制</w:t>
      </w:r>
      <w:bookmarkEnd w:id="70"/>
      <w:bookmarkEnd w:id="71"/>
    </w:p>
    <w:p>
      <w:pPr>
        <w:pStyle w:val="4"/>
        <w:keepNext w:val="0"/>
        <w:keepLines w:val="0"/>
        <w:pageBreakBefore w:val="0"/>
        <w:widowControl w:val="0"/>
        <w:kinsoku/>
        <w:wordWrap/>
        <w:overflowPunct/>
        <w:topLinePunct w:val="0"/>
        <w:autoSpaceDE w:val="0"/>
        <w:autoSpaceDN w:val="0"/>
        <w:bidi w:val="0"/>
        <w:adjustRightInd/>
        <w:spacing w:after="0" w:line="360" w:lineRule="auto"/>
        <w:ind w:left="0" w:leftChars="0" w:firstLine="0" w:firstLineChars="0"/>
        <w:textAlignment w:val="auto"/>
        <w:rPr>
          <w:rFonts w:hint="default" w:ascii="Times New Roman" w:hAnsi="Times New Roman" w:eastAsia="宋体" w:cs="Times New Roman"/>
          <w:color w:val="auto"/>
          <w:sz w:val="28"/>
          <w:szCs w:val="28"/>
          <w:lang w:val="en-US" w:eastAsia="zh-CN"/>
        </w:rPr>
      </w:pPr>
      <w:bookmarkStart w:id="72" w:name="_Toc18846"/>
      <w:r>
        <w:rPr>
          <w:rFonts w:hint="default" w:ascii="Times New Roman" w:hAnsi="Times New Roman" w:eastAsia="宋体" w:cs="Times New Roman"/>
          <w:color w:val="auto"/>
          <w:sz w:val="28"/>
          <w:szCs w:val="28"/>
        </w:rPr>
        <w:t>8.1</w:t>
      </w:r>
      <w:r>
        <w:rPr>
          <w:rFonts w:hint="default" w:ascii="Times New Roman" w:hAnsi="Times New Roman" w:eastAsia="宋体" w:cs="Times New Roman"/>
          <w:color w:val="auto"/>
          <w:sz w:val="28"/>
          <w:szCs w:val="28"/>
          <w:lang w:val="en-US" w:eastAsia="zh-CN"/>
        </w:rPr>
        <w:t xml:space="preserve"> </w:t>
      </w:r>
      <w:r>
        <w:rPr>
          <w:rFonts w:hint="default" w:ascii="Times New Roman" w:hAnsi="Times New Roman" w:eastAsia="宋体" w:cs="Times New Roman"/>
          <w:color w:val="auto"/>
          <w:sz w:val="28"/>
          <w:szCs w:val="28"/>
        </w:rPr>
        <w:t>分析方法、监测仪器</w:t>
      </w:r>
      <w:r>
        <w:rPr>
          <w:rFonts w:hint="default" w:ascii="Times New Roman" w:hAnsi="Times New Roman" w:eastAsia="宋体" w:cs="Times New Roman"/>
          <w:color w:val="auto"/>
          <w:sz w:val="28"/>
          <w:szCs w:val="28"/>
          <w:lang w:eastAsia="zh-CN"/>
        </w:rPr>
        <w:t>名称</w:t>
      </w:r>
      <w:r>
        <w:rPr>
          <w:rFonts w:hint="default" w:ascii="Times New Roman" w:hAnsi="Times New Roman" w:eastAsia="宋体" w:cs="Times New Roman"/>
          <w:color w:val="auto"/>
          <w:sz w:val="28"/>
          <w:szCs w:val="28"/>
        </w:rPr>
        <w:t>型号</w:t>
      </w:r>
      <w:bookmarkEnd w:id="72"/>
    </w:p>
    <w:p>
      <w:pPr>
        <w:keepNext w:val="0"/>
        <w:keepLines w:val="0"/>
        <w:pageBreakBefore w:val="0"/>
        <w:widowControl w:val="0"/>
        <w:kinsoku/>
        <w:wordWrap/>
        <w:overflowPunct/>
        <w:topLinePunct w:val="0"/>
        <w:autoSpaceDE w:val="0"/>
        <w:autoSpaceDN w:val="0"/>
        <w:bidi w:val="0"/>
        <w:adjustRightInd/>
        <w:snapToGrid w:val="0"/>
        <w:spacing w:before="0" w:after="0" w:line="360" w:lineRule="auto"/>
        <w:ind w:left="0" w:leftChars="0" w:right="57"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监测过程中实施全过程</w:t>
      </w:r>
      <w:r>
        <w:rPr>
          <w:rFonts w:hint="default" w:ascii="Times New Roman" w:hAnsi="Times New Roman" w:eastAsia="宋体" w:cs="Times New Roman"/>
          <w:color w:val="auto"/>
          <w:sz w:val="24"/>
          <w:szCs w:val="24"/>
          <w:lang w:eastAsia="zh-CN"/>
        </w:rPr>
        <w:t>（布点、采样、样品贮存、实验室分析和数据处理等）</w:t>
      </w:r>
      <w:r>
        <w:rPr>
          <w:rFonts w:hint="default" w:ascii="Times New Roman" w:hAnsi="Times New Roman" w:eastAsia="宋体" w:cs="Times New Roman"/>
          <w:color w:val="auto"/>
          <w:sz w:val="24"/>
          <w:szCs w:val="24"/>
        </w:rPr>
        <w:t>的质量控制,监测分析方法采用国家和行业主管部门颁布的标准(或推荐)方法。所用监测仪器均经过法定计量检定并在有效期内。分析测试前后,对所用的测试仪器进行了必要的校准。监测项目、分析方法、监测仪器及型号见</w:t>
      </w:r>
      <w:r>
        <w:rPr>
          <w:rFonts w:hint="default" w:ascii="Times New Roman" w:hAnsi="Times New Roman" w:eastAsia="宋体" w:cs="Times New Roman"/>
          <w:color w:val="auto"/>
          <w:sz w:val="24"/>
          <w:szCs w:val="24"/>
          <w:lang w:eastAsia="zh-CN"/>
        </w:rPr>
        <w:t>表8-1、表8-</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576"/>
        <w:jc w:val="center"/>
        <w:textAlignment w:val="auto"/>
        <w:outlineLvl w:val="9"/>
        <w:rPr>
          <w:rFonts w:hint="default" w:ascii="Times New Roman" w:hAnsi="Times New Roman" w:eastAsia="宋体" w:cs="Times New Roman"/>
          <w:b/>
          <w:bCs/>
          <w:color w:val="auto"/>
          <w:sz w:val="24"/>
          <w:szCs w:val="22"/>
          <w:highlight w:val="none"/>
          <w:lang w:eastAsia="zh-CN"/>
        </w:rPr>
      </w:pPr>
      <w:r>
        <w:rPr>
          <w:rFonts w:hint="default" w:ascii="Times New Roman" w:hAnsi="Times New Roman" w:eastAsia="宋体" w:cs="Times New Roman"/>
          <w:b/>
          <w:bCs/>
          <w:color w:val="auto"/>
          <w:sz w:val="24"/>
          <w:szCs w:val="22"/>
          <w:highlight w:val="none"/>
          <w:lang w:eastAsia="zh-CN"/>
        </w:rPr>
        <w:t>表8-1</w:t>
      </w:r>
      <w:r>
        <w:rPr>
          <w:rFonts w:hint="default" w:ascii="Times New Roman" w:hAnsi="Times New Roman" w:eastAsia="宋体" w:cs="Times New Roman"/>
          <w:b/>
          <w:bCs/>
          <w:color w:val="auto"/>
          <w:sz w:val="24"/>
          <w:szCs w:val="22"/>
          <w:highlight w:val="none"/>
          <w:lang w:val="en-US" w:eastAsia="zh-CN"/>
        </w:rPr>
        <w:t xml:space="preserve"> </w:t>
      </w:r>
      <w:r>
        <w:rPr>
          <w:rFonts w:hint="default" w:ascii="Times New Roman" w:hAnsi="Times New Roman" w:eastAsia="宋体" w:cs="Times New Roman"/>
          <w:b/>
          <w:bCs/>
          <w:color w:val="auto"/>
          <w:sz w:val="24"/>
          <w:szCs w:val="22"/>
          <w:highlight w:val="none"/>
        </w:rPr>
        <w:t xml:space="preserve"> 监测项目、分析方法</w:t>
      </w:r>
      <w:r>
        <w:rPr>
          <w:rFonts w:hint="default" w:ascii="Times New Roman" w:hAnsi="Times New Roman" w:eastAsia="宋体" w:cs="Times New Roman"/>
          <w:b/>
          <w:bCs/>
          <w:color w:val="auto"/>
          <w:sz w:val="24"/>
          <w:szCs w:val="22"/>
          <w:highlight w:val="none"/>
          <w:lang w:eastAsia="zh-CN"/>
        </w:rPr>
        <w:t>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7"/>
        <w:gridCol w:w="2021"/>
        <w:gridCol w:w="5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0" w:type="pct"/>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rPr>
              <w:t>检测类别</w:t>
            </w:r>
          </w:p>
        </w:tc>
        <w:tc>
          <w:tcPr>
            <w:tcW w:w="1152" w:type="pct"/>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rPr>
              <w:t>项目</w:t>
            </w:r>
          </w:p>
        </w:tc>
        <w:tc>
          <w:tcPr>
            <w:tcW w:w="3226" w:type="pct"/>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rPr>
              <w:t>检测依据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0" w:type="pct"/>
            <w:vMerge w:val="restart"/>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废水</w:t>
            </w:r>
          </w:p>
        </w:tc>
        <w:tc>
          <w:tcPr>
            <w:tcW w:w="1152" w:type="pct"/>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z w:val="21"/>
                <w:szCs w:val="21"/>
                <w:lang w:val="en-US" w:eastAsia="zh-CN"/>
              </w:rPr>
              <w:t>pH值</w:t>
            </w:r>
          </w:p>
        </w:tc>
        <w:tc>
          <w:tcPr>
            <w:tcW w:w="3226" w:type="pct"/>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jc w:val="center"/>
              <w:textAlignment w:val="center"/>
              <w:rPr>
                <w:rFonts w:hint="default" w:ascii="Times New Roman" w:hAnsi="Times New Roman" w:eastAsia="宋体" w:cs="Times New Roman"/>
                <w:i w:val="0"/>
                <w:color w:val="auto"/>
                <w:spacing w:val="0"/>
                <w:kern w:val="2"/>
                <w:sz w:val="21"/>
                <w:szCs w:val="21"/>
                <w:u w:val="none"/>
                <w:lang w:val="en-US" w:eastAsia="zh-CN" w:bidi="ar-SA"/>
              </w:rPr>
            </w:pPr>
            <w:r>
              <w:rPr>
                <w:rFonts w:hint="default" w:ascii="Times New Roman" w:hAnsi="Times New Roman" w:eastAsia="宋体" w:cs="Times New Roman"/>
                <w:i w:val="0"/>
                <w:color w:val="auto"/>
                <w:spacing w:val="0"/>
                <w:kern w:val="2"/>
                <w:sz w:val="21"/>
                <w:szCs w:val="21"/>
                <w:u w:val="none"/>
                <w:lang w:val="en-US" w:eastAsia="zh-CN" w:bidi="ar-SA"/>
              </w:rPr>
              <w:t>便携式pH计法《水和废水监测分析方法》（第四版 国家环保总局 2002年）3.1.6.2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0" w:type="pct"/>
            <w:vMerge w:val="continue"/>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highlight w:val="none"/>
              </w:rPr>
            </w:pPr>
          </w:p>
        </w:tc>
        <w:tc>
          <w:tcPr>
            <w:tcW w:w="1152" w:type="pct"/>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z w:val="21"/>
                <w:szCs w:val="21"/>
                <w:lang w:val="en-US" w:eastAsia="zh-CN"/>
              </w:rPr>
              <w:t>化学需氧量</w:t>
            </w:r>
          </w:p>
        </w:tc>
        <w:tc>
          <w:tcPr>
            <w:tcW w:w="3226" w:type="pct"/>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jc w:val="center"/>
              <w:textAlignment w:val="center"/>
              <w:rPr>
                <w:rFonts w:hint="default" w:ascii="Times New Roman" w:hAnsi="Times New Roman" w:eastAsia="宋体" w:cs="Times New Roman"/>
                <w:i w:val="0"/>
                <w:color w:val="auto"/>
                <w:spacing w:val="0"/>
                <w:kern w:val="0"/>
                <w:sz w:val="21"/>
                <w:szCs w:val="21"/>
                <w:u w:val="none"/>
                <w:lang w:val="en-US" w:eastAsia="zh-CN" w:bidi="ar"/>
              </w:rPr>
            </w:pPr>
            <w:r>
              <w:rPr>
                <w:rFonts w:hint="default" w:ascii="Times New Roman" w:hAnsi="Times New Roman" w:eastAsia="宋体" w:cs="Times New Roman"/>
                <w:i w:val="0"/>
                <w:color w:val="auto"/>
                <w:spacing w:val="0"/>
                <w:kern w:val="0"/>
                <w:sz w:val="21"/>
                <w:szCs w:val="21"/>
                <w:u w:val="none"/>
                <w:lang w:val="en-US" w:eastAsia="zh-CN" w:bidi="ar"/>
              </w:rPr>
              <w:t>水质 化学需氧量的测定 重铬酸盐法 HJ 828-2017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0" w:type="pct"/>
            <w:vMerge w:val="continue"/>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highlight w:val="none"/>
              </w:rPr>
            </w:pPr>
          </w:p>
        </w:tc>
        <w:tc>
          <w:tcPr>
            <w:tcW w:w="1152" w:type="pct"/>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z w:val="21"/>
                <w:szCs w:val="21"/>
                <w:lang w:val="en-US" w:eastAsia="zh-CN"/>
              </w:rPr>
              <w:t>氨氮</w:t>
            </w:r>
          </w:p>
        </w:tc>
        <w:tc>
          <w:tcPr>
            <w:tcW w:w="3226" w:type="pct"/>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jc w:val="center"/>
              <w:textAlignment w:val="center"/>
              <w:rPr>
                <w:rFonts w:hint="default" w:ascii="Times New Roman" w:hAnsi="Times New Roman" w:eastAsia="宋体" w:cs="Times New Roman"/>
                <w:i w:val="0"/>
                <w:color w:val="auto"/>
                <w:spacing w:val="0"/>
                <w:kern w:val="0"/>
                <w:sz w:val="21"/>
                <w:szCs w:val="21"/>
                <w:u w:val="none"/>
                <w:lang w:val="en-US" w:eastAsia="zh-CN" w:bidi="ar"/>
              </w:rPr>
            </w:pPr>
            <w:r>
              <w:rPr>
                <w:rFonts w:hint="default" w:ascii="Times New Roman" w:hAnsi="Times New Roman" w:eastAsia="宋体" w:cs="Times New Roman"/>
                <w:i w:val="0"/>
                <w:color w:val="auto"/>
                <w:spacing w:val="0"/>
                <w:kern w:val="0"/>
                <w:sz w:val="21"/>
                <w:szCs w:val="21"/>
                <w:u w:val="none"/>
                <w:lang w:val="en-US" w:eastAsia="zh-CN" w:bidi="ar"/>
              </w:rPr>
              <w:t>水质 氨氮的测定 纳氏试剂分光光度法 HJ 535-2009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0" w:type="pct"/>
            <w:vMerge w:val="continue"/>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highlight w:val="none"/>
              </w:rPr>
            </w:pPr>
          </w:p>
        </w:tc>
        <w:tc>
          <w:tcPr>
            <w:tcW w:w="1152" w:type="pct"/>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z w:val="21"/>
                <w:szCs w:val="21"/>
                <w:lang w:val="en-US" w:eastAsia="zh-CN"/>
              </w:rPr>
              <w:t>总磷</w:t>
            </w:r>
          </w:p>
        </w:tc>
        <w:tc>
          <w:tcPr>
            <w:tcW w:w="3226" w:type="pct"/>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jc w:val="center"/>
              <w:textAlignment w:val="center"/>
              <w:rPr>
                <w:rFonts w:hint="default" w:ascii="Times New Roman" w:hAnsi="Times New Roman" w:eastAsia="宋体" w:cs="Times New Roman"/>
                <w:i w:val="0"/>
                <w:color w:val="auto"/>
                <w:spacing w:val="0"/>
                <w:kern w:val="0"/>
                <w:sz w:val="21"/>
                <w:szCs w:val="21"/>
                <w:u w:val="none"/>
                <w:lang w:val="en-US" w:eastAsia="zh-CN" w:bidi="ar"/>
              </w:rPr>
            </w:pPr>
            <w:r>
              <w:rPr>
                <w:rFonts w:hint="default" w:ascii="Times New Roman" w:hAnsi="Times New Roman" w:eastAsia="宋体" w:cs="Times New Roman"/>
                <w:i w:val="0"/>
                <w:color w:val="auto"/>
                <w:spacing w:val="0"/>
                <w:kern w:val="0"/>
                <w:sz w:val="21"/>
                <w:szCs w:val="21"/>
                <w:u w:val="none"/>
                <w:lang w:val="en-US" w:eastAsia="zh-CN" w:bidi="ar"/>
              </w:rPr>
              <w:t>水质 总磷的测定 钼酸铵分光光度法  GB/T 11893-1989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0" w:type="pct"/>
            <w:vMerge w:val="continue"/>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rPr>
            </w:pPr>
          </w:p>
        </w:tc>
        <w:tc>
          <w:tcPr>
            <w:tcW w:w="1152" w:type="pct"/>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z w:val="21"/>
                <w:szCs w:val="21"/>
                <w:lang w:val="en-US" w:eastAsia="zh-CN"/>
              </w:rPr>
              <w:t>悬浮物</w:t>
            </w:r>
          </w:p>
        </w:tc>
        <w:tc>
          <w:tcPr>
            <w:tcW w:w="3226" w:type="pct"/>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jc w:val="center"/>
              <w:textAlignment w:val="center"/>
              <w:rPr>
                <w:rFonts w:hint="default" w:ascii="Times New Roman" w:hAnsi="Times New Roman" w:eastAsia="宋体" w:cs="Times New Roman"/>
                <w:i w:val="0"/>
                <w:color w:val="auto"/>
                <w:spacing w:val="0"/>
                <w:kern w:val="0"/>
                <w:sz w:val="21"/>
                <w:szCs w:val="21"/>
                <w:u w:val="none"/>
                <w:lang w:val="en-US" w:eastAsia="zh-CN" w:bidi="ar"/>
              </w:rPr>
            </w:pPr>
            <w:r>
              <w:rPr>
                <w:rFonts w:hint="default" w:ascii="Times New Roman" w:hAnsi="Times New Roman" w:eastAsia="宋体" w:cs="Times New Roman"/>
                <w:i w:val="0"/>
                <w:color w:val="auto"/>
                <w:spacing w:val="0"/>
                <w:kern w:val="0"/>
                <w:sz w:val="21"/>
                <w:szCs w:val="21"/>
                <w:u w:val="none"/>
                <w:lang w:val="en-US" w:eastAsia="zh-CN" w:bidi="ar"/>
              </w:rPr>
              <w:t>水质 悬浮物的测定 重量法 GB/T 11901-1989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0" w:type="pct"/>
            <w:vMerge w:val="continue"/>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rPr>
            </w:pPr>
          </w:p>
        </w:tc>
        <w:tc>
          <w:tcPr>
            <w:tcW w:w="1152" w:type="pct"/>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z w:val="21"/>
                <w:szCs w:val="21"/>
                <w:lang w:val="en-US" w:eastAsia="zh-CN"/>
              </w:rPr>
              <w:t>动植物油</w:t>
            </w:r>
          </w:p>
        </w:tc>
        <w:tc>
          <w:tcPr>
            <w:tcW w:w="3226" w:type="pct"/>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jc w:val="center"/>
              <w:textAlignment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水质 石油类和动植物油类的测定 红外分光光度法</w:t>
            </w:r>
          </w:p>
          <w:p>
            <w:pPr>
              <w:keepNext w:val="0"/>
              <w:keepLines w:val="0"/>
              <w:pageBreakBefore w:val="0"/>
              <w:widowControl/>
              <w:suppressLineNumbers w:val="0"/>
              <w:kinsoku/>
              <w:wordWrap/>
              <w:overflowPunct/>
              <w:topLinePunct w:val="0"/>
              <w:autoSpaceDE w:val="0"/>
              <w:autoSpaceDN w:val="0"/>
              <w:bidi w:val="0"/>
              <w:adjustRightInd/>
              <w:snapToGrid/>
              <w:spacing w:line="240" w:lineRule="auto"/>
              <w:ind w:firstLine="0"/>
              <w:jc w:val="center"/>
              <w:textAlignment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HJ 637-2018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0" w:type="pct"/>
            <w:vMerge w:val="restart"/>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无组织废气</w:t>
            </w:r>
          </w:p>
        </w:tc>
        <w:tc>
          <w:tcPr>
            <w:tcW w:w="1152" w:type="pct"/>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颗粒物（总悬浮颗粒物）</w:t>
            </w:r>
          </w:p>
        </w:tc>
        <w:tc>
          <w:tcPr>
            <w:tcW w:w="3226" w:type="pct"/>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环境空气 总悬浮颗粒物的测定 重量法 GB/T 15432-1995及其修改单（生态环境部公告 2018年 第31号）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0" w:type="pct"/>
            <w:vMerge w:val="continue"/>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rPr>
            </w:pPr>
          </w:p>
        </w:tc>
        <w:tc>
          <w:tcPr>
            <w:tcW w:w="1152" w:type="pct"/>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异丙醇</w:t>
            </w:r>
          </w:p>
        </w:tc>
        <w:tc>
          <w:tcPr>
            <w:tcW w:w="3226" w:type="pct"/>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固定污染源废气 挥发性有机物的测定 固相吸附-热脱附/气相色谱-质谱法 HJ 734-2014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0" w:type="pct"/>
            <w:vMerge w:val="continue"/>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rPr>
            </w:pPr>
          </w:p>
        </w:tc>
        <w:tc>
          <w:tcPr>
            <w:tcW w:w="1152" w:type="pct"/>
            <w:vMerge w:val="restart"/>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臭气浓度</w:t>
            </w:r>
          </w:p>
        </w:tc>
        <w:tc>
          <w:tcPr>
            <w:tcW w:w="3226" w:type="pct"/>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 xml:space="preserve">空气质量 恶臭的测定 三点比较式臭袋法  </w:t>
            </w:r>
            <w:r>
              <w:rPr>
                <w:rFonts w:hint="default" w:ascii="Times New Roman" w:hAnsi="Times New Roman" w:eastAsia="宋体" w:cs="Times New Roman"/>
                <w:color w:val="auto"/>
                <w:spacing w:val="0"/>
                <w:sz w:val="21"/>
                <w:szCs w:val="21"/>
                <w:lang w:val="en-US" w:eastAsia="zh-CN"/>
              </w:rPr>
              <w:br w:type="textWrapping"/>
            </w:r>
            <w:r>
              <w:rPr>
                <w:rFonts w:hint="default" w:ascii="Times New Roman" w:hAnsi="Times New Roman" w:eastAsia="宋体" w:cs="Times New Roman"/>
                <w:color w:val="auto"/>
                <w:spacing w:val="0"/>
                <w:sz w:val="21"/>
                <w:szCs w:val="21"/>
                <w:lang w:val="en-US" w:eastAsia="zh-CN"/>
              </w:rPr>
              <w:t>GB/T 14675-1993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0" w:type="pct"/>
            <w:vMerge w:val="continue"/>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rPr>
            </w:pPr>
          </w:p>
        </w:tc>
        <w:tc>
          <w:tcPr>
            <w:tcW w:w="1152" w:type="pct"/>
            <w:vMerge w:val="continue"/>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lang w:val="en-US" w:eastAsia="zh-CN"/>
              </w:rPr>
            </w:pPr>
          </w:p>
        </w:tc>
        <w:tc>
          <w:tcPr>
            <w:tcW w:w="3226" w:type="pct"/>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恶臭污染环境监测技术规范 HJ 905-2017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0" w:type="pct"/>
            <w:vMerge w:val="continue"/>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rPr>
            </w:pPr>
          </w:p>
        </w:tc>
        <w:tc>
          <w:tcPr>
            <w:tcW w:w="1152" w:type="pct"/>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非甲烷总烃</w:t>
            </w:r>
          </w:p>
        </w:tc>
        <w:tc>
          <w:tcPr>
            <w:tcW w:w="3226" w:type="pct"/>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环境空气 总烃、甲烷和非甲烷总烃的测定 直接进样-气相色谱法 HJ 604-2017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0" w:type="pct"/>
            <w:vMerge w:val="restart"/>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有组织废气</w:t>
            </w:r>
          </w:p>
        </w:tc>
        <w:tc>
          <w:tcPr>
            <w:tcW w:w="1152" w:type="pct"/>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颗粒物（总悬浮颗粒物）</w:t>
            </w:r>
          </w:p>
        </w:tc>
        <w:tc>
          <w:tcPr>
            <w:tcW w:w="3226" w:type="pct"/>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固定污染源废气 低浓度颗粒物的测定 重量法 HJ 836-2017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0" w:type="pct"/>
            <w:vMerge w:val="continue"/>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rPr>
            </w:pPr>
          </w:p>
        </w:tc>
        <w:tc>
          <w:tcPr>
            <w:tcW w:w="1152" w:type="pct"/>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异丙醇</w:t>
            </w:r>
          </w:p>
        </w:tc>
        <w:tc>
          <w:tcPr>
            <w:tcW w:w="3226" w:type="pct"/>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固定污染源废气 挥发性有机物的测定 固相吸附-热脱附/气相色谱-质谱法 HJ 734-2014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0" w:type="pct"/>
            <w:vMerge w:val="continue"/>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rPr>
            </w:pPr>
          </w:p>
        </w:tc>
        <w:tc>
          <w:tcPr>
            <w:tcW w:w="1152" w:type="pct"/>
            <w:vMerge w:val="restart"/>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臭气浓度</w:t>
            </w:r>
          </w:p>
        </w:tc>
        <w:tc>
          <w:tcPr>
            <w:tcW w:w="3226" w:type="pct"/>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 xml:space="preserve">空气质量 恶臭的测定 三点比较式臭袋法  </w:t>
            </w:r>
            <w:r>
              <w:rPr>
                <w:rFonts w:hint="default" w:ascii="Times New Roman" w:hAnsi="Times New Roman" w:eastAsia="宋体" w:cs="Times New Roman"/>
                <w:color w:val="auto"/>
                <w:spacing w:val="0"/>
                <w:sz w:val="21"/>
                <w:szCs w:val="21"/>
                <w:lang w:val="en-US" w:eastAsia="zh-CN"/>
              </w:rPr>
              <w:br w:type="textWrapping"/>
            </w:r>
            <w:r>
              <w:rPr>
                <w:rFonts w:hint="default" w:ascii="Times New Roman" w:hAnsi="Times New Roman" w:eastAsia="宋体" w:cs="Times New Roman"/>
                <w:color w:val="auto"/>
                <w:spacing w:val="0"/>
                <w:sz w:val="21"/>
                <w:szCs w:val="21"/>
                <w:lang w:val="en-US" w:eastAsia="zh-CN"/>
              </w:rPr>
              <w:t>GB/T 14675-1993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0" w:type="pct"/>
            <w:vMerge w:val="continue"/>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rPr>
            </w:pPr>
          </w:p>
        </w:tc>
        <w:tc>
          <w:tcPr>
            <w:tcW w:w="1152" w:type="pct"/>
            <w:vMerge w:val="continue"/>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lang w:val="en-US" w:eastAsia="zh-CN"/>
              </w:rPr>
            </w:pPr>
          </w:p>
        </w:tc>
        <w:tc>
          <w:tcPr>
            <w:tcW w:w="3226" w:type="pct"/>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恶臭污染环境监测技术规范 HJ 905-2017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0" w:type="pct"/>
            <w:vMerge w:val="continue"/>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rPr>
            </w:pPr>
          </w:p>
        </w:tc>
        <w:tc>
          <w:tcPr>
            <w:tcW w:w="1152" w:type="pct"/>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非甲烷总烃</w:t>
            </w:r>
          </w:p>
        </w:tc>
        <w:tc>
          <w:tcPr>
            <w:tcW w:w="3226" w:type="pct"/>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固定污染源废气 总烃、甲烷和非甲烷总烃的测定 气相色谱法 HJ 38-2017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0" w:type="pct"/>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噪声</w:t>
            </w:r>
          </w:p>
        </w:tc>
        <w:tc>
          <w:tcPr>
            <w:tcW w:w="1152" w:type="pct"/>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厂界环境噪声</w:t>
            </w:r>
          </w:p>
        </w:tc>
        <w:tc>
          <w:tcPr>
            <w:tcW w:w="3226" w:type="pct"/>
            <w:noWrap w:val="0"/>
            <w:vAlign w:val="center"/>
          </w:tcPr>
          <w:p>
            <w:pPr>
              <w:keepNext w:val="0"/>
              <w:keepLines w:val="0"/>
              <w:pageBreakBefore w:val="0"/>
              <w:kinsoku/>
              <w:wordWrap/>
              <w:overflowPunct/>
              <w:topLinePunct w:val="0"/>
              <w:autoSpaceDE w:val="0"/>
              <w:autoSpaceDN w:val="0"/>
              <w:bidi w:val="0"/>
              <w:adjustRightInd/>
              <w:snapToGrid/>
              <w:spacing w:line="240" w:lineRule="auto"/>
              <w:ind w:firstLine="0"/>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工业企业厂界环境噪声排放标准 GB 12348-2008</w:t>
            </w:r>
          </w:p>
        </w:tc>
      </w:tr>
    </w:tbl>
    <w:p>
      <w:pPr>
        <w:rPr>
          <w:rFonts w:hint="default" w:ascii="Times New Roman" w:hAnsi="Times New Roman" w:eastAsia="宋体" w:cs="Times New Roman"/>
          <w:b/>
          <w:bCs/>
          <w:color w:val="auto"/>
          <w:sz w:val="24"/>
          <w:szCs w:val="22"/>
          <w:highlight w:val="none"/>
          <w:lang w:eastAsia="zh-CN"/>
        </w:rPr>
      </w:pPr>
      <w:r>
        <w:rPr>
          <w:rFonts w:hint="default" w:ascii="Times New Roman" w:hAnsi="Times New Roman" w:eastAsia="宋体" w:cs="Times New Roman"/>
          <w:b/>
          <w:bCs/>
          <w:color w:val="auto"/>
          <w:sz w:val="24"/>
          <w:szCs w:val="22"/>
          <w:highlight w:val="none"/>
          <w:lang w:eastAsia="zh-CN"/>
        </w:rPr>
        <w:br w:type="page"/>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576"/>
        <w:jc w:val="center"/>
        <w:textAlignment w:val="auto"/>
        <w:outlineLvl w:val="9"/>
        <w:rPr>
          <w:rFonts w:hint="default" w:ascii="Times New Roman" w:hAnsi="Times New Roman" w:eastAsia="宋体" w:cs="Times New Roman"/>
          <w:b/>
          <w:bCs/>
          <w:color w:val="auto"/>
          <w:sz w:val="24"/>
          <w:szCs w:val="22"/>
          <w:highlight w:val="none"/>
          <w:lang w:eastAsia="zh-CN"/>
        </w:rPr>
      </w:pPr>
      <w:r>
        <w:rPr>
          <w:rFonts w:hint="default" w:ascii="Times New Roman" w:hAnsi="Times New Roman" w:eastAsia="宋体" w:cs="Times New Roman"/>
          <w:b/>
          <w:bCs/>
          <w:color w:val="auto"/>
          <w:sz w:val="24"/>
          <w:szCs w:val="22"/>
          <w:highlight w:val="none"/>
          <w:lang w:eastAsia="zh-CN"/>
        </w:rPr>
        <w:t>表8-</w:t>
      </w:r>
      <w:r>
        <w:rPr>
          <w:rFonts w:hint="default" w:ascii="Times New Roman" w:hAnsi="Times New Roman" w:eastAsia="宋体" w:cs="Times New Roman"/>
          <w:b/>
          <w:bCs/>
          <w:color w:val="auto"/>
          <w:sz w:val="24"/>
          <w:szCs w:val="22"/>
          <w:highlight w:val="none"/>
          <w:lang w:val="en-US" w:eastAsia="zh-CN"/>
        </w:rPr>
        <w:t xml:space="preserve">2 </w:t>
      </w:r>
      <w:r>
        <w:rPr>
          <w:rFonts w:hint="default" w:ascii="Times New Roman" w:hAnsi="Times New Roman" w:eastAsia="宋体" w:cs="Times New Roman"/>
          <w:b/>
          <w:bCs/>
          <w:color w:val="auto"/>
          <w:sz w:val="24"/>
          <w:szCs w:val="22"/>
          <w:highlight w:val="none"/>
        </w:rPr>
        <w:t xml:space="preserve"> 监测仪器</w:t>
      </w:r>
      <w:r>
        <w:rPr>
          <w:rFonts w:hint="default" w:ascii="Times New Roman" w:hAnsi="Times New Roman" w:eastAsia="宋体" w:cs="Times New Roman"/>
          <w:b/>
          <w:bCs/>
          <w:color w:val="auto"/>
          <w:sz w:val="24"/>
          <w:szCs w:val="22"/>
          <w:highlight w:val="none"/>
          <w:lang w:eastAsia="zh-CN"/>
        </w:rPr>
        <w:t>名称及</w:t>
      </w:r>
      <w:r>
        <w:rPr>
          <w:rFonts w:hint="default" w:ascii="Times New Roman" w:hAnsi="Times New Roman" w:eastAsia="宋体" w:cs="Times New Roman"/>
          <w:b/>
          <w:bCs/>
          <w:color w:val="auto"/>
          <w:sz w:val="24"/>
          <w:szCs w:val="22"/>
          <w:highlight w:val="none"/>
        </w:rPr>
        <w:t>型号</w:t>
      </w:r>
      <w:r>
        <w:rPr>
          <w:rFonts w:hint="default" w:ascii="Times New Roman" w:hAnsi="Times New Roman" w:eastAsia="宋体" w:cs="Times New Roman"/>
          <w:b/>
          <w:bCs/>
          <w:color w:val="auto"/>
          <w:sz w:val="24"/>
          <w:szCs w:val="22"/>
          <w:highlight w:val="none"/>
          <w:lang w:eastAsia="zh-CN"/>
        </w:rPr>
        <w:t>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0"/>
        <w:gridCol w:w="1640"/>
        <w:gridCol w:w="1938"/>
        <w:gridCol w:w="1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8"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仪器名称</w:t>
            </w:r>
          </w:p>
        </w:tc>
        <w:tc>
          <w:tcPr>
            <w:tcW w:w="93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型号</w:t>
            </w:r>
          </w:p>
        </w:tc>
        <w:tc>
          <w:tcPr>
            <w:tcW w:w="110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仪器编号</w:t>
            </w:r>
          </w:p>
        </w:tc>
        <w:tc>
          <w:tcPr>
            <w:tcW w:w="90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检定有效期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8"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便携式pH计</w:t>
            </w:r>
          </w:p>
        </w:tc>
        <w:tc>
          <w:tcPr>
            <w:tcW w:w="93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206-pH1</w:t>
            </w:r>
          </w:p>
        </w:tc>
        <w:tc>
          <w:tcPr>
            <w:tcW w:w="110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JCSB-C-012-12</w:t>
            </w:r>
          </w:p>
        </w:tc>
        <w:tc>
          <w:tcPr>
            <w:tcW w:w="90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2022.08.01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8"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数字滴定器</w:t>
            </w:r>
          </w:p>
        </w:tc>
        <w:tc>
          <w:tcPr>
            <w:tcW w:w="93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brand</w:t>
            </w:r>
          </w:p>
        </w:tc>
        <w:tc>
          <w:tcPr>
            <w:tcW w:w="110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JCSB-C-033-8</w:t>
            </w:r>
          </w:p>
        </w:tc>
        <w:tc>
          <w:tcPr>
            <w:tcW w:w="90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2021.11.23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8"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红外分光测油仪</w:t>
            </w:r>
          </w:p>
        </w:tc>
        <w:tc>
          <w:tcPr>
            <w:tcW w:w="93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OIL 460</w:t>
            </w:r>
          </w:p>
        </w:tc>
        <w:tc>
          <w:tcPr>
            <w:tcW w:w="110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JCSB-C-003-2</w:t>
            </w:r>
          </w:p>
        </w:tc>
        <w:tc>
          <w:tcPr>
            <w:tcW w:w="90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2021.11.05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8"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可见分光光度计</w:t>
            </w:r>
          </w:p>
        </w:tc>
        <w:tc>
          <w:tcPr>
            <w:tcW w:w="93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T6新悦</w:t>
            </w:r>
          </w:p>
        </w:tc>
        <w:tc>
          <w:tcPr>
            <w:tcW w:w="110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JCSB-C-005-3</w:t>
            </w:r>
          </w:p>
        </w:tc>
        <w:tc>
          <w:tcPr>
            <w:tcW w:w="90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2022.01.04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8"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电子天平</w:t>
            </w:r>
          </w:p>
        </w:tc>
        <w:tc>
          <w:tcPr>
            <w:tcW w:w="93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MS204S</w:t>
            </w:r>
          </w:p>
        </w:tc>
        <w:tc>
          <w:tcPr>
            <w:tcW w:w="110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JCSB-C-008-1</w:t>
            </w:r>
          </w:p>
        </w:tc>
        <w:tc>
          <w:tcPr>
            <w:tcW w:w="90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2022.01.04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8"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气象参数仪</w:t>
            </w:r>
          </w:p>
        </w:tc>
        <w:tc>
          <w:tcPr>
            <w:tcW w:w="93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Kestrel5500</w:t>
            </w:r>
          </w:p>
        </w:tc>
        <w:tc>
          <w:tcPr>
            <w:tcW w:w="110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JCSB-F-041-12</w:t>
            </w:r>
          </w:p>
        </w:tc>
        <w:tc>
          <w:tcPr>
            <w:tcW w:w="90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2022.09.28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8"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臭气泵-采样筒</w:t>
            </w:r>
          </w:p>
        </w:tc>
        <w:tc>
          <w:tcPr>
            <w:tcW w:w="93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labtm009</w:t>
            </w:r>
          </w:p>
        </w:tc>
        <w:tc>
          <w:tcPr>
            <w:tcW w:w="110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JCSB-F-071-12</w:t>
            </w:r>
          </w:p>
        </w:tc>
        <w:tc>
          <w:tcPr>
            <w:tcW w:w="90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8"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臭气泵-采样筒</w:t>
            </w:r>
          </w:p>
        </w:tc>
        <w:tc>
          <w:tcPr>
            <w:tcW w:w="93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labtm009</w:t>
            </w:r>
          </w:p>
        </w:tc>
        <w:tc>
          <w:tcPr>
            <w:tcW w:w="110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JCSB-F-071-17</w:t>
            </w:r>
          </w:p>
        </w:tc>
        <w:tc>
          <w:tcPr>
            <w:tcW w:w="90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8"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空气/智能TSP综合采样器</w:t>
            </w:r>
          </w:p>
        </w:tc>
        <w:tc>
          <w:tcPr>
            <w:tcW w:w="93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2050</w:t>
            </w:r>
          </w:p>
        </w:tc>
        <w:tc>
          <w:tcPr>
            <w:tcW w:w="110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JCSB-C-057-17</w:t>
            </w:r>
          </w:p>
        </w:tc>
        <w:tc>
          <w:tcPr>
            <w:tcW w:w="90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2021.12.17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8"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空气/智能TSP综合采样器</w:t>
            </w:r>
          </w:p>
        </w:tc>
        <w:tc>
          <w:tcPr>
            <w:tcW w:w="93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2050</w:t>
            </w:r>
          </w:p>
        </w:tc>
        <w:tc>
          <w:tcPr>
            <w:tcW w:w="110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JCSB-C-057-18</w:t>
            </w:r>
          </w:p>
        </w:tc>
        <w:tc>
          <w:tcPr>
            <w:tcW w:w="90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2021.12.17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8"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空气/智能TSP综合采样器</w:t>
            </w:r>
          </w:p>
        </w:tc>
        <w:tc>
          <w:tcPr>
            <w:tcW w:w="93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2050</w:t>
            </w:r>
          </w:p>
        </w:tc>
        <w:tc>
          <w:tcPr>
            <w:tcW w:w="110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JCSB-C-057-19</w:t>
            </w:r>
          </w:p>
        </w:tc>
        <w:tc>
          <w:tcPr>
            <w:tcW w:w="90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2021.12.17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8"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空气/智能TSP综合采样器</w:t>
            </w:r>
          </w:p>
        </w:tc>
        <w:tc>
          <w:tcPr>
            <w:tcW w:w="93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2050</w:t>
            </w:r>
          </w:p>
        </w:tc>
        <w:tc>
          <w:tcPr>
            <w:tcW w:w="110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JCSB-C-057-20</w:t>
            </w:r>
          </w:p>
        </w:tc>
        <w:tc>
          <w:tcPr>
            <w:tcW w:w="90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2021.12.17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8"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便携式个体采样器</w:t>
            </w:r>
          </w:p>
        </w:tc>
        <w:tc>
          <w:tcPr>
            <w:tcW w:w="93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EM-300</w:t>
            </w:r>
          </w:p>
        </w:tc>
        <w:tc>
          <w:tcPr>
            <w:tcW w:w="110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JCSB-C-073-1</w:t>
            </w:r>
          </w:p>
        </w:tc>
        <w:tc>
          <w:tcPr>
            <w:tcW w:w="90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2021.10.14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8"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便携式个体采样器</w:t>
            </w:r>
          </w:p>
        </w:tc>
        <w:tc>
          <w:tcPr>
            <w:tcW w:w="93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EM-300</w:t>
            </w:r>
          </w:p>
        </w:tc>
        <w:tc>
          <w:tcPr>
            <w:tcW w:w="110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JCSB-C-073-2</w:t>
            </w:r>
          </w:p>
        </w:tc>
        <w:tc>
          <w:tcPr>
            <w:tcW w:w="90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2021.10.14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8"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便携式个体采样器</w:t>
            </w:r>
          </w:p>
        </w:tc>
        <w:tc>
          <w:tcPr>
            <w:tcW w:w="93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EM-300</w:t>
            </w:r>
          </w:p>
        </w:tc>
        <w:tc>
          <w:tcPr>
            <w:tcW w:w="110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JCSB-C-073-3</w:t>
            </w:r>
          </w:p>
        </w:tc>
        <w:tc>
          <w:tcPr>
            <w:tcW w:w="90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2021.12.21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058"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便携式个体采样器</w:t>
            </w:r>
          </w:p>
        </w:tc>
        <w:tc>
          <w:tcPr>
            <w:tcW w:w="93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EM-300</w:t>
            </w:r>
          </w:p>
        </w:tc>
        <w:tc>
          <w:tcPr>
            <w:tcW w:w="110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JCSB-C-073-4</w:t>
            </w:r>
          </w:p>
        </w:tc>
        <w:tc>
          <w:tcPr>
            <w:tcW w:w="90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2021.10.29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8"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电子天平</w:t>
            </w:r>
          </w:p>
        </w:tc>
        <w:tc>
          <w:tcPr>
            <w:tcW w:w="93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AL204</w:t>
            </w:r>
          </w:p>
        </w:tc>
        <w:tc>
          <w:tcPr>
            <w:tcW w:w="110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JCSB-C-008-8</w:t>
            </w:r>
          </w:p>
        </w:tc>
        <w:tc>
          <w:tcPr>
            <w:tcW w:w="90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2022.03.21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8"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气相色谱-质谱联用仪</w:t>
            </w:r>
          </w:p>
        </w:tc>
        <w:tc>
          <w:tcPr>
            <w:tcW w:w="93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7890B-5977B</w:t>
            </w:r>
          </w:p>
        </w:tc>
        <w:tc>
          <w:tcPr>
            <w:tcW w:w="110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JCSB-C-040-4</w:t>
            </w:r>
          </w:p>
        </w:tc>
        <w:tc>
          <w:tcPr>
            <w:tcW w:w="90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2023.08.31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8"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气相色谱仪</w:t>
            </w:r>
          </w:p>
        </w:tc>
        <w:tc>
          <w:tcPr>
            <w:tcW w:w="93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8860</w:t>
            </w:r>
          </w:p>
        </w:tc>
        <w:tc>
          <w:tcPr>
            <w:tcW w:w="110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JCSB-C-032-4</w:t>
            </w:r>
          </w:p>
        </w:tc>
        <w:tc>
          <w:tcPr>
            <w:tcW w:w="90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2021.11.06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8"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大流量低浓度烟尘/气测试仪</w:t>
            </w:r>
          </w:p>
        </w:tc>
        <w:tc>
          <w:tcPr>
            <w:tcW w:w="93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3012HD</w:t>
            </w:r>
          </w:p>
        </w:tc>
        <w:tc>
          <w:tcPr>
            <w:tcW w:w="110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JCSB-C-053-33</w:t>
            </w:r>
          </w:p>
        </w:tc>
        <w:tc>
          <w:tcPr>
            <w:tcW w:w="90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2022.09.21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8"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智能吸附管法VOCs采样仪</w:t>
            </w:r>
          </w:p>
        </w:tc>
        <w:tc>
          <w:tcPr>
            <w:tcW w:w="93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崂应3038B型</w:t>
            </w:r>
          </w:p>
        </w:tc>
        <w:tc>
          <w:tcPr>
            <w:tcW w:w="110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JCSB-C-082-1</w:t>
            </w:r>
          </w:p>
        </w:tc>
        <w:tc>
          <w:tcPr>
            <w:tcW w:w="90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2022.03.16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8"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臭气泵-采样筒</w:t>
            </w:r>
          </w:p>
        </w:tc>
        <w:tc>
          <w:tcPr>
            <w:tcW w:w="93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labtm009</w:t>
            </w:r>
          </w:p>
        </w:tc>
        <w:tc>
          <w:tcPr>
            <w:tcW w:w="110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JCSB-F-071-18</w:t>
            </w:r>
          </w:p>
        </w:tc>
        <w:tc>
          <w:tcPr>
            <w:tcW w:w="90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8"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废气VOCs采样仪</w:t>
            </w:r>
          </w:p>
        </w:tc>
        <w:tc>
          <w:tcPr>
            <w:tcW w:w="93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崂应3036型</w:t>
            </w:r>
          </w:p>
        </w:tc>
        <w:tc>
          <w:tcPr>
            <w:tcW w:w="110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JCSB-F-076-5</w:t>
            </w:r>
          </w:p>
        </w:tc>
        <w:tc>
          <w:tcPr>
            <w:tcW w:w="90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8"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自动烟尘（气）测试仪</w:t>
            </w:r>
          </w:p>
        </w:tc>
        <w:tc>
          <w:tcPr>
            <w:tcW w:w="93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3012H</w:t>
            </w:r>
          </w:p>
        </w:tc>
        <w:tc>
          <w:tcPr>
            <w:tcW w:w="110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JCSB-C-053-23</w:t>
            </w:r>
          </w:p>
        </w:tc>
        <w:tc>
          <w:tcPr>
            <w:tcW w:w="90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2022.03.16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8"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电子天平</w:t>
            </w:r>
          </w:p>
        </w:tc>
        <w:tc>
          <w:tcPr>
            <w:tcW w:w="93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CPA225D</w:t>
            </w:r>
          </w:p>
        </w:tc>
        <w:tc>
          <w:tcPr>
            <w:tcW w:w="110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JCSB-C-008-3</w:t>
            </w:r>
          </w:p>
        </w:tc>
        <w:tc>
          <w:tcPr>
            <w:tcW w:w="90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2022.01.04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8"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多功能声级计</w:t>
            </w:r>
          </w:p>
        </w:tc>
        <w:tc>
          <w:tcPr>
            <w:tcW w:w="93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AWA6228+</w:t>
            </w:r>
          </w:p>
        </w:tc>
        <w:tc>
          <w:tcPr>
            <w:tcW w:w="110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JCSB-C-035-15</w:t>
            </w:r>
          </w:p>
        </w:tc>
        <w:tc>
          <w:tcPr>
            <w:tcW w:w="90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2021.10.20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58"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声校准器</w:t>
            </w:r>
          </w:p>
        </w:tc>
        <w:tc>
          <w:tcPr>
            <w:tcW w:w="93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AWA6221A</w:t>
            </w:r>
          </w:p>
        </w:tc>
        <w:tc>
          <w:tcPr>
            <w:tcW w:w="1105"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JCSB-C-054-2</w:t>
            </w:r>
          </w:p>
        </w:tc>
        <w:tc>
          <w:tcPr>
            <w:tcW w:w="90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2022.03.18</w:t>
            </w:r>
          </w:p>
        </w:tc>
      </w:tr>
    </w:tbl>
    <w:p>
      <w:pPr>
        <w:rPr>
          <w:rFonts w:hint="default" w:ascii="Times New Roman" w:hAnsi="Times New Roman" w:eastAsia="宋体" w:cs="Times New Roman"/>
          <w:color w:val="auto"/>
        </w:rPr>
        <w:sectPr>
          <w:pgSz w:w="11911" w:h="16838"/>
          <w:pgMar w:top="1689" w:right="1678" w:bottom="1463" w:left="1678" w:header="907" w:footer="884" w:gutter="0"/>
          <w:pgBorders>
            <w:top w:val="none" w:sz="0" w:space="0"/>
            <w:left w:val="none" w:sz="0" w:space="0"/>
            <w:bottom w:val="none" w:sz="0" w:space="0"/>
            <w:right w:val="none" w:sz="0" w:space="0"/>
          </w:pgBorders>
          <w:pgNumType w:fmt="decimal"/>
          <w:cols w:space="0" w:num="1"/>
          <w:rtlGutter w:val="0"/>
          <w:docGrid w:type="lines" w:linePitch="0" w:charSpace="0"/>
        </w:sectPr>
      </w:pPr>
    </w:p>
    <w:p>
      <w:pPr>
        <w:pStyle w:val="4"/>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textAlignment w:val="auto"/>
        <w:rPr>
          <w:rFonts w:hint="default" w:ascii="Times New Roman" w:hAnsi="Times New Roman" w:eastAsia="宋体" w:cs="Times New Roman"/>
          <w:color w:val="auto"/>
          <w:sz w:val="28"/>
          <w:szCs w:val="28"/>
          <w:lang w:val="en-US" w:eastAsia="zh-CN"/>
        </w:rPr>
      </w:pPr>
      <w:bookmarkStart w:id="73" w:name="_Toc24440"/>
      <w:r>
        <w:rPr>
          <w:rFonts w:hint="default" w:ascii="Times New Roman" w:hAnsi="Times New Roman" w:eastAsia="宋体" w:cs="Times New Roman"/>
          <w:color w:val="auto"/>
          <w:sz w:val="28"/>
          <w:szCs w:val="28"/>
        </w:rPr>
        <w:t>8.2</w:t>
      </w:r>
      <w:r>
        <w:rPr>
          <w:rFonts w:hint="default" w:ascii="Times New Roman" w:hAnsi="Times New Roman" w:eastAsia="宋体" w:cs="Times New Roman"/>
          <w:color w:val="auto"/>
          <w:sz w:val="28"/>
          <w:szCs w:val="28"/>
          <w:lang w:val="en-US" w:eastAsia="zh-CN"/>
        </w:rPr>
        <w:t xml:space="preserve"> 人员资质</w:t>
      </w:r>
      <w:bookmarkEnd w:id="73"/>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本项目</w:t>
      </w:r>
      <w:r>
        <w:rPr>
          <w:rFonts w:hint="default" w:ascii="Times New Roman" w:hAnsi="Times New Roman" w:eastAsia="宋体" w:cs="Times New Roman"/>
          <w:color w:val="auto"/>
          <w:sz w:val="24"/>
          <w:szCs w:val="24"/>
        </w:rPr>
        <w:t>验收监测人员</w:t>
      </w:r>
      <w:r>
        <w:rPr>
          <w:rFonts w:hint="default" w:ascii="Times New Roman" w:hAnsi="Times New Roman" w:eastAsia="宋体" w:cs="Times New Roman"/>
          <w:color w:val="auto"/>
          <w:sz w:val="24"/>
          <w:szCs w:val="24"/>
          <w:lang w:eastAsia="zh-CN"/>
        </w:rPr>
        <w:t>经过考核合格并持上岗证</w:t>
      </w:r>
      <w:r>
        <w:rPr>
          <w:rFonts w:hint="default" w:ascii="Times New Roman" w:hAnsi="Times New Roman" w:eastAsia="宋体" w:cs="Times New Roman"/>
          <w:color w:val="auto"/>
          <w:sz w:val="24"/>
          <w:szCs w:val="24"/>
        </w:rPr>
        <w:t>。</w:t>
      </w:r>
    </w:p>
    <w:p>
      <w:pPr>
        <w:pStyle w:val="4"/>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0" w:firstLineChars="0"/>
        <w:textAlignment w:val="auto"/>
        <w:rPr>
          <w:rFonts w:hint="default" w:ascii="Times New Roman" w:hAnsi="Times New Roman" w:eastAsia="宋体" w:cs="Times New Roman"/>
          <w:color w:val="auto"/>
          <w:sz w:val="28"/>
          <w:szCs w:val="28"/>
          <w:lang w:val="en-US" w:eastAsia="zh-CN"/>
        </w:rPr>
      </w:pPr>
      <w:bookmarkStart w:id="74" w:name="_Toc29030"/>
      <w:r>
        <w:rPr>
          <w:rFonts w:hint="default" w:ascii="Times New Roman" w:hAnsi="Times New Roman" w:eastAsia="宋体" w:cs="Times New Roman"/>
          <w:color w:val="auto"/>
          <w:sz w:val="28"/>
          <w:szCs w:val="28"/>
          <w:lang w:val="en-US" w:eastAsia="zh-CN"/>
        </w:rPr>
        <w:t>8.3 监测分析过程中的质量保证和质量控制</w:t>
      </w:r>
      <w:bookmarkEnd w:id="74"/>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仪器校准：采样前，在实验室对pH计进行校准，并及时填写记录。烟气测定仪使用前用标准气体检查准确度并进行了校准，仪器示值偏差在合格范围内（±5%）。</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采样前核查：采样前对动力采样器气密性进行了检查测试，检查结果符合要求。现场核查了生产工况、采样点位（位置）和采样器具。</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现场采样：水质采样时根据测定项目选择了相应的采样器具、固定剂、水样容器，采样前先用带采集水样荡洗采样器与水样容器2-3次，然后将适量水根据不同的项目装入相应材质的容器内，并按要求立即加入相应的固定剂，贴好标签。废气采样按照技术规范进行样品采集工作，现场测定气压、温度、流量等参数，使用滤筒、滤膜、采样管、吸收瓶等采集的样品做好密闭和唯一性标识，并按要求保存。</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质控样品：每批水质样品除pH等特殊项目外，其余项目均加一个现场全程序空白样，随同样品一起测定，同时每批水质样品采集不少于10%的现场平行样。</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现场记录：现场填写采样记录，记录内容包括感官（颜色、气味、浮油）pH、气象参数等现场测定参数。</w:t>
      </w:r>
    </w:p>
    <w:p>
      <w:pPr>
        <w:pStyle w:val="2"/>
        <w:rPr>
          <w:rFonts w:hint="default" w:ascii="Times New Roman" w:hAnsi="Times New Roman" w:eastAsia="宋体" w:cs="Times New Roman"/>
          <w:color w:val="auto"/>
        </w:rPr>
      </w:pPr>
    </w:p>
    <w:p>
      <w:pPr>
        <w:pStyle w:val="3"/>
        <w:keepNext w:val="0"/>
        <w:keepLines w:val="0"/>
        <w:pageBreakBefore w:val="0"/>
        <w:widowControl w:val="0"/>
        <w:kinsoku/>
        <w:wordWrap/>
        <w:overflowPunct/>
        <w:topLinePunct w:val="0"/>
        <w:autoSpaceDE w:val="0"/>
        <w:autoSpaceDN w:val="0"/>
        <w:bidi w:val="0"/>
        <w:adjustRightInd/>
        <w:snapToGrid/>
        <w:spacing w:before="157" w:beforeLines="50" w:after="0" w:line="360" w:lineRule="auto"/>
        <w:ind w:left="0" w:leftChars="0" w:right="0" w:rightChars="0" w:firstLine="0" w:firstLineChars="0"/>
        <w:jc w:val="left"/>
        <w:textAlignment w:val="auto"/>
        <w:outlineLvl w:val="0"/>
        <w:rPr>
          <w:rFonts w:hint="default" w:ascii="Times New Roman" w:hAnsi="Times New Roman" w:eastAsia="宋体" w:cs="Times New Roman"/>
          <w:color w:val="auto"/>
          <w:sz w:val="28"/>
          <w:szCs w:val="28"/>
        </w:rPr>
        <w:sectPr>
          <w:pgSz w:w="11911" w:h="16838"/>
          <w:pgMar w:top="1463" w:right="1678" w:bottom="1463" w:left="1678" w:header="907" w:footer="884" w:gutter="0"/>
          <w:pgBorders>
            <w:top w:val="none" w:sz="0" w:space="0"/>
            <w:left w:val="none" w:sz="0" w:space="0"/>
            <w:bottom w:val="none" w:sz="0" w:space="0"/>
            <w:right w:val="none" w:sz="0" w:space="0"/>
          </w:pgBorders>
          <w:pgNumType w:fmt="decimal"/>
          <w:cols w:space="0" w:num="1"/>
          <w:rtlGutter w:val="0"/>
          <w:docGrid w:type="lines" w:linePitch="0" w:charSpace="0"/>
        </w:sectPr>
      </w:pPr>
      <w:bookmarkStart w:id="75" w:name="_Toc27732"/>
      <w:bookmarkStart w:id="76" w:name="_Toc9987"/>
      <w:bookmarkStart w:id="77" w:name="_Toc9377"/>
    </w:p>
    <w:p>
      <w:pPr>
        <w:pStyle w:val="3"/>
        <w:keepNext w:val="0"/>
        <w:keepLines w:val="0"/>
        <w:pageBreakBefore w:val="0"/>
        <w:widowControl w:val="0"/>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eastAsia="宋体" w:cs="Times New Roman"/>
          <w:color w:val="auto"/>
          <w:sz w:val="28"/>
          <w:szCs w:val="28"/>
          <w:highlight w:val="none"/>
        </w:rPr>
      </w:pPr>
      <w:bookmarkStart w:id="78" w:name="_Toc5211"/>
      <w:r>
        <w:rPr>
          <w:rFonts w:hint="default" w:ascii="Times New Roman" w:hAnsi="Times New Roman" w:eastAsia="宋体" w:cs="Times New Roman"/>
          <w:color w:val="auto"/>
          <w:sz w:val="28"/>
          <w:szCs w:val="28"/>
        </w:rPr>
        <w:t>9、</w:t>
      </w:r>
      <w:r>
        <w:rPr>
          <w:rFonts w:hint="default" w:ascii="Times New Roman" w:hAnsi="Times New Roman" w:eastAsia="宋体" w:cs="Times New Roman"/>
          <w:color w:val="auto"/>
          <w:sz w:val="28"/>
          <w:szCs w:val="28"/>
          <w:highlight w:val="none"/>
        </w:rPr>
        <w:t>验收监测工况及要求</w:t>
      </w:r>
      <w:bookmarkEnd w:id="75"/>
      <w:bookmarkEnd w:id="76"/>
      <w:bookmarkEnd w:id="77"/>
      <w:bookmarkEnd w:id="7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rPr>
      </w:pPr>
      <w:bookmarkStart w:id="79" w:name="_Toc346454157"/>
      <w:bookmarkStart w:id="80" w:name="_Toc30574"/>
      <w:bookmarkStart w:id="81" w:name="_Toc15826"/>
      <w:bookmarkStart w:id="82" w:name="_Toc9340"/>
      <w:r>
        <w:rPr>
          <w:rFonts w:hint="default" w:ascii="Times New Roman" w:hAnsi="Times New Roman" w:eastAsia="宋体" w:cs="Times New Roman"/>
          <w:color w:val="auto"/>
          <w:sz w:val="24"/>
          <w:szCs w:val="24"/>
        </w:rPr>
        <w:t>验收监测期间公司生产正常，</w:t>
      </w:r>
      <w:r>
        <w:rPr>
          <w:rFonts w:hint="default" w:ascii="Times New Roman" w:hAnsi="Times New Roman" w:eastAsia="宋体" w:cs="Times New Roman"/>
          <w:color w:val="auto"/>
          <w:sz w:val="24"/>
          <w:szCs w:val="24"/>
          <w:lang w:eastAsia="zh-CN"/>
        </w:rPr>
        <w:t>本次扩建项目相关设备正产生产，</w:t>
      </w:r>
      <w:r>
        <w:rPr>
          <w:rFonts w:hint="default" w:ascii="Times New Roman" w:hAnsi="Times New Roman" w:eastAsia="宋体" w:cs="Times New Roman"/>
          <w:color w:val="auto"/>
          <w:sz w:val="24"/>
          <w:szCs w:val="24"/>
        </w:rPr>
        <w:t>各项环保治理设施均运转正常。</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w:t>
      </w:r>
      <w:r>
        <w:rPr>
          <w:rFonts w:hint="default" w:ascii="Times New Roman" w:hAnsi="Times New Roman" w:eastAsia="宋体" w:cs="Times New Roman"/>
          <w:b/>
          <w:color w:val="auto"/>
          <w:sz w:val="24"/>
          <w:szCs w:val="24"/>
          <w:highlight w:val="none"/>
          <w:lang w:val="en-US" w:eastAsia="zh-CN"/>
        </w:rPr>
        <w:t xml:space="preserve">9-1  </w:t>
      </w:r>
      <w:r>
        <w:rPr>
          <w:rFonts w:hint="default" w:ascii="Times New Roman" w:hAnsi="Times New Roman" w:eastAsia="宋体" w:cs="Times New Roman"/>
          <w:b/>
          <w:color w:val="auto"/>
          <w:sz w:val="24"/>
          <w:szCs w:val="24"/>
          <w:highlight w:val="none"/>
        </w:rPr>
        <w:t>本项目主体工程及产品方案</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21"/>
        <w:gridCol w:w="1882"/>
        <w:gridCol w:w="2890"/>
        <w:gridCol w:w="2192"/>
        <w:gridCol w:w="1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03" w:type="pct"/>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093" w:type="pct"/>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工程名称</w:t>
            </w:r>
          </w:p>
          <w:p>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（车间或生产线）</w:t>
            </w:r>
          </w:p>
        </w:tc>
        <w:tc>
          <w:tcPr>
            <w:tcW w:w="1677" w:type="pct"/>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产品名称</w:t>
            </w:r>
          </w:p>
        </w:tc>
        <w:tc>
          <w:tcPr>
            <w:tcW w:w="1273" w:type="pct"/>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设计生产能力</w:t>
            </w:r>
          </w:p>
          <w:p>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（吨/年）</w:t>
            </w:r>
          </w:p>
        </w:tc>
        <w:tc>
          <w:tcPr>
            <w:tcW w:w="651" w:type="pct"/>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年运行时数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03"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093" w:type="pct"/>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甲类生产装置</w:t>
            </w:r>
          </w:p>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（1套）</w:t>
            </w:r>
          </w:p>
        </w:tc>
        <w:tc>
          <w:tcPr>
            <w:tcW w:w="167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月桂酸异</w:t>
            </w:r>
            <w:bookmarkStart w:id="121" w:name="_GoBack"/>
            <w:bookmarkEnd w:id="121"/>
            <w:r>
              <w:rPr>
                <w:rFonts w:hint="default" w:ascii="Times New Roman" w:hAnsi="Times New Roman" w:eastAsia="宋体" w:cs="Times New Roman"/>
                <w:color w:val="auto"/>
                <w:sz w:val="21"/>
                <w:szCs w:val="21"/>
                <w:highlight w:val="none"/>
              </w:rPr>
              <w:t>丙酯</w:t>
            </w:r>
          </w:p>
        </w:tc>
        <w:tc>
          <w:tcPr>
            <w:tcW w:w="1273"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2700</w:t>
            </w:r>
          </w:p>
        </w:tc>
        <w:tc>
          <w:tcPr>
            <w:tcW w:w="651" w:type="pct"/>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03"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093"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67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肉豆蔻酸异丙酯</w:t>
            </w:r>
          </w:p>
        </w:tc>
        <w:tc>
          <w:tcPr>
            <w:tcW w:w="1273"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2300</w:t>
            </w:r>
          </w:p>
        </w:tc>
        <w:tc>
          <w:tcPr>
            <w:tcW w:w="651"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03"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093"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67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棕榈酸异丙酯</w:t>
            </w:r>
          </w:p>
        </w:tc>
        <w:tc>
          <w:tcPr>
            <w:tcW w:w="1273"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400</w:t>
            </w:r>
          </w:p>
        </w:tc>
        <w:tc>
          <w:tcPr>
            <w:tcW w:w="651"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03"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093"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67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棕榈酸异辛酯</w:t>
            </w:r>
          </w:p>
        </w:tc>
        <w:tc>
          <w:tcPr>
            <w:tcW w:w="1273"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1600</w:t>
            </w:r>
          </w:p>
        </w:tc>
        <w:tc>
          <w:tcPr>
            <w:tcW w:w="651" w:type="pct"/>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27</w:t>
            </w:r>
            <w:r>
              <w:rPr>
                <w:rFonts w:hint="default" w:ascii="Times New Roman" w:hAnsi="Times New Roman" w:eastAsia="宋体" w:cs="Times New Roman"/>
                <w:color w:val="auto"/>
                <w:sz w:val="21"/>
                <w:szCs w:val="21"/>
                <w:highlight w:val="none"/>
              </w:rPr>
              <w:t>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03"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093"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67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油酸异辛酯</w:t>
            </w:r>
          </w:p>
        </w:tc>
        <w:tc>
          <w:tcPr>
            <w:tcW w:w="1273"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600</w:t>
            </w:r>
          </w:p>
        </w:tc>
        <w:tc>
          <w:tcPr>
            <w:tcW w:w="651"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03"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1093"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67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硬脂酸异辛酯</w:t>
            </w:r>
          </w:p>
        </w:tc>
        <w:tc>
          <w:tcPr>
            <w:tcW w:w="1273"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400</w:t>
            </w:r>
          </w:p>
        </w:tc>
        <w:tc>
          <w:tcPr>
            <w:tcW w:w="651"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03"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093"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67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三羟甲基丙烷三油酸酯</w:t>
            </w:r>
          </w:p>
        </w:tc>
        <w:tc>
          <w:tcPr>
            <w:tcW w:w="1273"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3500</w:t>
            </w:r>
          </w:p>
        </w:tc>
        <w:tc>
          <w:tcPr>
            <w:tcW w:w="651"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03"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093"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67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三羟甲基丙烷三椰油酸酯</w:t>
            </w:r>
          </w:p>
        </w:tc>
        <w:tc>
          <w:tcPr>
            <w:tcW w:w="1273"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800</w:t>
            </w:r>
          </w:p>
        </w:tc>
        <w:tc>
          <w:tcPr>
            <w:tcW w:w="651"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03"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1093"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677"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三羟甲基丙烷辛葵酸酯</w:t>
            </w:r>
          </w:p>
        </w:tc>
        <w:tc>
          <w:tcPr>
            <w:tcW w:w="1273"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651" w:type="pct"/>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074" w:type="pct"/>
            <w:gridSpan w:val="3"/>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1925" w:type="pct"/>
            <w:gridSpan w:val="2"/>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脂肪酸酯产品</w:t>
            </w:r>
            <w:r>
              <w:rPr>
                <w:rFonts w:hint="default" w:ascii="Times New Roman" w:hAnsi="Times New Roman" w:eastAsia="宋体" w:cs="Times New Roman"/>
                <w:color w:val="auto"/>
                <w:sz w:val="21"/>
                <w:szCs w:val="21"/>
                <w:lang w:val="en-US" w:eastAsia="zh-CN"/>
              </w:rPr>
              <w:t>12500</w:t>
            </w:r>
            <w:r>
              <w:rPr>
                <w:rFonts w:hint="default" w:ascii="Times New Roman" w:hAnsi="Times New Roman" w:eastAsia="宋体" w:cs="Times New Roman"/>
                <w:color w:val="auto"/>
                <w:sz w:val="21"/>
                <w:szCs w:val="21"/>
              </w:rPr>
              <w:t>吨</w: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default" w:ascii="Times New Roman" w:hAnsi="Times New Roman" w:eastAsia="宋体" w:cs="Times New Roman"/>
          <w:b/>
          <w:color w:val="auto"/>
          <w:sz w:val="24"/>
          <w:szCs w:val="24"/>
          <w:lang w:val="en-US" w:eastAsia="zh-CN"/>
        </w:rPr>
        <w:t xml:space="preserve">9-2  </w:t>
      </w:r>
      <w:r>
        <w:rPr>
          <w:rFonts w:hint="default" w:ascii="Times New Roman" w:hAnsi="Times New Roman" w:eastAsia="宋体" w:cs="Times New Roman"/>
          <w:b/>
          <w:color w:val="auto"/>
          <w:sz w:val="24"/>
          <w:szCs w:val="24"/>
        </w:rPr>
        <w:t>验收监测期间本项目生产情况</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5"/>
        <w:gridCol w:w="1745"/>
        <w:gridCol w:w="1133"/>
        <w:gridCol w:w="1347"/>
        <w:gridCol w:w="1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565" w:type="pct"/>
            <w:shd w:val="clear" w:color="auto" w:fill="auto"/>
            <w:vAlign w:val="center"/>
          </w:tcPr>
          <w:p>
            <w:pPr>
              <w:pageBreakBefore w:val="0"/>
              <w:widowControl/>
              <w:kinsoku/>
              <w:wordWrap/>
              <w:topLinePunct w:val="0"/>
              <w:bidi w:val="0"/>
              <w:spacing w:line="240" w:lineRule="auto"/>
              <w:jc w:val="center"/>
              <w:textAlignment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产品名称</w:t>
            </w:r>
          </w:p>
        </w:tc>
        <w:tc>
          <w:tcPr>
            <w:tcW w:w="995" w:type="pct"/>
            <w:vAlign w:val="center"/>
          </w:tcPr>
          <w:p>
            <w:pPr>
              <w:pageBreakBefore w:val="0"/>
              <w:widowControl/>
              <w:kinsoku/>
              <w:wordWrap/>
              <w:topLinePunct w:val="0"/>
              <w:bidi w:val="0"/>
              <w:spacing w:line="240" w:lineRule="auto"/>
              <w:jc w:val="center"/>
              <w:textAlignment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监测日期</w:t>
            </w:r>
          </w:p>
        </w:tc>
        <w:tc>
          <w:tcPr>
            <w:tcW w:w="646" w:type="pct"/>
            <w:shd w:val="clear" w:color="auto" w:fill="auto"/>
            <w:vAlign w:val="center"/>
          </w:tcPr>
          <w:p>
            <w:pPr>
              <w:pageBreakBefore w:val="0"/>
              <w:widowControl/>
              <w:kinsoku/>
              <w:wordWrap/>
              <w:topLinePunct w:val="0"/>
              <w:bidi w:val="0"/>
              <w:spacing w:line="240" w:lineRule="auto"/>
              <w:jc w:val="center"/>
              <w:textAlignment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设计产量</w:t>
            </w:r>
          </w:p>
          <w:p>
            <w:pPr>
              <w:pageBreakBefore w:val="0"/>
              <w:widowControl/>
              <w:kinsoku/>
              <w:wordWrap/>
              <w:topLinePunct w:val="0"/>
              <w:bidi w:val="0"/>
              <w:spacing w:line="240" w:lineRule="auto"/>
              <w:jc w:val="center"/>
              <w:textAlignment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（吨/年）</w:t>
            </w:r>
          </w:p>
        </w:tc>
        <w:tc>
          <w:tcPr>
            <w:tcW w:w="768" w:type="pct"/>
            <w:shd w:val="clear" w:color="auto" w:fill="auto"/>
            <w:vAlign w:val="center"/>
          </w:tcPr>
          <w:p>
            <w:pPr>
              <w:pageBreakBefore w:val="0"/>
              <w:widowControl/>
              <w:kinsoku/>
              <w:wordWrap/>
              <w:topLinePunct w:val="0"/>
              <w:bidi w:val="0"/>
              <w:spacing w:line="240" w:lineRule="auto"/>
              <w:jc w:val="center"/>
              <w:textAlignment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实际产量</w:t>
            </w:r>
          </w:p>
          <w:p>
            <w:pPr>
              <w:pageBreakBefore w:val="0"/>
              <w:widowControl/>
              <w:kinsoku/>
              <w:wordWrap/>
              <w:topLinePunct w:val="0"/>
              <w:bidi w:val="0"/>
              <w:spacing w:line="240" w:lineRule="auto"/>
              <w:jc w:val="center"/>
              <w:textAlignment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（吨/天）</w:t>
            </w:r>
          </w:p>
        </w:tc>
        <w:tc>
          <w:tcPr>
            <w:tcW w:w="1024" w:type="pct"/>
            <w:shd w:val="clear" w:color="auto" w:fill="auto"/>
            <w:vAlign w:val="center"/>
          </w:tcPr>
          <w:p>
            <w:pPr>
              <w:pageBreakBefore w:val="0"/>
              <w:widowControl/>
              <w:kinsoku/>
              <w:wordWrap/>
              <w:topLinePunct w:val="0"/>
              <w:bidi w:val="0"/>
              <w:spacing w:line="240" w:lineRule="auto"/>
              <w:jc w:val="center"/>
              <w:textAlignment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生产负荷（</w:t>
            </w:r>
            <w:r>
              <w:rPr>
                <w:rFonts w:hint="default" w:ascii="Times New Roman" w:hAnsi="Times New Roman" w:eastAsia="宋体"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5" w:type="pct"/>
            <w:vMerge w:val="restart"/>
            <w:shd w:val="clear" w:color="auto" w:fill="auto"/>
            <w:vAlign w:val="center"/>
          </w:tcPr>
          <w:p>
            <w:pPr>
              <w:pageBreakBefore w:val="0"/>
              <w:kinsoku/>
              <w:wordWrap/>
              <w:topLinePunct w:val="0"/>
              <w:bidi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异丙醇系列脂肪酸酯产品</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月桂酸异丙酯</w:t>
            </w:r>
            <w:r>
              <w:rPr>
                <w:rFonts w:hint="default" w:ascii="Times New Roman" w:hAnsi="Times New Roman" w:eastAsia="宋体" w:cs="Times New Roman"/>
                <w:color w:val="auto"/>
                <w:sz w:val="21"/>
                <w:szCs w:val="21"/>
                <w:highlight w:val="none"/>
                <w:lang w:eastAsia="zh-CN"/>
              </w:rPr>
              <w:t>）</w:t>
            </w:r>
          </w:p>
        </w:tc>
        <w:tc>
          <w:tcPr>
            <w:tcW w:w="995" w:type="pct"/>
            <w:vAlign w:val="center"/>
          </w:tcPr>
          <w:p>
            <w:pPr>
              <w:pageBreakBefore w:val="0"/>
              <w:widowControl/>
              <w:kinsoku/>
              <w:wordWrap/>
              <w:topLinePunct w:val="0"/>
              <w:bidi w:val="0"/>
              <w:spacing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2021年</w:t>
            </w:r>
            <w:r>
              <w:rPr>
                <w:rFonts w:hint="default"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lang w:eastAsia="zh-CN"/>
              </w:rPr>
              <w:t>月</w:t>
            </w:r>
            <w:r>
              <w:rPr>
                <w:rFonts w:hint="default" w:ascii="Times New Roman" w:hAnsi="Times New Roman" w:eastAsia="宋体" w:cs="Times New Roman"/>
                <w:color w:val="auto"/>
                <w:sz w:val="21"/>
                <w:szCs w:val="21"/>
                <w:lang w:val="en-US" w:eastAsia="zh-CN"/>
              </w:rPr>
              <w:t>21</w:t>
            </w:r>
            <w:r>
              <w:rPr>
                <w:rFonts w:hint="default" w:ascii="Times New Roman" w:hAnsi="Times New Roman" w:eastAsia="宋体" w:cs="Times New Roman"/>
                <w:color w:val="auto"/>
                <w:sz w:val="21"/>
                <w:szCs w:val="21"/>
                <w:lang w:eastAsia="zh-CN"/>
              </w:rPr>
              <w:t>日</w:t>
            </w:r>
          </w:p>
        </w:tc>
        <w:tc>
          <w:tcPr>
            <w:tcW w:w="646" w:type="pct"/>
            <w:vMerge w:val="restart"/>
            <w:shd w:val="clear" w:color="auto" w:fill="auto"/>
            <w:vAlign w:val="center"/>
          </w:tcPr>
          <w:p>
            <w:pPr>
              <w:pageBreakBefore w:val="0"/>
              <w:widowControl/>
              <w:kinsoku/>
              <w:wordWrap/>
              <w:topLinePunct w:val="0"/>
              <w:bidi w:val="0"/>
              <w:spacing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2700</w:t>
            </w:r>
          </w:p>
        </w:tc>
        <w:tc>
          <w:tcPr>
            <w:tcW w:w="768" w:type="pct"/>
            <w:shd w:val="clear" w:color="auto" w:fill="auto"/>
            <w:vAlign w:val="center"/>
          </w:tcPr>
          <w:p>
            <w:pPr>
              <w:pageBreakBefore w:val="0"/>
              <w:widowControl/>
              <w:kinsoku/>
              <w:wordWrap/>
              <w:topLinePunct w:val="0"/>
              <w:bidi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w:t>
            </w:r>
          </w:p>
        </w:tc>
        <w:tc>
          <w:tcPr>
            <w:tcW w:w="1024" w:type="pct"/>
            <w:shd w:val="clear" w:color="auto" w:fill="auto"/>
            <w:vAlign w:val="center"/>
          </w:tcPr>
          <w:p>
            <w:pPr>
              <w:pageBreakBefore w:val="0"/>
              <w:widowControl/>
              <w:kinsoku/>
              <w:wordWrap/>
              <w:topLinePunct w:val="0"/>
              <w:bidi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5" w:type="pct"/>
            <w:vMerge w:val="continue"/>
            <w:shd w:val="clear" w:color="auto" w:fill="auto"/>
            <w:vAlign w:val="center"/>
          </w:tcPr>
          <w:p>
            <w:pPr>
              <w:pageBreakBefore w:val="0"/>
              <w:kinsoku/>
              <w:wordWrap/>
              <w:topLinePunct w:val="0"/>
              <w:bidi w:val="0"/>
              <w:snapToGrid w:val="0"/>
              <w:spacing w:line="240" w:lineRule="auto"/>
              <w:jc w:val="center"/>
              <w:rPr>
                <w:rFonts w:hint="default" w:ascii="Times New Roman" w:hAnsi="Times New Roman" w:eastAsia="宋体" w:cs="Times New Roman"/>
                <w:color w:val="auto"/>
                <w:sz w:val="21"/>
                <w:szCs w:val="21"/>
                <w:lang w:eastAsia="zh-CN"/>
              </w:rPr>
            </w:pPr>
          </w:p>
        </w:tc>
        <w:tc>
          <w:tcPr>
            <w:tcW w:w="995" w:type="pct"/>
            <w:vAlign w:val="center"/>
          </w:tcPr>
          <w:p>
            <w:pPr>
              <w:pageBreakBefore w:val="0"/>
              <w:widowControl/>
              <w:kinsoku/>
              <w:wordWrap/>
              <w:topLinePunct w:val="0"/>
              <w:bidi w:val="0"/>
              <w:spacing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2021年</w:t>
            </w:r>
            <w:r>
              <w:rPr>
                <w:rFonts w:hint="default"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lang w:eastAsia="zh-CN"/>
              </w:rPr>
              <w:t>月2</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eastAsia="zh-CN"/>
              </w:rPr>
              <w:t>日</w:t>
            </w:r>
          </w:p>
        </w:tc>
        <w:tc>
          <w:tcPr>
            <w:tcW w:w="646" w:type="pct"/>
            <w:vMerge w:val="continue"/>
            <w:shd w:val="clear" w:color="auto" w:fill="auto"/>
            <w:vAlign w:val="center"/>
          </w:tcPr>
          <w:p>
            <w:pPr>
              <w:pageBreakBefore w:val="0"/>
              <w:widowControl/>
              <w:kinsoku/>
              <w:wordWrap/>
              <w:topLinePunct w:val="0"/>
              <w:bidi w:val="0"/>
              <w:spacing w:line="240" w:lineRule="auto"/>
              <w:jc w:val="center"/>
              <w:textAlignment w:val="center"/>
              <w:rPr>
                <w:rFonts w:hint="default" w:ascii="Times New Roman" w:hAnsi="Times New Roman" w:eastAsia="宋体" w:cs="Times New Roman"/>
                <w:color w:val="auto"/>
                <w:sz w:val="21"/>
                <w:szCs w:val="21"/>
                <w:lang w:eastAsia="zh-CN"/>
              </w:rPr>
            </w:pPr>
          </w:p>
        </w:tc>
        <w:tc>
          <w:tcPr>
            <w:tcW w:w="768" w:type="pct"/>
            <w:shd w:val="clear" w:color="auto" w:fill="auto"/>
            <w:vAlign w:val="center"/>
          </w:tcPr>
          <w:p>
            <w:pPr>
              <w:pageBreakBefore w:val="0"/>
              <w:widowControl/>
              <w:kinsoku/>
              <w:wordWrap/>
              <w:topLinePunct w:val="0"/>
              <w:bidi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w:t>
            </w:r>
          </w:p>
        </w:tc>
        <w:tc>
          <w:tcPr>
            <w:tcW w:w="1024" w:type="pct"/>
            <w:shd w:val="clear" w:color="auto" w:fill="auto"/>
            <w:vAlign w:val="center"/>
          </w:tcPr>
          <w:p>
            <w:pPr>
              <w:pageBreakBefore w:val="0"/>
              <w:widowControl/>
              <w:kinsoku/>
              <w:wordWrap/>
              <w:topLinePunct w:val="0"/>
              <w:bidi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5" w:type="pct"/>
            <w:vMerge w:val="restart"/>
            <w:shd w:val="clear" w:color="auto" w:fill="auto"/>
            <w:vAlign w:val="center"/>
          </w:tcPr>
          <w:p>
            <w:pPr>
              <w:pageBreakBefore w:val="0"/>
              <w:kinsoku/>
              <w:wordWrap/>
              <w:topLinePunct w:val="0"/>
              <w:bidi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异辛醇系列脂肪酸酯产品</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棕榈酸异辛酯</w:t>
            </w:r>
            <w:r>
              <w:rPr>
                <w:rFonts w:hint="default" w:ascii="Times New Roman" w:hAnsi="Times New Roman" w:eastAsia="宋体" w:cs="Times New Roman"/>
                <w:color w:val="auto"/>
                <w:sz w:val="21"/>
                <w:szCs w:val="21"/>
                <w:highlight w:val="none"/>
                <w:lang w:eastAsia="zh-CN"/>
              </w:rPr>
              <w:t>）</w:t>
            </w:r>
          </w:p>
        </w:tc>
        <w:tc>
          <w:tcPr>
            <w:tcW w:w="995" w:type="pct"/>
            <w:vAlign w:val="center"/>
          </w:tcPr>
          <w:p>
            <w:pPr>
              <w:pageBreakBefore w:val="0"/>
              <w:widowControl/>
              <w:kinsoku/>
              <w:wordWrap/>
              <w:topLinePunct w:val="0"/>
              <w:bidi w:val="0"/>
              <w:spacing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2021年</w:t>
            </w:r>
            <w:r>
              <w:rPr>
                <w:rFonts w:hint="default"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lang w:eastAsia="zh-CN"/>
              </w:rPr>
              <w:t>月</w:t>
            </w:r>
            <w:r>
              <w:rPr>
                <w:rFonts w:hint="default" w:ascii="Times New Roman" w:hAnsi="Times New Roman" w:eastAsia="宋体" w:cs="Times New Roman"/>
                <w:color w:val="auto"/>
                <w:sz w:val="21"/>
                <w:szCs w:val="21"/>
                <w:lang w:val="en-US" w:eastAsia="zh-CN"/>
              </w:rPr>
              <w:t>28</w:t>
            </w:r>
            <w:r>
              <w:rPr>
                <w:rFonts w:hint="default" w:ascii="Times New Roman" w:hAnsi="Times New Roman" w:eastAsia="宋体" w:cs="Times New Roman"/>
                <w:color w:val="auto"/>
                <w:sz w:val="21"/>
                <w:szCs w:val="21"/>
                <w:lang w:eastAsia="zh-CN"/>
              </w:rPr>
              <w:t>日</w:t>
            </w:r>
          </w:p>
        </w:tc>
        <w:tc>
          <w:tcPr>
            <w:tcW w:w="646" w:type="pct"/>
            <w:vMerge w:val="restart"/>
            <w:shd w:val="clear" w:color="auto" w:fill="auto"/>
            <w:vAlign w:val="center"/>
          </w:tcPr>
          <w:p>
            <w:pPr>
              <w:pageBreakBefore w:val="0"/>
              <w:widowControl/>
              <w:kinsoku/>
              <w:wordWrap/>
              <w:topLinePunct w:val="0"/>
              <w:bidi w:val="0"/>
              <w:spacing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1600</w:t>
            </w:r>
          </w:p>
        </w:tc>
        <w:tc>
          <w:tcPr>
            <w:tcW w:w="768" w:type="pct"/>
            <w:shd w:val="clear" w:color="auto" w:fill="auto"/>
            <w:vAlign w:val="center"/>
          </w:tcPr>
          <w:p>
            <w:pPr>
              <w:pageBreakBefore w:val="0"/>
              <w:widowControl/>
              <w:kinsoku/>
              <w:wordWrap/>
              <w:topLinePunct w:val="0"/>
              <w:bidi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1024" w:type="pct"/>
            <w:shd w:val="clear" w:color="auto" w:fill="auto"/>
            <w:vAlign w:val="center"/>
          </w:tcPr>
          <w:p>
            <w:pPr>
              <w:pageBreakBefore w:val="0"/>
              <w:widowControl/>
              <w:kinsoku/>
              <w:wordWrap/>
              <w:topLinePunct w:val="0"/>
              <w:bidi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5" w:type="pct"/>
            <w:vMerge w:val="continue"/>
            <w:shd w:val="clear" w:color="auto" w:fill="auto"/>
            <w:vAlign w:val="center"/>
          </w:tcPr>
          <w:p>
            <w:pPr>
              <w:pageBreakBefore w:val="0"/>
              <w:kinsoku/>
              <w:wordWrap/>
              <w:topLinePunct w:val="0"/>
              <w:bidi w:val="0"/>
              <w:snapToGrid w:val="0"/>
              <w:spacing w:line="240" w:lineRule="auto"/>
              <w:jc w:val="center"/>
              <w:rPr>
                <w:rFonts w:hint="default" w:ascii="Times New Roman" w:hAnsi="Times New Roman" w:eastAsia="宋体" w:cs="Times New Roman"/>
                <w:color w:val="auto"/>
                <w:sz w:val="21"/>
                <w:szCs w:val="21"/>
                <w:lang w:eastAsia="zh-CN"/>
              </w:rPr>
            </w:pPr>
          </w:p>
        </w:tc>
        <w:tc>
          <w:tcPr>
            <w:tcW w:w="995" w:type="pct"/>
            <w:vAlign w:val="center"/>
          </w:tcPr>
          <w:p>
            <w:pPr>
              <w:pageBreakBefore w:val="0"/>
              <w:widowControl/>
              <w:kinsoku/>
              <w:wordWrap/>
              <w:topLinePunct w:val="0"/>
              <w:bidi w:val="0"/>
              <w:spacing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2021年</w:t>
            </w:r>
            <w:r>
              <w:rPr>
                <w:rFonts w:hint="default"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lang w:eastAsia="zh-CN"/>
              </w:rPr>
              <w:t>月</w:t>
            </w:r>
            <w:r>
              <w:rPr>
                <w:rFonts w:hint="default" w:ascii="Times New Roman" w:hAnsi="Times New Roman" w:eastAsia="宋体" w:cs="Times New Roman"/>
                <w:color w:val="auto"/>
                <w:sz w:val="21"/>
                <w:szCs w:val="21"/>
                <w:lang w:val="en-US" w:eastAsia="zh-CN"/>
              </w:rPr>
              <w:t>29</w:t>
            </w:r>
            <w:r>
              <w:rPr>
                <w:rFonts w:hint="default" w:ascii="Times New Roman" w:hAnsi="Times New Roman" w:eastAsia="宋体" w:cs="Times New Roman"/>
                <w:color w:val="auto"/>
                <w:sz w:val="21"/>
                <w:szCs w:val="21"/>
                <w:lang w:eastAsia="zh-CN"/>
              </w:rPr>
              <w:t>日</w:t>
            </w:r>
          </w:p>
        </w:tc>
        <w:tc>
          <w:tcPr>
            <w:tcW w:w="646" w:type="pct"/>
            <w:vMerge w:val="continue"/>
            <w:shd w:val="clear" w:color="auto" w:fill="auto"/>
            <w:vAlign w:val="center"/>
          </w:tcPr>
          <w:p>
            <w:pPr>
              <w:pageBreakBefore w:val="0"/>
              <w:widowControl/>
              <w:kinsoku/>
              <w:wordWrap/>
              <w:topLinePunct w:val="0"/>
              <w:bidi w:val="0"/>
              <w:spacing w:line="240" w:lineRule="auto"/>
              <w:jc w:val="center"/>
              <w:textAlignment w:val="center"/>
              <w:rPr>
                <w:rFonts w:hint="default" w:ascii="Times New Roman" w:hAnsi="Times New Roman" w:eastAsia="宋体" w:cs="Times New Roman"/>
                <w:color w:val="auto"/>
                <w:sz w:val="21"/>
                <w:szCs w:val="21"/>
                <w:lang w:eastAsia="zh-CN"/>
              </w:rPr>
            </w:pPr>
          </w:p>
        </w:tc>
        <w:tc>
          <w:tcPr>
            <w:tcW w:w="768" w:type="pct"/>
            <w:shd w:val="clear" w:color="auto" w:fill="auto"/>
            <w:vAlign w:val="center"/>
          </w:tcPr>
          <w:p>
            <w:pPr>
              <w:pageBreakBefore w:val="0"/>
              <w:widowControl/>
              <w:kinsoku/>
              <w:wordWrap/>
              <w:topLinePunct w:val="0"/>
              <w:bidi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5.2</w:t>
            </w:r>
          </w:p>
        </w:tc>
        <w:tc>
          <w:tcPr>
            <w:tcW w:w="1024" w:type="pct"/>
            <w:shd w:val="clear" w:color="auto" w:fill="auto"/>
            <w:vAlign w:val="center"/>
          </w:tcPr>
          <w:p>
            <w:pPr>
              <w:pageBreakBefore w:val="0"/>
              <w:widowControl/>
              <w:kinsoku/>
              <w:wordWrap/>
              <w:topLinePunct w:val="0"/>
              <w:bidi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5" w:type="pct"/>
            <w:vMerge w:val="restart"/>
            <w:shd w:val="clear" w:color="auto" w:fill="auto"/>
            <w:vAlign w:val="center"/>
          </w:tcPr>
          <w:p>
            <w:pPr>
              <w:pageBreakBefore w:val="0"/>
              <w:kinsoku/>
              <w:wordWrap/>
              <w:topLinePunct w:val="0"/>
              <w:bidi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三羟甲基丙烷系列脂肪酸酯产品</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三羟甲基丙烷三油酸酯</w:t>
            </w:r>
            <w:r>
              <w:rPr>
                <w:rFonts w:hint="default" w:ascii="Times New Roman" w:hAnsi="Times New Roman" w:eastAsia="宋体" w:cs="Times New Roman"/>
                <w:color w:val="auto"/>
                <w:sz w:val="21"/>
                <w:szCs w:val="21"/>
                <w:highlight w:val="none"/>
                <w:lang w:eastAsia="zh-CN"/>
              </w:rPr>
              <w:t>）</w:t>
            </w:r>
          </w:p>
        </w:tc>
        <w:tc>
          <w:tcPr>
            <w:tcW w:w="995" w:type="pct"/>
            <w:vAlign w:val="center"/>
          </w:tcPr>
          <w:p>
            <w:pPr>
              <w:pageBreakBefore w:val="0"/>
              <w:widowControl/>
              <w:kinsoku/>
              <w:wordWrap/>
              <w:topLinePunct w:val="0"/>
              <w:bidi w:val="0"/>
              <w:spacing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2021年</w:t>
            </w: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lang w:eastAsia="zh-CN"/>
              </w:rPr>
              <w:t>月20日</w:t>
            </w:r>
          </w:p>
        </w:tc>
        <w:tc>
          <w:tcPr>
            <w:tcW w:w="646" w:type="pct"/>
            <w:vMerge w:val="restart"/>
            <w:shd w:val="clear" w:color="auto" w:fill="auto"/>
            <w:vAlign w:val="center"/>
          </w:tcPr>
          <w:p>
            <w:pPr>
              <w:pageBreakBefore w:val="0"/>
              <w:widowControl/>
              <w:kinsoku/>
              <w:wordWrap/>
              <w:topLinePunct w:val="0"/>
              <w:bidi w:val="0"/>
              <w:spacing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3500</w:t>
            </w:r>
          </w:p>
        </w:tc>
        <w:tc>
          <w:tcPr>
            <w:tcW w:w="768" w:type="pct"/>
            <w:shd w:val="clear" w:color="auto" w:fill="auto"/>
            <w:vAlign w:val="center"/>
          </w:tcPr>
          <w:p>
            <w:pPr>
              <w:pageBreakBefore w:val="0"/>
              <w:widowControl/>
              <w:kinsoku/>
              <w:wordWrap/>
              <w:topLinePunct w:val="0"/>
              <w:bidi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11.2</w:t>
            </w:r>
          </w:p>
        </w:tc>
        <w:tc>
          <w:tcPr>
            <w:tcW w:w="1024" w:type="pct"/>
            <w:shd w:val="clear" w:color="auto" w:fill="auto"/>
            <w:vAlign w:val="center"/>
          </w:tcPr>
          <w:p>
            <w:pPr>
              <w:pageBreakBefore w:val="0"/>
              <w:widowControl/>
              <w:kinsoku/>
              <w:wordWrap/>
              <w:topLinePunct w:val="0"/>
              <w:bidi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5" w:type="pct"/>
            <w:vMerge w:val="continue"/>
            <w:shd w:val="clear" w:color="auto" w:fill="auto"/>
            <w:vAlign w:val="center"/>
          </w:tcPr>
          <w:p>
            <w:pPr>
              <w:pageBreakBefore w:val="0"/>
              <w:widowControl/>
              <w:kinsoku/>
              <w:wordWrap/>
              <w:topLinePunct w:val="0"/>
              <w:bidi w:val="0"/>
              <w:spacing w:line="240" w:lineRule="auto"/>
              <w:jc w:val="center"/>
              <w:textAlignment w:val="center"/>
              <w:rPr>
                <w:rFonts w:hint="default" w:ascii="Times New Roman" w:hAnsi="Times New Roman" w:eastAsia="宋体" w:cs="Times New Roman"/>
                <w:color w:val="auto"/>
                <w:sz w:val="21"/>
                <w:szCs w:val="21"/>
                <w:lang w:eastAsia="zh-CN"/>
              </w:rPr>
            </w:pPr>
          </w:p>
        </w:tc>
        <w:tc>
          <w:tcPr>
            <w:tcW w:w="995" w:type="pct"/>
            <w:vAlign w:val="center"/>
          </w:tcPr>
          <w:p>
            <w:pPr>
              <w:pageBreakBefore w:val="0"/>
              <w:widowControl/>
              <w:kinsoku/>
              <w:wordWrap/>
              <w:topLinePunct w:val="0"/>
              <w:bidi w:val="0"/>
              <w:spacing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2021年</w:t>
            </w: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lang w:eastAsia="zh-CN"/>
              </w:rPr>
              <w:t>月21日</w:t>
            </w:r>
          </w:p>
        </w:tc>
        <w:tc>
          <w:tcPr>
            <w:tcW w:w="646" w:type="pct"/>
            <w:vMerge w:val="continue"/>
            <w:shd w:val="clear" w:color="auto" w:fill="auto"/>
            <w:vAlign w:val="center"/>
          </w:tcPr>
          <w:p>
            <w:pPr>
              <w:pageBreakBefore w:val="0"/>
              <w:widowControl/>
              <w:kinsoku/>
              <w:wordWrap/>
              <w:topLinePunct w:val="0"/>
              <w:bidi w:val="0"/>
              <w:spacing w:line="240" w:lineRule="auto"/>
              <w:jc w:val="center"/>
              <w:textAlignment w:val="center"/>
              <w:rPr>
                <w:rFonts w:hint="default" w:ascii="Times New Roman" w:hAnsi="Times New Roman" w:eastAsia="宋体" w:cs="Times New Roman"/>
                <w:color w:val="auto"/>
                <w:sz w:val="21"/>
                <w:szCs w:val="21"/>
                <w:lang w:eastAsia="zh-CN"/>
              </w:rPr>
            </w:pPr>
          </w:p>
        </w:tc>
        <w:tc>
          <w:tcPr>
            <w:tcW w:w="768" w:type="pct"/>
            <w:shd w:val="clear" w:color="auto" w:fill="auto"/>
            <w:vAlign w:val="center"/>
          </w:tcPr>
          <w:p>
            <w:pPr>
              <w:pageBreakBefore w:val="0"/>
              <w:widowControl/>
              <w:kinsoku/>
              <w:wordWrap/>
              <w:topLinePunct w:val="0"/>
              <w:bidi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11.5</w:t>
            </w:r>
          </w:p>
        </w:tc>
        <w:tc>
          <w:tcPr>
            <w:tcW w:w="1024" w:type="pct"/>
            <w:shd w:val="clear" w:color="auto" w:fill="auto"/>
            <w:vAlign w:val="center"/>
          </w:tcPr>
          <w:p>
            <w:pPr>
              <w:pageBreakBefore w:val="0"/>
              <w:widowControl/>
              <w:kinsoku/>
              <w:wordWrap/>
              <w:topLinePunct w:val="0"/>
              <w:bidi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98.6%</w:t>
            </w:r>
          </w:p>
        </w:tc>
      </w:tr>
    </w:tbl>
    <w:p>
      <w:pPr>
        <w:pStyle w:val="2"/>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0"/>
          <w:sz w:val="18"/>
          <w:szCs w:val="18"/>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0"/>
          <w:sz w:val="18"/>
          <w:szCs w:val="18"/>
          <w:lang w:val="en-US" w:eastAsia="zh-CN"/>
        </w:rPr>
        <w:sectPr>
          <w:pgSz w:w="11911" w:h="16838"/>
          <w:pgMar w:top="1463" w:right="1678" w:bottom="1463" w:left="1678" w:header="907" w:footer="884" w:gutter="0"/>
          <w:pgBorders>
            <w:top w:val="none" w:sz="0" w:space="0"/>
            <w:left w:val="none" w:sz="0" w:space="0"/>
            <w:bottom w:val="none" w:sz="0" w:space="0"/>
            <w:right w:val="none" w:sz="0" w:space="0"/>
          </w:pgBorders>
          <w:pgNumType w:fmt="decimal"/>
          <w:cols w:space="0" w:num="1"/>
          <w:rtlGutter w:val="0"/>
          <w:docGrid w:type="lines" w:linePitch="0" w:charSpace="0"/>
        </w:sectPr>
      </w:pPr>
    </w:p>
    <w:p>
      <w:pPr>
        <w:pStyle w:val="3"/>
        <w:keepNext w:val="0"/>
        <w:keepLines w:val="0"/>
        <w:pageBreakBefore w:val="0"/>
        <w:widowControl w:val="0"/>
        <w:kinsoku/>
        <w:wordWrap/>
        <w:overflowPunct/>
        <w:topLinePunct w:val="0"/>
        <w:autoSpaceDE w:val="0"/>
        <w:autoSpaceDN w:val="0"/>
        <w:bidi w:val="0"/>
        <w:adjustRightInd/>
        <w:snapToGrid/>
        <w:spacing w:after="0" w:line="360" w:lineRule="auto"/>
        <w:ind w:left="0" w:leftChars="0" w:right="0" w:rightChars="0" w:firstLine="0" w:firstLineChars="0"/>
        <w:textAlignment w:val="auto"/>
        <w:rPr>
          <w:rFonts w:hint="default" w:ascii="Times New Roman" w:hAnsi="Times New Roman" w:eastAsia="宋体" w:cs="Times New Roman"/>
          <w:color w:val="auto"/>
          <w:sz w:val="28"/>
          <w:szCs w:val="28"/>
        </w:rPr>
      </w:pPr>
      <w:bookmarkStart w:id="83" w:name="_Toc26544"/>
      <w:r>
        <w:rPr>
          <w:rFonts w:hint="default" w:ascii="Times New Roman" w:hAnsi="Times New Roman" w:eastAsia="宋体" w:cs="Times New Roman"/>
          <w:color w:val="auto"/>
          <w:sz w:val="28"/>
          <w:szCs w:val="28"/>
          <w:lang w:val="en-US" w:eastAsia="zh-CN"/>
        </w:rPr>
        <w:t>10</w:t>
      </w:r>
      <w:r>
        <w:rPr>
          <w:rFonts w:hint="default" w:ascii="Times New Roman" w:hAnsi="Times New Roman" w:eastAsia="宋体" w:cs="Times New Roman"/>
          <w:color w:val="auto"/>
          <w:sz w:val="28"/>
          <w:szCs w:val="28"/>
        </w:rPr>
        <w:t>、验收监测结果及分析评价</w:t>
      </w:r>
      <w:bookmarkEnd w:id="79"/>
      <w:bookmarkEnd w:id="80"/>
      <w:bookmarkEnd w:id="81"/>
      <w:bookmarkEnd w:id="82"/>
      <w:bookmarkEnd w:id="83"/>
    </w:p>
    <w:p>
      <w:pPr>
        <w:pStyle w:val="4"/>
        <w:keepNext w:val="0"/>
        <w:keepLines w:val="0"/>
        <w:pageBreakBefore w:val="0"/>
        <w:widowControl w:val="0"/>
        <w:kinsoku/>
        <w:wordWrap/>
        <w:overflowPunct/>
        <w:topLinePunct w:val="0"/>
        <w:autoSpaceDE w:val="0"/>
        <w:autoSpaceDN w:val="0"/>
        <w:bidi w:val="0"/>
        <w:adjustRightInd/>
        <w:snapToGrid/>
        <w:spacing w:before="0" w:beforeLines="50" w:after="0" w:line="360" w:lineRule="auto"/>
        <w:ind w:left="0" w:leftChars="0" w:right="0" w:rightChars="0" w:firstLine="0" w:firstLineChars="0"/>
        <w:jc w:val="left"/>
        <w:textAlignment w:val="auto"/>
        <w:outlineLvl w:val="1"/>
        <w:rPr>
          <w:rFonts w:hint="default" w:ascii="Times New Roman" w:hAnsi="Times New Roman" w:eastAsia="宋体" w:cs="Times New Roman"/>
          <w:color w:val="auto"/>
          <w:sz w:val="28"/>
          <w:szCs w:val="28"/>
        </w:rPr>
      </w:pPr>
      <w:bookmarkStart w:id="84" w:name="_Toc9670"/>
      <w:bookmarkStart w:id="85" w:name="_Toc14022"/>
      <w:bookmarkStart w:id="86" w:name="_Toc15185"/>
      <w:r>
        <w:rPr>
          <w:rFonts w:hint="default" w:ascii="Times New Roman" w:hAnsi="Times New Roman" w:eastAsia="宋体" w:cs="Times New Roman"/>
          <w:color w:val="auto"/>
          <w:sz w:val="28"/>
          <w:szCs w:val="28"/>
        </w:rPr>
        <w:t>10.1</w:t>
      </w:r>
      <w:r>
        <w:rPr>
          <w:rFonts w:hint="default" w:ascii="Times New Roman" w:hAnsi="Times New Roman" w:eastAsia="宋体" w:cs="Times New Roman"/>
          <w:color w:val="auto"/>
          <w:sz w:val="28"/>
          <w:szCs w:val="28"/>
          <w:lang w:val="en-US" w:eastAsia="zh-CN"/>
        </w:rPr>
        <w:t xml:space="preserve"> </w:t>
      </w:r>
      <w:r>
        <w:rPr>
          <w:rFonts w:hint="default" w:ascii="Times New Roman" w:hAnsi="Times New Roman" w:eastAsia="宋体" w:cs="Times New Roman"/>
          <w:color w:val="auto"/>
          <w:sz w:val="28"/>
          <w:szCs w:val="28"/>
        </w:rPr>
        <w:t>废水监测结果及分析评价</w:t>
      </w:r>
      <w:bookmarkEnd w:id="84"/>
      <w:bookmarkEnd w:id="85"/>
      <w:bookmarkEnd w:id="86"/>
    </w:p>
    <w:p>
      <w:pPr>
        <w:keepNext w:val="0"/>
        <w:keepLines w:val="0"/>
        <w:pageBreakBefore w:val="0"/>
        <w:widowControl w:val="0"/>
        <w:kinsoku/>
        <w:wordWrap/>
        <w:overflowPunct/>
        <w:topLinePunct w:val="0"/>
        <w:autoSpaceDE w:val="0"/>
        <w:autoSpaceDN w:val="0"/>
        <w:bidi w:val="0"/>
        <w:adjustRightInd/>
        <w:snapToGrid/>
        <w:spacing w:after="0" w:line="360" w:lineRule="auto"/>
        <w:ind w:left="0" w:leftChars="0" w:right="0" w:rightChars="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10.1.1</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监测结果</w:t>
      </w:r>
    </w:p>
    <w:p>
      <w:pPr>
        <w:keepNext w:val="0"/>
        <w:keepLines w:val="0"/>
        <w:pageBreakBefore w:val="0"/>
        <w:widowControl w:val="0"/>
        <w:kinsoku/>
        <w:wordWrap/>
        <w:overflowPunct/>
        <w:topLinePunct w:val="0"/>
        <w:autoSpaceDE w:val="0"/>
        <w:autoSpaceDN w:val="0"/>
        <w:bidi w:val="0"/>
        <w:adjustRightInd/>
        <w:snapToGrid/>
        <w:spacing w:after="0" w:line="360" w:lineRule="auto"/>
        <w:ind w:left="0" w:leftChars="0" w:right="0" w:rightChars="0" w:firstLine="437"/>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表10</w:t>
      </w: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 xml:space="preserve">1  </w:t>
      </w:r>
      <w:r>
        <w:rPr>
          <w:rFonts w:hint="default" w:ascii="Times New Roman" w:hAnsi="Times New Roman" w:eastAsia="宋体" w:cs="Times New Roman"/>
          <w:b/>
          <w:bCs/>
          <w:color w:val="auto"/>
          <w:sz w:val="24"/>
          <w:szCs w:val="24"/>
          <w:lang w:eastAsia="zh-CN"/>
        </w:rPr>
        <w:t>废水接管口</w:t>
      </w:r>
      <w:r>
        <w:rPr>
          <w:rFonts w:hint="default" w:ascii="Times New Roman" w:hAnsi="Times New Roman" w:eastAsia="宋体" w:cs="Times New Roman"/>
          <w:b/>
          <w:bCs/>
          <w:color w:val="auto"/>
          <w:sz w:val="24"/>
          <w:szCs w:val="24"/>
        </w:rPr>
        <w:t>监测结果</w:t>
      </w:r>
      <w:r>
        <w:rPr>
          <w:rFonts w:hint="default" w:ascii="Times New Roman" w:hAnsi="Times New Roman" w:eastAsia="宋体" w:cs="Times New Roman"/>
          <w:b/>
          <w:bCs/>
          <w:color w:val="auto"/>
          <w:sz w:val="24"/>
          <w:szCs w:val="24"/>
          <w:lang w:eastAsia="zh-CN"/>
        </w:rPr>
        <w:t>表</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1336"/>
        <w:gridCol w:w="1263"/>
        <w:gridCol w:w="1736"/>
        <w:gridCol w:w="1736"/>
        <w:gridCol w:w="1736"/>
        <w:gridCol w:w="1736"/>
        <w:gridCol w:w="1736"/>
        <w:gridCol w:w="1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39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eastAsia="zh-CN"/>
              </w:rPr>
              <w:t>工况</w:t>
            </w:r>
          </w:p>
        </w:tc>
        <w:tc>
          <w:tcPr>
            <w:tcW w:w="47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eastAsia="zh-CN"/>
              </w:rPr>
              <w:t>频次</w:t>
            </w:r>
          </w:p>
        </w:tc>
        <w:tc>
          <w:tcPr>
            <w:tcW w:w="44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rPr>
              <w:t>采样日期</w:t>
            </w:r>
          </w:p>
        </w:tc>
        <w:tc>
          <w:tcPr>
            <w:tcW w:w="3689" w:type="pct"/>
            <w:gridSpan w:val="6"/>
            <w:noWrap w:val="0"/>
            <w:vAlign w:val="center"/>
          </w:tcPr>
          <w:p>
            <w:pPr>
              <w:pStyle w:val="2"/>
              <w:keepNext w:val="0"/>
              <w:keepLines w:val="0"/>
              <w:pageBreakBefore w:val="0"/>
              <w:widowControl w:val="0"/>
              <w:numPr>
                <w:ilvl w:val="0"/>
                <w:numId w:val="0"/>
              </w:numPr>
              <w:kinsoku/>
              <w:wordWrap/>
              <w:overflowPunct/>
              <w:topLinePunct w:val="0"/>
              <w:bidi w:val="0"/>
              <w:snapToGrid/>
              <w:spacing w:line="240" w:lineRule="auto"/>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rPr>
              <w:t>检测项目  单位：mg/L</w:t>
            </w:r>
            <w:r>
              <w:rPr>
                <w:rFonts w:hint="default" w:ascii="Times New Roman" w:hAnsi="Times New Roman" w:eastAsia="宋体" w:cs="Times New Roman"/>
                <w:color w:val="auto"/>
                <w:spacing w:val="0"/>
                <w:sz w:val="21"/>
                <w:szCs w:val="21"/>
                <w:lang w:eastAsia="zh-CN"/>
              </w:rPr>
              <w:t>，</w:t>
            </w:r>
            <w:r>
              <w:rPr>
                <w:rFonts w:hint="default" w:ascii="Times New Roman" w:hAnsi="Times New Roman" w:eastAsia="宋体" w:cs="Times New Roman"/>
                <w:color w:val="auto"/>
                <w:sz w:val="21"/>
                <w:szCs w:val="21"/>
                <w:lang w:val="en-US" w:eastAsia="zh-CN"/>
              </w:rPr>
              <w:t>pH值无量纲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rPr>
            </w:pPr>
          </w:p>
        </w:tc>
        <w:tc>
          <w:tcPr>
            <w:tcW w:w="47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rPr>
            </w:pPr>
          </w:p>
        </w:tc>
        <w:tc>
          <w:tcPr>
            <w:tcW w:w="44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rPr>
            </w:pP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en-US" w:bidi="ar-SA"/>
              </w:rPr>
            </w:pPr>
            <w:r>
              <w:rPr>
                <w:rFonts w:hint="default" w:ascii="Times New Roman" w:hAnsi="Times New Roman" w:eastAsia="宋体" w:cs="Times New Roman"/>
                <w:color w:val="auto"/>
                <w:spacing w:val="0"/>
                <w:sz w:val="21"/>
                <w:szCs w:val="21"/>
                <w:lang w:val="en-US" w:eastAsia="zh-CN"/>
              </w:rPr>
              <w:t>pH值</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en-US" w:bidi="ar-SA"/>
              </w:rPr>
            </w:pPr>
            <w:r>
              <w:rPr>
                <w:rFonts w:hint="default" w:ascii="Times New Roman" w:hAnsi="Times New Roman" w:eastAsia="宋体" w:cs="Times New Roman"/>
                <w:color w:val="auto"/>
                <w:spacing w:val="0"/>
                <w:sz w:val="21"/>
                <w:szCs w:val="21"/>
                <w:lang w:val="en-US" w:eastAsia="zh-CN"/>
              </w:rPr>
              <w:t>化学需氧量</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en-US" w:bidi="ar-SA"/>
              </w:rPr>
            </w:pPr>
            <w:r>
              <w:rPr>
                <w:rFonts w:hint="default" w:ascii="Times New Roman" w:hAnsi="Times New Roman" w:eastAsia="宋体" w:cs="Times New Roman"/>
                <w:color w:val="auto"/>
                <w:spacing w:val="0"/>
                <w:sz w:val="21"/>
                <w:szCs w:val="21"/>
                <w:lang w:val="en-US" w:eastAsia="zh-CN"/>
              </w:rPr>
              <w:t>氨氮</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总磷</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悬浮物</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39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z w:val="21"/>
                <w:szCs w:val="21"/>
              </w:rPr>
              <w:t>异丙醇系列</w:t>
            </w: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第一次</w:t>
            </w:r>
          </w:p>
        </w:tc>
        <w:tc>
          <w:tcPr>
            <w:tcW w:w="44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2021.7.21</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7.90</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98</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1.66</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0.65</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21</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b w:val="0"/>
                <w:bCs/>
                <w:color w:val="auto"/>
                <w:spacing w:val="0"/>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第二次</w:t>
            </w:r>
          </w:p>
        </w:tc>
        <w:tc>
          <w:tcPr>
            <w:tcW w:w="44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7.89</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99</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1.72</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0.63</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20</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b w:val="0"/>
                <w:bCs/>
                <w:color w:val="auto"/>
                <w:spacing w:val="0"/>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第三次</w:t>
            </w:r>
          </w:p>
        </w:tc>
        <w:tc>
          <w:tcPr>
            <w:tcW w:w="44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7.88</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95</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1.80</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0.67</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24</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b w:val="0"/>
                <w:bCs/>
                <w:color w:val="auto"/>
                <w:spacing w:val="0"/>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第四次</w:t>
            </w:r>
          </w:p>
        </w:tc>
        <w:tc>
          <w:tcPr>
            <w:tcW w:w="44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7.90</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103</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1.79</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0.69</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23</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b w:val="0"/>
                <w:bCs/>
                <w:color w:val="auto"/>
                <w:spacing w:val="0"/>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2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均值/范围</w:t>
            </w:r>
          </w:p>
        </w:tc>
        <w:tc>
          <w:tcPr>
            <w:tcW w:w="61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7.88-7.90</w:t>
            </w:r>
          </w:p>
        </w:tc>
        <w:tc>
          <w:tcPr>
            <w:tcW w:w="1736" w:type="dxa"/>
            <w:shd w:val="clear" w:color="auto" w:fill="auto"/>
            <w:noWrap w:val="0"/>
            <w:vAlign w:val="center"/>
          </w:tcPr>
          <w:p>
            <w:pPr>
              <w:keepNext w:val="0"/>
              <w:keepLines w:val="0"/>
              <w:pageBreakBefore w:val="0"/>
              <w:widowControl/>
              <w:suppressLineNumbers w:val="0"/>
              <w:kinsoku/>
              <w:wordWrap/>
              <w:overflowPunct/>
              <w:topLinePunct w:val="0"/>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99</w:t>
            </w:r>
          </w:p>
        </w:tc>
        <w:tc>
          <w:tcPr>
            <w:tcW w:w="1736" w:type="dxa"/>
            <w:shd w:val="clear" w:color="auto" w:fill="auto"/>
            <w:noWrap w:val="0"/>
            <w:vAlign w:val="center"/>
          </w:tcPr>
          <w:p>
            <w:pPr>
              <w:keepNext w:val="0"/>
              <w:keepLines w:val="0"/>
              <w:pageBreakBefore w:val="0"/>
              <w:widowControl/>
              <w:suppressLineNumbers w:val="0"/>
              <w:kinsoku/>
              <w:wordWrap/>
              <w:overflowPunct/>
              <w:topLinePunct w:val="0"/>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1.74</w:t>
            </w:r>
          </w:p>
        </w:tc>
        <w:tc>
          <w:tcPr>
            <w:tcW w:w="1736" w:type="dxa"/>
            <w:shd w:val="clear" w:color="auto" w:fill="auto"/>
            <w:noWrap w:val="0"/>
            <w:vAlign w:val="center"/>
          </w:tcPr>
          <w:p>
            <w:pPr>
              <w:keepNext w:val="0"/>
              <w:keepLines w:val="0"/>
              <w:pageBreakBefore w:val="0"/>
              <w:widowControl/>
              <w:suppressLineNumbers w:val="0"/>
              <w:kinsoku/>
              <w:wordWrap/>
              <w:overflowPunct/>
              <w:topLinePunct w:val="0"/>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0.66</w:t>
            </w:r>
          </w:p>
        </w:tc>
        <w:tc>
          <w:tcPr>
            <w:tcW w:w="1736" w:type="dxa"/>
            <w:shd w:val="clear" w:color="auto" w:fill="auto"/>
            <w:noWrap w:val="0"/>
            <w:vAlign w:val="center"/>
          </w:tcPr>
          <w:p>
            <w:pPr>
              <w:keepNext w:val="0"/>
              <w:keepLines w:val="0"/>
              <w:pageBreakBefore w:val="0"/>
              <w:widowControl/>
              <w:suppressLineNumbers w:val="0"/>
              <w:kinsoku/>
              <w:wordWrap/>
              <w:overflowPunct/>
              <w:topLinePunct w:val="0"/>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22</w:t>
            </w:r>
          </w:p>
        </w:tc>
        <w:tc>
          <w:tcPr>
            <w:tcW w:w="61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b w:val="0"/>
                <w:bCs/>
                <w:color w:val="auto"/>
                <w:spacing w:val="0"/>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第一次</w:t>
            </w:r>
          </w:p>
        </w:tc>
        <w:tc>
          <w:tcPr>
            <w:tcW w:w="44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2021.7.22</w:t>
            </w:r>
          </w:p>
        </w:tc>
        <w:tc>
          <w:tcPr>
            <w:tcW w:w="61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7.91</w:t>
            </w:r>
          </w:p>
        </w:tc>
        <w:tc>
          <w:tcPr>
            <w:tcW w:w="61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72</w:t>
            </w:r>
          </w:p>
        </w:tc>
        <w:tc>
          <w:tcPr>
            <w:tcW w:w="61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1.69</w:t>
            </w:r>
          </w:p>
        </w:tc>
        <w:tc>
          <w:tcPr>
            <w:tcW w:w="61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0.45</w:t>
            </w:r>
          </w:p>
        </w:tc>
        <w:tc>
          <w:tcPr>
            <w:tcW w:w="61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21</w:t>
            </w:r>
          </w:p>
        </w:tc>
        <w:tc>
          <w:tcPr>
            <w:tcW w:w="61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b w:val="0"/>
                <w:bCs/>
                <w:color w:val="auto"/>
                <w:spacing w:val="0"/>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第二次</w:t>
            </w:r>
          </w:p>
        </w:tc>
        <w:tc>
          <w:tcPr>
            <w:tcW w:w="44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61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7.89</w:t>
            </w:r>
          </w:p>
        </w:tc>
        <w:tc>
          <w:tcPr>
            <w:tcW w:w="61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82</w:t>
            </w:r>
          </w:p>
        </w:tc>
        <w:tc>
          <w:tcPr>
            <w:tcW w:w="61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1.66</w:t>
            </w:r>
          </w:p>
        </w:tc>
        <w:tc>
          <w:tcPr>
            <w:tcW w:w="61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0.45</w:t>
            </w:r>
          </w:p>
        </w:tc>
        <w:tc>
          <w:tcPr>
            <w:tcW w:w="61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23</w:t>
            </w:r>
          </w:p>
        </w:tc>
        <w:tc>
          <w:tcPr>
            <w:tcW w:w="61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b w:val="0"/>
                <w:bCs/>
                <w:color w:val="auto"/>
                <w:spacing w:val="0"/>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第三次</w:t>
            </w:r>
          </w:p>
        </w:tc>
        <w:tc>
          <w:tcPr>
            <w:tcW w:w="44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61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7.90</w:t>
            </w:r>
          </w:p>
        </w:tc>
        <w:tc>
          <w:tcPr>
            <w:tcW w:w="61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73</w:t>
            </w:r>
          </w:p>
        </w:tc>
        <w:tc>
          <w:tcPr>
            <w:tcW w:w="61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1.59</w:t>
            </w:r>
          </w:p>
        </w:tc>
        <w:tc>
          <w:tcPr>
            <w:tcW w:w="61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0.44</w:t>
            </w:r>
          </w:p>
        </w:tc>
        <w:tc>
          <w:tcPr>
            <w:tcW w:w="61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19</w:t>
            </w:r>
          </w:p>
        </w:tc>
        <w:tc>
          <w:tcPr>
            <w:tcW w:w="61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b w:val="0"/>
                <w:bCs/>
                <w:color w:val="auto"/>
                <w:spacing w:val="0"/>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第四次</w:t>
            </w:r>
          </w:p>
        </w:tc>
        <w:tc>
          <w:tcPr>
            <w:tcW w:w="44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p>
        </w:tc>
        <w:tc>
          <w:tcPr>
            <w:tcW w:w="61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7.91</w:t>
            </w:r>
          </w:p>
        </w:tc>
        <w:tc>
          <w:tcPr>
            <w:tcW w:w="61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76</w:t>
            </w:r>
          </w:p>
        </w:tc>
        <w:tc>
          <w:tcPr>
            <w:tcW w:w="61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1.70</w:t>
            </w:r>
          </w:p>
        </w:tc>
        <w:tc>
          <w:tcPr>
            <w:tcW w:w="61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0.44</w:t>
            </w:r>
          </w:p>
        </w:tc>
        <w:tc>
          <w:tcPr>
            <w:tcW w:w="61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20</w:t>
            </w:r>
          </w:p>
        </w:tc>
        <w:tc>
          <w:tcPr>
            <w:tcW w:w="61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b w:val="0"/>
                <w:bCs/>
                <w:color w:val="auto"/>
                <w:spacing w:val="0"/>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2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均值/范围</w:t>
            </w:r>
          </w:p>
        </w:tc>
        <w:tc>
          <w:tcPr>
            <w:tcW w:w="614"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7.89-7.91</w:t>
            </w:r>
          </w:p>
        </w:tc>
        <w:tc>
          <w:tcPr>
            <w:tcW w:w="1736" w:type="dxa"/>
            <w:shd w:val="clear" w:color="auto" w:fill="auto"/>
            <w:noWrap w:val="0"/>
            <w:vAlign w:val="center"/>
          </w:tcPr>
          <w:p>
            <w:pPr>
              <w:keepNext w:val="0"/>
              <w:keepLines w:val="0"/>
              <w:pageBreakBefore w:val="0"/>
              <w:widowControl/>
              <w:suppressLineNumbers w:val="0"/>
              <w:kinsoku/>
              <w:wordWrap/>
              <w:overflowPunct/>
              <w:topLinePunct w:val="0"/>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76</w:t>
            </w:r>
          </w:p>
        </w:tc>
        <w:tc>
          <w:tcPr>
            <w:tcW w:w="1736" w:type="dxa"/>
            <w:shd w:val="clear" w:color="auto" w:fill="auto"/>
            <w:noWrap w:val="0"/>
            <w:vAlign w:val="center"/>
          </w:tcPr>
          <w:p>
            <w:pPr>
              <w:keepNext w:val="0"/>
              <w:keepLines w:val="0"/>
              <w:pageBreakBefore w:val="0"/>
              <w:widowControl/>
              <w:suppressLineNumbers w:val="0"/>
              <w:kinsoku/>
              <w:wordWrap/>
              <w:overflowPunct/>
              <w:topLinePunct w:val="0"/>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1.66</w:t>
            </w:r>
          </w:p>
        </w:tc>
        <w:tc>
          <w:tcPr>
            <w:tcW w:w="1736" w:type="dxa"/>
            <w:shd w:val="clear" w:color="auto" w:fill="auto"/>
            <w:noWrap w:val="0"/>
            <w:vAlign w:val="center"/>
          </w:tcPr>
          <w:p>
            <w:pPr>
              <w:keepNext w:val="0"/>
              <w:keepLines w:val="0"/>
              <w:pageBreakBefore w:val="0"/>
              <w:widowControl/>
              <w:suppressLineNumbers w:val="0"/>
              <w:kinsoku/>
              <w:wordWrap/>
              <w:overflowPunct/>
              <w:topLinePunct w:val="0"/>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0.44</w:t>
            </w:r>
          </w:p>
        </w:tc>
        <w:tc>
          <w:tcPr>
            <w:tcW w:w="1736" w:type="dxa"/>
            <w:shd w:val="clear" w:color="auto" w:fill="auto"/>
            <w:noWrap w:val="0"/>
            <w:vAlign w:val="center"/>
          </w:tcPr>
          <w:p>
            <w:pPr>
              <w:keepNext w:val="0"/>
              <w:keepLines w:val="0"/>
              <w:pageBreakBefore w:val="0"/>
              <w:widowControl/>
              <w:suppressLineNumbers w:val="0"/>
              <w:kinsoku/>
              <w:wordWrap/>
              <w:overflowPunct/>
              <w:topLinePunct w:val="0"/>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21</w:t>
            </w:r>
          </w:p>
        </w:tc>
        <w:tc>
          <w:tcPr>
            <w:tcW w:w="61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b w:val="0"/>
                <w:bCs/>
                <w:color w:val="auto"/>
                <w:spacing w:val="0"/>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2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标准值</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6-9</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500</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25</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250</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2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达标情况</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达标</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达标</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达标</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达标</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达标</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39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rPr>
              <w:t>采样地点</w:t>
            </w:r>
          </w:p>
        </w:tc>
        <w:tc>
          <w:tcPr>
            <w:tcW w:w="47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eastAsia="zh-CN"/>
              </w:rPr>
              <w:t>频次</w:t>
            </w:r>
          </w:p>
        </w:tc>
        <w:tc>
          <w:tcPr>
            <w:tcW w:w="44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rPr>
              <w:t>采样日期</w:t>
            </w:r>
          </w:p>
        </w:tc>
        <w:tc>
          <w:tcPr>
            <w:tcW w:w="3689" w:type="pct"/>
            <w:gridSpan w:val="6"/>
            <w:noWrap w:val="0"/>
            <w:vAlign w:val="center"/>
          </w:tcPr>
          <w:p>
            <w:pPr>
              <w:pStyle w:val="2"/>
              <w:keepNext w:val="0"/>
              <w:keepLines w:val="0"/>
              <w:pageBreakBefore w:val="0"/>
              <w:widowControl w:val="0"/>
              <w:numPr>
                <w:ilvl w:val="0"/>
                <w:numId w:val="0"/>
              </w:numPr>
              <w:kinsoku/>
              <w:wordWrap/>
              <w:overflowPunct/>
              <w:topLinePunct w:val="0"/>
              <w:bidi w:val="0"/>
              <w:snapToGrid/>
              <w:spacing w:line="240" w:lineRule="auto"/>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rPr>
              <w:t>检测项目  单位：mg/L</w:t>
            </w:r>
            <w:r>
              <w:rPr>
                <w:rFonts w:hint="default" w:ascii="Times New Roman" w:hAnsi="Times New Roman" w:eastAsia="宋体" w:cs="Times New Roman"/>
                <w:color w:val="auto"/>
                <w:spacing w:val="0"/>
                <w:sz w:val="21"/>
                <w:szCs w:val="21"/>
                <w:lang w:eastAsia="zh-CN"/>
              </w:rPr>
              <w:t>，</w:t>
            </w:r>
            <w:r>
              <w:rPr>
                <w:rFonts w:hint="default" w:ascii="Times New Roman" w:hAnsi="Times New Roman" w:eastAsia="宋体" w:cs="Times New Roman"/>
                <w:color w:val="auto"/>
                <w:sz w:val="21"/>
                <w:szCs w:val="21"/>
                <w:lang w:val="en-US" w:eastAsia="zh-CN"/>
              </w:rPr>
              <w:t>pH值无量纲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rPr>
            </w:pPr>
          </w:p>
        </w:tc>
        <w:tc>
          <w:tcPr>
            <w:tcW w:w="47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rPr>
            </w:pPr>
          </w:p>
        </w:tc>
        <w:tc>
          <w:tcPr>
            <w:tcW w:w="44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rPr>
            </w:pP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en-US" w:bidi="ar-SA"/>
              </w:rPr>
            </w:pPr>
            <w:r>
              <w:rPr>
                <w:rFonts w:hint="default" w:ascii="Times New Roman" w:hAnsi="Times New Roman" w:eastAsia="宋体" w:cs="Times New Roman"/>
                <w:color w:val="auto"/>
                <w:spacing w:val="0"/>
                <w:sz w:val="21"/>
                <w:szCs w:val="21"/>
                <w:lang w:val="en-US" w:eastAsia="zh-CN"/>
              </w:rPr>
              <w:t>pH值</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en-US" w:bidi="ar-SA"/>
              </w:rPr>
            </w:pPr>
            <w:r>
              <w:rPr>
                <w:rFonts w:hint="default" w:ascii="Times New Roman" w:hAnsi="Times New Roman" w:eastAsia="宋体" w:cs="Times New Roman"/>
                <w:color w:val="auto"/>
                <w:spacing w:val="0"/>
                <w:sz w:val="21"/>
                <w:szCs w:val="21"/>
                <w:lang w:val="en-US" w:eastAsia="zh-CN"/>
              </w:rPr>
              <w:t>化学需氧量</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en-US" w:bidi="ar-SA"/>
              </w:rPr>
            </w:pPr>
            <w:r>
              <w:rPr>
                <w:rFonts w:hint="default" w:ascii="Times New Roman" w:hAnsi="Times New Roman" w:eastAsia="宋体" w:cs="Times New Roman"/>
                <w:color w:val="auto"/>
                <w:spacing w:val="0"/>
                <w:sz w:val="21"/>
                <w:szCs w:val="21"/>
                <w:lang w:val="en-US" w:eastAsia="zh-CN"/>
              </w:rPr>
              <w:t>氨氮</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总磷</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悬浮物</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39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z w:val="21"/>
                <w:szCs w:val="21"/>
              </w:rPr>
              <w:t>异辛醇系列</w:t>
            </w: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第一次</w:t>
            </w:r>
          </w:p>
        </w:tc>
        <w:tc>
          <w:tcPr>
            <w:tcW w:w="44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2021.7.28</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7.23</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151</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0.493</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1.74</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40</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第二次</w:t>
            </w:r>
          </w:p>
        </w:tc>
        <w:tc>
          <w:tcPr>
            <w:tcW w:w="44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7.25</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152</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0.487</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1.73</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34</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第三次</w:t>
            </w:r>
          </w:p>
        </w:tc>
        <w:tc>
          <w:tcPr>
            <w:tcW w:w="44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7.21</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142</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0.460</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1.75</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36</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第四次</w:t>
            </w:r>
          </w:p>
        </w:tc>
        <w:tc>
          <w:tcPr>
            <w:tcW w:w="44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7.22</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157</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0.490</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1.73</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32</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2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均值/范围</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7.21-7.25</w:t>
            </w: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150</w:t>
            </w: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0.482</w:t>
            </w: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1.74</w:t>
            </w: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36</w:t>
            </w:r>
          </w:p>
        </w:tc>
        <w:tc>
          <w:tcPr>
            <w:tcW w:w="17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第一次</w:t>
            </w:r>
          </w:p>
        </w:tc>
        <w:tc>
          <w:tcPr>
            <w:tcW w:w="44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2021.7.29</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7.24</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167</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0.909</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1.62</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56</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第二次</w:t>
            </w:r>
          </w:p>
        </w:tc>
        <w:tc>
          <w:tcPr>
            <w:tcW w:w="44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7.26</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185</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1.00</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1.61</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60</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第三次</w:t>
            </w:r>
          </w:p>
        </w:tc>
        <w:tc>
          <w:tcPr>
            <w:tcW w:w="44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7.25</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192</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1.01</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1.77</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52</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第四次</w:t>
            </w:r>
          </w:p>
        </w:tc>
        <w:tc>
          <w:tcPr>
            <w:tcW w:w="44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7.24</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188</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0.985</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1.66</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58</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2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均值/范围</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7.24-7.26</w:t>
            </w: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183</w:t>
            </w: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0.976</w:t>
            </w: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1.66</w:t>
            </w: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56</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2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标准值</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6-9</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500</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25</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250</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2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达标情况</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达标</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达标</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达标</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达标</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达标</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39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rPr>
              <w:t>采样地点</w:t>
            </w:r>
          </w:p>
        </w:tc>
        <w:tc>
          <w:tcPr>
            <w:tcW w:w="47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eastAsia="zh-CN"/>
              </w:rPr>
              <w:t>频次</w:t>
            </w:r>
          </w:p>
        </w:tc>
        <w:tc>
          <w:tcPr>
            <w:tcW w:w="44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rPr>
              <w:t>采样日期</w:t>
            </w:r>
          </w:p>
        </w:tc>
        <w:tc>
          <w:tcPr>
            <w:tcW w:w="3689" w:type="pct"/>
            <w:gridSpan w:val="6"/>
            <w:noWrap w:val="0"/>
            <w:vAlign w:val="center"/>
          </w:tcPr>
          <w:p>
            <w:pPr>
              <w:pStyle w:val="2"/>
              <w:keepNext w:val="0"/>
              <w:keepLines w:val="0"/>
              <w:pageBreakBefore w:val="0"/>
              <w:widowControl w:val="0"/>
              <w:numPr>
                <w:ilvl w:val="0"/>
                <w:numId w:val="0"/>
              </w:numPr>
              <w:kinsoku/>
              <w:wordWrap/>
              <w:overflowPunct/>
              <w:topLinePunct w:val="0"/>
              <w:bidi w:val="0"/>
              <w:snapToGrid/>
              <w:spacing w:line="240" w:lineRule="auto"/>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rPr>
              <w:t>检测项目  单位：mg/L</w:t>
            </w:r>
            <w:r>
              <w:rPr>
                <w:rFonts w:hint="default" w:ascii="Times New Roman" w:hAnsi="Times New Roman" w:eastAsia="宋体" w:cs="Times New Roman"/>
                <w:color w:val="auto"/>
                <w:spacing w:val="0"/>
                <w:sz w:val="21"/>
                <w:szCs w:val="21"/>
                <w:lang w:eastAsia="zh-CN"/>
              </w:rPr>
              <w:t>，</w:t>
            </w:r>
            <w:r>
              <w:rPr>
                <w:rFonts w:hint="default" w:ascii="Times New Roman" w:hAnsi="Times New Roman" w:eastAsia="宋体" w:cs="Times New Roman"/>
                <w:color w:val="auto"/>
                <w:sz w:val="21"/>
                <w:szCs w:val="21"/>
                <w:lang w:val="en-US" w:eastAsia="zh-CN"/>
              </w:rPr>
              <w:t>pH值无量纲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rPr>
            </w:pPr>
          </w:p>
        </w:tc>
        <w:tc>
          <w:tcPr>
            <w:tcW w:w="47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rPr>
            </w:pPr>
          </w:p>
        </w:tc>
        <w:tc>
          <w:tcPr>
            <w:tcW w:w="44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rPr>
            </w:pP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en-US" w:bidi="ar-SA"/>
              </w:rPr>
            </w:pPr>
            <w:r>
              <w:rPr>
                <w:rFonts w:hint="default" w:ascii="Times New Roman" w:hAnsi="Times New Roman" w:eastAsia="宋体" w:cs="Times New Roman"/>
                <w:color w:val="auto"/>
                <w:spacing w:val="0"/>
                <w:sz w:val="21"/>
                <w:szCs w:val="21"/>
                <w:lang w:val="en-US" w:eastAsia="zh-CN"/>
              </w:rPr>
              <w:t>pH值</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en-US" w:bidi="ar-SA"/>
              </w:rPr>
            </w:pPr>
            <w:r>
              <w:rPr>
                <w:rFonts w:hint="default" w:ascii="Times New Roman" w:hAnsi="Times New Roman" w:eastAsia="宋体" w:cs="Times New Roman"/>
                <w:color w:val="auto"/>
                <w:spacing w:val="0"/>
                <w:sz w:val="21"/>
                <w:szCs w:val="21"/>
                <w:lang w:val="en-US" w:eastAsia="zh-CN"/>
              </w:rPr>
              <w:t>化学需氧量</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en-US" w:bidi="ar-SA"/>
              </w:rPr>
            </w:pPr>
            <w:r>
              <w:rPr>
                <w:rFonts w:hint="default" w:ascii="Times New Roman" w:hAnsi="Times New Roman" w:eastAsia="宋体" w:cs="Times New Roman"/>
                <w:color w:val="auto"/>
                <w:spacing w:val="0"/>
                <w:sz w:val="21"/>
                <w:szCs w:val="21"/>
                <w:lang w:val="en-US" w:eastAsia="zh-CN"/>
              </w:rPr>
              <w:t>氨氮</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总磷</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悬浮物</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39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z w:val="21"/>
                <w:szCs w:val="21"/>
              </w:rPr>
              <w:t>三羟甲基丙烷系列</w:t>
            </w: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第一次</w:t>
            </w:r>
          </w:p>
        </w:tc>
        <w:tc>
          <w:tcPr>
            <w:tcW w:w="44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2021.8.20</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7.36</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31</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0.438</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0.15</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16</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第二次</w:t>
            </w:r>
          </w:p>
        </w:tc>
        <w:tc>
          <w:tcPr>
            <w:tcW w:w="44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7.40</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43</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0.498</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0.16</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17</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第三次</w:t>
            </w:r>
          </w:p>
        </w:tc>
        <w:tc>
          <w:tcPr>
            <w:tcW w:w="44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7.37</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30</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0.465</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0.26</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15</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第四次</w:t>
            </w:r>
          </w:p>
        </w:tc>
        <w:tc>
          <w:tcPr>
            <w:tcW w:w="44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7.41</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32</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0.463</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0.11</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14</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2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均值/范围</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bidi="ar-SA"/>
              </w:rPr>
              <w:t>7.36-7.41</w:t>
            </w: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bidi="ar-SA"/>
              </w:rPr>
              <w:t>34</w:t>
            </w: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bidi="ar-SA"/>
              </w:rPr>
              <w:t>0.466</w:t>
            </w: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bidi="ar-SA"/>
              </w:rPr>
              <w:t>0.17</w:t>
            </w: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bidi="ar-SA"/>
              </w:rPr>
              <w:t>16</w:t>
            </w:r>
          </w:p>
        </w:tc>
        <w:tc>
          <w:tcPr>
            <w:tcW w:w="17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bidi="ar-SA"/>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第一次</w:t>
            </w:r>
          </w:p>
        </w:tc>
        <w:tc>
          <w:tcPr>
            <w:tcW w:w="44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2021.8.21</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bidi="ar-SA"/>
              </w:rPr>
              <w:t>7.41</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bidi="ar-SA"/>
              </w:rPr>
              <w:t>40</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bidi="ar-SA"/>
              </w:rPr>
              <w:t>0.155</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bidi="ar-SA"/>
              </w:rPr>
              <w:t>0.24</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bidi="ar-SA"/>
              </w:rPr>
              <w:t>13</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bidi="ar-SA"/>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第二次</w:t>
            </w:r>
          </w:p>
        </w:tc>
        <w:tc>
          <w:tcPr>
            <w:tcW w:w="44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bidi="ar-SA"/>
              </w:rPr>
              <w:t>7.33</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bidi="ar-SA"/>
              </w:rPr>
              <w:t>41</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bidi="ar-SA"/>
              </w:rPr>
              <w:t>0.127</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bidi="ar-SA"/>
              </w:rPr>
              <w:t>0.25</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bidi="ar-SA"/>
              </w:rPr>
              <w:t>15</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bidi="ar-SA"/>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第三次</w:t>
            </w:r>
          </w:p>
        </w:tc>
        <w:tc>
          <w:tcPr>
            <w:tcW w:w="44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bidi="ar-SA"/>
              </w:rPr>
              <w:t>7.38</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bidi="ar-SA"/>
              </w:rPr>
              <w:t>39</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bidi="ar-SA"/>
              </w:rPr>
              <w:t>0.174</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bidi="ar-SA"/>
              </w:rPr>
              <w:t>0.23</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bidi="ar-SA"/>
              </w:rPr>
              <w:t>17</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bidi="ar-SA"/>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第四次</w:t>
            </w:r>
          </w:p>
        </w:tc>
        <w:tc>
          <w:tcPr>
            <w:tcW w:w="44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bidi="ar-SA"/>
              </w:rPr>
              <w:t xml:space="preserve">7.42 </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bidi="ar-SA"/>
              </w:rPr>
              <w:t>45</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bidi="ar-SA"/>
              </w:rPr>
              <w:t>0.138</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bidi="ar-SA"/>
              </w:rPr>
              <w:t>0.24</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bidi="ar-SA"/>
              </w:rPr>
              <w:t>18</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bidi="ar-SA"/>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2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均值/范围</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bidi="ar-SA"/>
              </w:rPr>
              <w:t>7.33-7.41</w:t>
            </w: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bidi="ar-SA"/>
              </w:rPr>
              <w:t>41</w:t>
            </w: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bidi="ar-SA"/>
              </w:rPr>
              <w:t>0.148</w:t>
            </w: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bidi="ar-SA"/>
              </w:rPr>
              <w:t>0.24</w:t>
            </w:r>
          </w:p>
        </w:tc>
        <w:tc>
          <w:tcPr>
            <w:tcW w:w="173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bidi="ar-SA"/>
              </w:rPr>
              <w:t>16</w:t>
            </w:r>
          </w:p>
        </w:tc>
        <w:tc>
          <w:tcPr>
            <w:tcW w:w="17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bidi="ar-SA"/>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2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标准值</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6-9</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500</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25</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250</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2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达标情况</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达标</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达标</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达标</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达标</w:t>
            </w:r>
          </w:p>
        </w:tc>
        <w:tc>
          <w:tcPr>
            <w:tcW w:w="61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达标</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达标</w:t>
            </w:r>
          </w:p>
        </w:tc>
      </w:tr>
    </w:tbl>
    <w:p>
      <w:pPr>
        <w:rPr>
          <w:rFonts w:hint="default" w:ascii="Times New Roman" w:hAnsi="Times New Roman" w:eastAsia="宋体" w:cs="Times New Roman"/>
          <w:b/>
          <w:bCs/>
          <w:color w:val="auto"/>
          <w:sz w:val="24"/>
          <w:szCs w:val="24"/>
        </w:rPr>
        <w:sectPr>
          <w:pgSz w:w="16838" w:h="11911" w:orient="landscape"/>
          <w:pgMar w:top="1678" w:right="1463" w:bottom="1678" w:left="1463" w:header="907" w:footer="884" w:gutter="0"/>
          <w:pgBorders>
            <w:top w:val="none" w:sz="0" w:space="0"/>
            <w:left w:val="none" w:sz="0" w:space="0"/>
            <w:bottom w:val="none" w:sz="0" w:space="0"/>
            <w:right w:val="none" w:sz="0" w:space="0"/>
          </w:pgBorders>
          <w:pgNumType w:fmt="decimal"/>
          <w:cols w:space="0" w:num="1"/>
          <w:rtlGutter w:val="0"/>
          <w:docGrid w:type="lines" w:linePitch="0" w:charSpace="0"/>
        </w:sectPr>
      </w:pPr>
    </w:p>
    <w:p>
      <w:pPr>
        <w:keepNext w:val="0"/>
        <w:keepLines w:val="0"/>
        <w:pageBreakBefore w:val="0"/>
        <w:widowControl w:val="0"/>
        <w:kinsoku/>
        <w:wordWrap/>
        <w:overflowPunct/>
        <w:topLinePunct w:val="0"/>
        <w:autoSpaceDE w:val="0"/>
        <w:autoSpaceDN w:val="0"/>
        <w:bidi w:val="0"/>
        <w:adjustRightInd/>
        <w:snapToGrid/>
        <w:spacing w:after="0" w:line="360" w:lineRule="auto"/>
        <w:ind w:right="0" w:rightChars="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表10</w:t>
      </w: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 xml:space="preserve">2  </w:t>
      </w:r>
      <w:r>
        <w:rPr>
          <w:rFonts w:hint="default" w:ascii="Times New Roman" w:hAnsi="Times New Roman" w:eastAsia="宋体" w:cs="Times New Roman"/>
          <w:b/>
          <w:bCs/>
          <w:color w:val="auto"/>
          <w:sz w:val="24"/>
          <w:szCs w:val="24"/>
          <w:lang w:eastAsia="zh-CN"/>
        </w:rPr>
        <w:t>废水处理站废水处理效率监测结果表</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1594"/>
        <w:gridCol w:w="1557"/>
        <w:gridCol w:w="2318"/>
        <w:gridCol w:w="1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0"/>
                <w:kern w:val="2"/>
                <w:sz w:val="21"/>
                <w:szCs w:val="21"/>
                <w:lang w:val="en-US" w:eastAsia="zh-CN" w:bidi="ar-SA"/>
              </w:rPr>
            </w:pPr>
            <w:r>
              <w:rPr>
                <w:rFonts w:hint="default" w:ascii="Times New Roman" w:hAnsi="Times New Roman" w:eastAsia="宋体" w:cs="Times New Roman"/>
                <w:b/>
                <w:bCs/>
                <w:color w:val="auto"/>
                <w:spacing w:val="0"/>
                <w:sz w:val="21"/>
                <w:szCs w:val="21"/>
                <w:lang w:eastAsia="zh-CN"/>
              </w:rPr>
              <w:t>工况</w:t>
            </w:r>
          </w:p>
        </w:tc>
        <w:tc>
          <w:tcPr>
            <w:tcW w:w="90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0"/>
                <w:kern w:val="2"/>
                <w:sz w:val="21"/>
                <w:szCs w:val="21"/>
                <w:lang w:val="en-US" w:eastAsia="zh-CN" w:bidi="ar-SA"/>
              </w:rPr>
            </w:pPr>
            <w:r>
              <w:rPr>
                <w:rFonts w:hint="default" w:ascii="Times New Roman" w:hAnsi="Times New Roman" w:eastAsia="宋体" w:cs="Times New Roman"/>
                <w:b/>
                <w:bCs/>
                <w:color w:val="auto"/>
                <w:spacing w:val="0"/>
                <w:sz w:val="21"/>
                <w:szCs w:val="21"/>
                <w:lang w:eastAsia="zh-CN"/>
              </w:rPr>
              <w:t>频次</w:t>
            </w:r>
          </w:p>
        </w:tc>
        <w:tc>
          <w:tcPr>
            <w:tcW w:w="88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0"/>
                <w:kern w:val="2"/>
                <w:sz w:val="21"/>
                <w:szCs w:val="21"/>
                <w:lang w:val="en-US" w:eastAsia="zh-CN" w:bidi="ar-SA"/>
              </w:rPr>
            </w:pPr>
            <w:r>
              <w:rPr>
                <w:rFonts w:hint="default" w:ascii="Times New Roman" w:hAnsi="Times New Roman" w:eastAsia="宋体" w:cs="Times New Roman"/>
                <w:b/>
                <w:bCs/>
                <w:color w:val="auto"/>
                <w:spacing w:val="0"/>
                <w:sz w:val="21"/>
                <w:szCs w:val="21"/>
              </w:rPr>
              <w:t>采样日期</w:t>
            </w:r>
          </w:p>
        </w:tc>
        <w:tc>
          <w:tcPr>
            <w:tcW w:w="2395" w:type="pct"/>
            <w:gridSpan w:val="2"/>
            <w:noWrap w:val="0"/>
            <w:vAlign w:val="center"/>
          </w:tcPr>
          <w:p>
            <w:pPr>
              <w:pStyle w:val="2"/>
              <w:keepNext w:val="0"/>
              <w:keepLines w:val="0"/>
              <w:pageBreakBefore w:val="0"/>
              <w:widowControl w:val="0"/>
              <w:numPr>
                <w:ilvl w:val="0"/>
                <w:numId w:val="0"/>
              </w:numPr>
              <w:kinsoku/>
              <w:wordWrap/>
              <w:overflowPunct/>
              <w:topLinePunct w:val="0"/>
              <w:bidi w:val="0"/>
              <w:snapToGrid/>
              <w:spacing w:line="240" w:lineRule="auto"/>
              <w:jc w:val="center"/>
              <w:textAlignment w:val="auto"/>
              <w:rPr>
                <w:rFonts w:hint="default" w:ascii="Times New Roman" w:hAnsi="Times New Roman" w:eastAsia="宋体" w:cs="Times New Roman"/>
                <w:b/>
                <w:bCs/>
                <w:color w:val="auto"/>
                <w:spacing w:val="0"/>
                <w:sz w:val="21"/>
                <w:szCs w:val="21"/>
                <w:lang w:eastAsia="zh-CN"/>
              </w:rPr>
            </w:pPr>
            <w:r>
              <w:rPr>
                <w:rFonts w:hint="default" w:ascii="Times New Roman" w:hAnsi="Times New Roman" w:eastAsia="宋体" w:cs="Times New Roman"/>
                <w:b/>
                <w:bCs/>
                <w:color w:val="auto"/>
                <w:spacing w:val="0"/>
                <w:sz w:val="21"/>
                <w:szCs w:val="21"/>
              </w:rPr>
              <w:t>检测项目  单位：mg/L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0"/>
                <w:sz w:val="21"/>
                <w:szCs w:val="21"/>
              </w:rPr>
            </w:pPr>
          </w:p>
        </w:tc>
        <w:tc>
          <w:tcPr>
            <w:tcW w:w="90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0"/>
                <w:sz w:val="21"/>
                <w:szCs w:val="21"/>
              </w:rPr>
            </w:pPr>
          </w:p>
        </w:tc>
        <w:tc>
          <w:tcPr>
            <w:tcW w:w="8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0"/>
                <w:sz w:val="21"/>
                <w:szCs w:val="21"/>
              </w:rPr>
            </w:pP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spacing w:val="0"/>
                <w:sz w:val="21"/>
                <w:szCs w:val="21"/>
                <w:lang w:val="en-US" w:eastAsia="en-US" w:bidi="ar-SA"/>
              </w:rPr>
            </w:pPr>
            <w:r>
              <w:rPr>
                <w:rFonts w:hint="default" w:ascii="Times New Roman" w:hAnsi="Times New Roman" w:eastAsia="宋体" w:cs="Times New Roman"/>
                <w:b/>
                <w:bCs/>
                <w:color w:val="auto"/>
                <w:spacing w:val="0"/>
                <w:sz w:val="21"/>
                <w:szCs w:val="21"/>
                <w:lang w:val="en-US" w:eastAsia="zh-CN"/>
              </w:rPr>
              <w:t>化学需氧量</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spacing w:val="0"/>
                <w:sz w:val="21"/>
                <w:szCs w:val="21"/>
                <w:lang w:val="en-US" w:eastAsia="en-US" w:bidi="ar-SA"/>
              </w:rPr>
            </w:pPr>
            <w:r>
              <w:rPr>
                <w:rFonts w:hint="default" w:ascii="Times New Roman" w:hAnsi="Times New Roman" w:eastAsia="宋体" w:cs="Times New Roman"/>
                <w:b/>
                <w:bCs/>
                <w:color w:val="auto"/>
                <w:spacing w:val="0"/>
                <w:sz w:val="21"/>
                <w:szCs w:val="21"/>
                <w:lang w:val="en-US" w:eastAsia="zh-CN"/>
              </w:rPr>
              <w:t>悬浮物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z w:val="21"/>
                <w:szCs w:val="21"/>
              </w:rPr>
              <w:t>异丙醇系列</w:t>
            </w: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第一次</w:t>
            </w:r>
          </w:p>
        </w:tc>
        <w:tc>
          <w:tcPr>
            <w:tcW w:w="88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2021.7.21</w:t>
            </w: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2.60×10</w:t>
            </w:r>
            <w:r>
              <w:rPr>
                <w:rFonts w:hint="default" w:ascii="Times New Roman" w:hAnsi="Times New Roman" w:eastAsia="宋体" w:cs="Times New Roman"/>
                <w:color w:val="auto"/>
                <w:spacing w:val="0"/>
                <w:sz w:val="21"/>
                <w:szCs w:val="21"/>
                <w:vertAlign w:val="superscript"/>
                <w:lang w:val="en-US" w:eastAsia="zh-CN"/>
              </w:rPr>
              <w:t>3</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第二次</w:t>
            </w:r>
          </w:p>
        </w:tc>
        <w:tc>
          <w:tcPr>
            <w:tcW w:w="8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2.88×10</w:t>
            </w:r>
            <w:r>
              <w:rPr>
                <w:rFonts w:hint="default" w:ascii="Times New Roman" w:hAnsi="Times New Roman" w:eastAsia="宋体" w:cs="Times New Roman"/>
                <w:color w:val="auto"/>
                <w:spacing w:val="0"/>
                <w:sz w:val="21"/>
                <w:szCs w:val="21"/>
                <w:vertAlign w:val="superscript"/>
                <w:lang w:val="en-US" w:eastAsia="zh-CN"/>
              </w:rPr>
              <w:t>3</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第三次</w:t>
            </w:r>
          </w:p>
        </w:tc>
        <w:tc>
          <w:tcPr>
            <w:tcW w:w="8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2.93×10</w:t>
            </w:r>
            <w:r>
              <w:rPr>
                <w:rFonts w:hint="default" w:ascii="Times New Roman" w:hAnsi="Times New Roman" w:eastAsia="宋体" w:cs="Times New Roman"/>
                <w:color w:val="auto"/>
                <w:spacing w:val="0"/>
                <w:sz w:val="21"/>
                <w:szCs w:val="21"/>
                <w:vertAlign w:val="superscript"/>
                <w:lang w:val="en-US" w:eastAsia="zh-CN"/>
              </w:rPr>
              <w:t>3</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第四次</w:t>
            </w:r>
          </w:p>
        </w:tc>
        <w:tc>
          <w:tcPr>
            <w:tcW w:w="8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2.94×10</w:t>
            </w:r>
            <w:r>
              <w:rPr>
                <w:rFonts w:hint="default" w:ascii="Times New Roman" w:hAnsi="Times New Roman" w:eastAsia="宋体" w:cs="Times New Roman"/>
                <w:color w:val="auto"/>
                <w:spacing w:val="0"/>
                <w:sz w:val="21"/>
                <w:szCs w:val="21"/>
                <w:vertAlign w:val="superscript"/>
                <w:lang w:val="en-US" w:eastAsia="zh-CN"/>
              </w:rPr>
              <w:t>3</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179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均值/范围</w:t>
            </w:r>
          </w:p>
        </w:tc>
        <w:tc>
          <w:tcPr>
            <w:tcW w:w="1322"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2.84×10</w:t>
            </w:r>
            <w:r>
              <w:rPr>
                <w:rFonts w:hint="default" w:ascii="Times New Roman" w:hAnsi="Times New Roman" w:eastAsia="宋体" w:cs="Times New Roman"/>
                <w:color w:val="auto"/>
                <w:spacing w:val="0"/>
                <w:sz w:val="21"/>
                <w:szCs w:val="21"/>
                <w:vertAlign w:val="superscript"/>
                <w:lang w:val="en-US" w:eastAsia="zh-CN"/>
              </w:rPr>
              <w:t>3</w:t>
            </w:r>
          </w:p>
        </w:tc>
        <w:tc>
          <w:tcPr>
            <w:tcW w:w="107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第一次</w:t>
            </w:r>
          </w:p>
        </w:tc>
        <w:tc>
          <w:tcPr>
            <w:tcW w:w="88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2021.7.21</w:t>
            </w: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80</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第二次</w:t>
            </w:r>
          </w:p>
        </w:tc>
        <w:tc>
          <w:tcPr>
            <w:tcW w:w="8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81</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第三次</w:t>
            </w:r>
          </w:p>
        </w:tc>
        <w:tc>
          <w:tcPr>
            <w:tcW w:w="8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89</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第四次</w:t>
            </w:r>
          </w:p>
        </w:tc>
        <w:tc>
          <w:tcPr>
            <w:tcW w:w="8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79</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179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均值/范围</w:t>
            </w: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82</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179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去除率（%）</w:t>
            </w: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97%</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第一次</w:t>
            </w:r>
          </w:p>
        </w:tc>
        <w:tc>
          <w:tcPr>
            <w:tcW w:w="88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2021.7.22</w:t>
            </w: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2.38×10</w:t>
            </w:r>
            <w:r>
              <w:rPr>
                <w:rFonts w:hint="default" w:ascii="Times New Roman" w:hAnsi="Times New Roman" w:eastAsia="宋体" w:cs="Times New Roman"/>
                <w:color w:val="auto"/>
                <w:spacing w:val="0"/>
                <w:sz w:val="21"/>
                <w:szCs w:val="21"/>
                <w:vertAlign w:val="superscript"/>
                <w:lang w:val="en-US" w:eastAsia="zh-CN"/>
              </w:rPr>
              <w:t>3</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第二次</w:t>
            </w:r>
          </w:p>
        </w:tc>
        <w:tc>
          <w:tcPr>
            <w:tcW w:w="8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2.21×10</w:t>
            </w:r>
            <w:r>
              <w:rPr>
                <w:rFonts w:hint="default" w:ascii="Times New Roman" w:hAnsi="Times New Roman" w:eastAsia="宋体" w:cs="Times New Roman"/>
                <w:color w:val="auto"/>
                <w:spacing w:val="0"/>
                <w:sz w:val="21"/>
                <w:szCs w:val="21"/>
                <w:vertAlign w:val="superscript"/>
                <w:lang w:val="en-US" w:eastAsia="zh-CN"/>
              </w:rPr>
              <w:t>3</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第三次</w:t>
            </w:r>
          </w:p>
        </w:tc>
        <w:tc>
          <w:tcPr>
            <w:tcW w:w="8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2.32×10</w:t>
            </w:r>
            <w:r>
              <w:rPr>
                <w:rFonts w:hint="default" w:ascii="Times New Roman" w:hAnsi="Times New Roman" w:eastAsia="宋体" w:cs="Times New Roman"/>
                <w:color w:val="auto"/>
                <w:spacing w:val="0"/>
                <w:sz w:val="21"/>
                <w:szCs w:val="21"/>
                <w:vertAlign w:val="superscript"/>
                <w:lang w:val="en-US" w:eastAsia="zh-CN"/>
              </w:rPr>
              <w:t>3</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第四次</w:t>
            </w:r>
          </w:p>
        </w:tc>
        <w:tc>
          <w:tcPr>
            <w:tcW w:w="8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2.28×10</w:t>
            </w:r>
            <w:r>
              <w:rPr>
                <w:rFonts w:hint="default" w:ascii="Times New Roman" w:hAnsi="Times New Roman" w:eastAsia="宋体" w:cs="Times New Roman"/>
                <w:color w:val="auto"/>
                <w:spacing w:val="0"/>
                <w:sz w:val="21"/>
                <w:szCs w:val="21"/>
                <w:vertAlign w:val="superscript"/>
                <w:lang w:val="en-US" w:eastAsia="zh-CN"/>
              </w:rPr>
              <w:t>3</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179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均值/范围</w:t>
            </w: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2.30×10</w:t>
            </w:r>
            <w:r>
              <w:rPr>
                <w:rFonts w:hint="default" w:ascii="Times New Roman" w:hAnsi="Times New Roman" w:eastAsia="宋体" w:cs="Times New Roman"/>
                <w:color w:val="auto"/>
                <w:spacing w:val="0"/>
                <w:sz w:val="21"/>
                <w:szCs w:val="21"/>
                <w:vertAlign w:val="superscript"/>
                <w:lang w:val="en-US" w:eastAsia="zh-CN"/>
              </w:rPr>
              <w:t>3</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第一次</w:t>
            </w:r>
          </w:p>
        </w:tc>
        <w:tc>
          <w:tcPr>
            <w:tcW w:w="88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2021.7.22</w:t>
            </w: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73</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第二次</w:t>
            </w:r>
          </w:p>
        </w:tc>
        <w:tc>
          <w:tcPr>
            <w:tcW w:w="8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67</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第三次</w:t>
            </w:r>
          </w:p>
        </w:tc>
        <w:tc>
          <w:tcPr>
            <w:tcW w:w="8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84</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第四次</w:t>
            </w:r>
          </w:p>
        </w:tc>
        <w:tc>
          <w:tcPr>
            <w:tcW w:w="8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72</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179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均值/范围</w:t>
            </w: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74</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179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去除率（%）</w:t>
            </w: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bidi="ar-SA"/>
              </w:rPr>
              <w:t>97%</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0"/>
                <w:kern w:val="2"/>
                <w:sz w:val="21"/>
                <w:szCs w:val="21"/>
                <w:lang w:val="en-US" w:eastAsia="zh-CN" w:bidi="ar-SA"/>
              </w:rPr>
            </w:pPr>
            <w:r>
              <w:rPr>
                <w:rFonts w:hint="default" w:ascii="Times New Roman" w:hAnsi="Times New Roman" w:eastAsia="宋体" w:cs="Times New Roman"/>
                <w:b/>
                <w:bCs/>
                <w:color w:val="auto"/>
                <w:spacing w:val="0"/>
                <w:sz w:val="21"/>
                <w:szCs w:val="21"/>
                <w:lang w:eastAsia="zh-CN"/>
              </w:rPr>
              <w:t>工况</w:t>
            </w:r>
          </w:p>
        </w:tc>
        <w:tc>
          <w:tcPr>
            <w:tcW w:w="90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0"/>
                <w:kern w:val="2"/>
                <w:sz w:val="21"/>
                <w:szCs w:val="21"/>
                <w:lang w:val="en-US" w:eastAsia="zh-CN" w:bidi="ar-SA"/>
              </w:rPr>
            </w:pPr>
            <w:r>
              <w:rPr>
                <w:rFonts w:hint="default" w:ascii="Times New Roman" w:hAnsi="Times New Roman" w:eastAsia="宋体" w:cs="Times New Roman"/>
                <w:b/>
                <w:bCs/>
                <w:color w:val="auto"/>
                <w:spacing w:val="0"/>
                <w:sz w:val="21"/>
                <w:szCs w:val="21"/>
                <w:lang w:eastAsia="zh-CN"/>
              </w:rPr>
              <w:t>频次</w:t>
            </w:r>
          </w:p>
        </w:tc>
        <w:tc>
          <w:tcPr>
            <w:tcW w:w="88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0"/>
                <w:kern w:val="2"/>
                <w:sz w:val="21"/>
                <w:szCs w:val="21"/>
                <w:lang w:val="en-US" w:eastAsia="zh-CN" w:bidi="ar-SA"/>
              </w:rPr>
            </w:pPr>
            <w:r>
              <w:rPr>
                <w:rFonts w:hint="default" w:ascii="Times New Roman" w:hAnsi="Times New Roman" w:eastAsia="宋体" w:cs="Times New Roman"/>
                <w:b/>
                <w:bCs/>
                <w:color w:val="auto"/>
                <w:spacing w:val="0"/>
                <w:sz w:val="21"/>
                <w:szCs w:val="21"/>
              </w:rPr>
              <w:t>采样日期</w:t>
            </w:r>
          </w:p>
        </w:tc>
        <w:tc>
          <w:tcPr>
            <w:tcW w:w="2395" w:type="pct"/>
            <w:gridSpan w:val="2"/>
            <w:noWrap w:val="0"/>
            <w:vAlign w:val="center"/>
          </w:tcPr>
          <w:p>
            <w:pPr>
              <w:pStyle w:val="2"/>
              <w:keepNext w:val="0"/>
              <w:keepLines w:val="0"/>
              <w:pageBreakBefore w:val="0"/>
              <w:widowControl w:val="0"/>
              <w:numPr>
                <w:ilvl w:val="0"/>
                <w:numId w:val="0"/>
              </w:numPr>
              <w:kinsoku/>
              <w:wordWrap/>
              <w:overflowPunct/>
              <w:topLinePunct w:val="0"/>
              <w:bidi w:val="0"/>
              <w:snapToGrid/>
              <w:spacing w:line="240" w:lineRule="auto"/>
              <w:jc w:val="center"/>
              <w:textAlignment w:val="auto"/>
              <w:rPr>
                <w:rFonts w:hint="default" w:ascii="Times New Roman" w:hAnsi="Times New Roman" w:eastAsia="宋体" w:cs="Times New Roman"/>
                <w:b/>
                <w:bCs/>
                <w:color w:val="auto"/>
                <w:spacing w:val="0"/>
                <w:sz w:val="21"/>
                <w:szCs w:val="21"/>
                <w:lang w:eastAsia="zh-CN"/>
              </w:rPr>
            </w:pPr>
            <w:r>
              <w:rPr>
                <w:rFonts w:hint="default" w:ascii="Times New Roman" w:hAnsi="Times New Roman" w:eastAsia="宋体" w:cs="Times New Roman"/>
                <w:b/>
                <w:bCs/>
                <w:color w:val="auto"/>
                <w:spacing w:val="0"/>
                <w:sz w:val="21"/>
                <w:szCs w:val="21"/>
              </w:rPr>
              <w:t>检测项目  单位：mg/L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0"/>
                <w:sz w:val="21"/>
                <w:szCs w:val="21"/>
              </w:rPr>
            </w:pPr>
          </w:p>
        </w:tc>
        <w:tc>
          <w:tcPr>
            <w:tcW w:w="90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0"/>
                <w:sz w:val="21"/>
                <w:szCs w:val="21"/>
              </w:rPr>
            </w:pPr>
          </w:p>
        </w:tc>
        <w:tc>
          <w:tcPr>
            <w:tcW w:w="8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0"/>
                <w:sz w:val="21"/>
                <w:szCs w:val="21"/>
              </w:rPr>
            </w:pP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spacing w:val="0"/>
                <w:sz w:val="21"/>
                <w:szCs w:val="21"/>
                <w:lang w:val="en-US" w:eastAsia="en-US" w:bidi="ar-SA"/>
              </w:rPr>
            </w:pPr>
            <w:r>
              <w:rPr>
                <w:rFonts w:hint="default" w:ascii="Times New Roman" w:hAnsi="Times New Roman" w:eastAsia="宋体" w:cs="Times New Roman"/>
                <w:b/>
                <w:bCs/>
                <w:color w:val="auto"/>
                <w:spacing w:val="0"/>
                <w:sz w:val="21"/>
                <w:szCs w:val="21"/>
                <w:lang w:val="en-US" w:eastAsia="zh-CN"/>
              </w:rPr>
              <w:t>化学需氧量</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spacing w:val="0"/>
                <w:sz w:val="21"/>
                <w:szCs w:val="21"/>
                <w:lang w:val="en-US" w:eastAsia="en-US" w:bidi="ar-SA"/>
              </w:rPr>
            </w:pPr>
            <w:r>
              <w:rPr>
                <w:rFonts w:hint="default" w:ascii="Times New Roman" w:hAnsi="Times New Roman" w:eastAsia="宋体" w:cs="Times New Roman"/>
                <w:b/>
                <w:bCs/>
                <w:color w:val="auto"/>
                <w:spacing w:val="0"/>
                <w:sz w:val="21"/>
                <w:szCs w:val="21"/>
                <w:lang w:val="en-US" w:eastAsia="zh-CN"/>
              </w:rPr>
              <w:t>悬浮物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z w:val="21"/>
                <w:szCs w:val="21"/>
              </w:rPr>
              <w:t>异辛醇系列</w:t>
            </w: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第一次</w:t>
            </w:r>
          </w:p>
        </w:tc>
        <w:tc>
          <w:tcPr>
            <w:tcW w:w="88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2021.7.28</w:t>
            </w: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1.89×10</w:t>
            </w:r>
            <w:r>
              <w:rPr>
                <w:rFonts w:hint="default" w:ascii="Times New Roman" w:hAnsi="Times New Roman" w:eastAsia="宋体" w:cs="Times New Roman"/>
                <w:color w:val="auto"/>
                <w:spacing w:val="0"/>
                <w:sz w:val="21"/>
                <w:szCs w:val="21"/>
                <w:vertAlign w:val="superscript"/>
                <w:lang w:val="en-US" w:eastAsia="zh-CN"/>
              </w:rPr>
              <w:t>3</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第二次</w:t>
            </w:r>
          </w:p>
        </w:tc>
        <w:tc>
          <w:tcPr>
            <w:tcW w:w="8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1.91×10</w:t>
            </w:r>
            <w:r>
              <w:rPr>
                <w:rFonts w:hint="default" w:ascii="Times New Roman" w:hAnsi="Times New Roman" w:eastAsia="宋体" w:cs="Times New Roman"/>
                <w:color w:val="auto"/>
                <w:spacing w:val="0"/>
                <w:sz w:val="21"/>
                <w:szCs w:val="21"/>
                <w:vertAlign w:val="superscript"/>
                <w:lang w:val="en-US" w:eastAsia="zh-CN"/>
              </w:rPr>
              <w:t>3</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第三次</w:t>
            </w:r>
          </w:p>
        </w:tc>
        <w:tc>
          <w:tcPr>
            <w:tcW w:w="8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1.78×10</w:t>
            </w:r>
            <w:r>
              <w:rPr>
                <w:rFonts w:hint="default" w:ascii="Times New Roman" w:hAnsi="Times New Roman" w:eastAsia="宋体" w:cs="Times New Roman"/>
                <w:color w:val="auto"/>
                <w:spacing w:val="0"/>
                <w:sz w:val="21"/>
                <w:szCs w:val="21"/>
                <w:vertAlign w:val="superscript"/>
                <w:lang w:val="en-US" w:eastAsia="zh-CN"/>
              </w:rPr>
              <w:t>3</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第四次</w:t>
            </w:r>
          </w:p>
        </w:tc>
        <w:tc>
          <w:tcPr>
            <w:tcW w:w="8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1.90×10</w:t>
            </w:r>
            <w:r>
              <w:rPr>
                <w:rFonts w:hint="default" w:ascii="Times New Roman" w:hAnsi="Times New Roman" w:eastAsia="宋体" w:cs="Times New Roman"/>
                <w:color w:val="auto"/>
                <w:spacing w:val="0"/>
                <w:sz w:val="21"/>
                <w:szCs w:val="21"/>
                <w:vertAlign w:val="superscript"/>
                <w:lang w:val="en-US" w:eastAsia="zh-CN"/>
              </w:rPr>
              <w:t>3</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179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均值/范围</w:t>
            </w:r>
          </w:p>
        </w:tc>
        <w:tc>
          <w:tcPr>
            <w:tcW w:w="1322"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1.87×10</w:t>
            </w:r>
            <w:r>
              <w:rPr>
                <w:rFonts w:hint="default" w:ascii="Times New Roman" w:hAnsi="Times New Roman" w:eastAsia="宋体" w:cs="Times New Roman"/>
                <w:color w:val="auto"/>
                <w:spacing w:val="0"/>
                <w:sz w:val="21"/>
                <w:szCs w:val="21"/>
                <w:vertAlign w:val="superscript"/>
                <w:lang w:val="en-US" w:eastAsia="zh-CN"/>
              </w:rPr>
              <w:t>3</w:t>
            </w:r>
          </w:p>
        </w:tc>
        <w:tc>
          <w:tcPr>
            <w:tcW w:w="107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第一次</w:t>
            </w:r>
          </w:p>
        </w:tc>
        <w:tc>
          <w:tcPr>
            <w:tcW w:w="88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2021.7.28</w:t>
            </w: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150</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第二次</w:t>
            </w:r>
          </w:p>
        </w:tc>
        <w:tc>
          <w:tcPr>
            <w:tcW w:w="8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152</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第三次</w:t>
            </w:r>
          </w:p>
        </w:tc>
        <w:tc>
          <w:tcPr>
            <w:tcW w:w="8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149</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第四次</w:t>
            </w:r>
          </w:p>
        </w:tc>
        <w:tc>
          <w:tcPr>
            <w:tcW w:w="8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144</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179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均值/范围</w:t>
            </w: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149</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179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去除率（%）</w:t>
            </w: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92%</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第一次</w:t>
            </w:r>
          </w:p>
        </w:tc>
        <w:tc>
          <w:tcPr>
            <w:tcW w:w="88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2021.7.29</w:t>
            </w: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2.08×10</w:t>
            </w:r>
            <w:r>
              <w:rPr>
                <w:rFonts w:hint="default" w:ascii="Times New Roman" w:hAnsi="Times New Roman" w:eastAsia="宋体" w:cs="Times New Roman"/>
                <w:color w:val="auto"/>
                <w:spacing w:val="0"/>
                <w:sz w:val="21"/>
                <w:szCs w:val="21"/>
                <w:vertAlign w:val="superscript"/>
                <w:lang w:val="en-US" w:eastAsia="zh-CN"/>
              </w:rPr>
              <w:t>3</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第二次</w:t>
            </w:r>
          </w:p>
        </w:tc>
        <w:tc>
          <w:tcPr>
            <w:tcW w:w="8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2.06×10</w:t>
            </w:r>
            <w:r>
              <w:rPr>
                <w:rFonts w:hint="default" w:ascii="Times New Roman" w:hAnsi="Times New Roman" w:eastAsia="宋体" w:cs="Times New Roman"/>
                <w:color w:val="auto"/>
                <w:spacing w:val="0"/>
                <w:sz w:val="21"/>
                <w:szCs w:val="21"/>
                <w:vertAlign w:val="superscript"/>
                <w:lang w:val="en-US" w:eastAsia="zh-CN"/>
              </w:rPr>
              <w:t>3</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第三次</w:t>
            </w:r>
          </w:p>
        </w:tc>
        <w:tc>
          <w:tcPr>
            <w:tcW w:w="8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2.05×10</w:t>
            </w:r>
            <w:r>
              <w:rPr>
                <w:rFonts w:hint="default" w:ascii="Times New Roman" w:hAnsi="Times New Roman" w:eastAsia="宋体" w:cs="Times New Roman"/>
                <w:color w:val="auto"/>
                <w:spacing w:val="0"/>
                <w:sz w:val="21"/>
                <w:szCs w:val="21"/>
                <w:vertAlign w:val="superscript"/>
                <w:lang w:val="en-US" w:eastAsia="zh-CN"/>
              </w:rPr>
              <w:t>3</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第四次</w:t>
            </w:r>
          </w:p>
        </w:tc>
        <w:tc>
          <w:tcPr>
            <w:tcW w:w="8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2.04×10</w:t>
            </w:r>
            <w:r>
              <w:rPr>
                <w:rFonts w:hint="default" w:ascii="Times New Roman" w:hAnsi="Times New Roman" w:eastAsia="宋体" w:cs="Times New Roman"/>
                <w:color w:val="auto"/>
                <w:spacing w:val="0"/>
                <w:sz w:val="21"/>
                <w:szCs w:val="21"/>
                <w:vertAlign w:val="superscript"/>
                <w:lang w:val="en-US" w:eastAsia="zh-CN"/>
              </w:rPr>
              <w:t>3</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179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均值/范围</w:t>
            </w: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2.06×10</w:t>
            </w:r>
            <w:r>
              <w:rPr>
                <w:rFonts w:hint="default" w:ascii="Times New Roman" w:hAnsi="Times New Roman" w:eastAsia="宋体" w:cs="Times New Roman"/>
                <w:color w:val="auto"/>
                <w:spacing w:val="0"/>
                <w:sz w:val="21"/>
                <w:szCs w:val="21"/>
                <w:vertAlign w:val="superscript"/>
                <w:lang w:val="en-US" w:eastAsia="zh-CN"/>
              </w:rPr>
              <w:t>3</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第一次</w:t>
            </w:r>
          </w:p>
        </w:tc>
        <w:tc>
          <w:tcPr>
            <w:tcW w:w="88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2021.7.29</w:t>
            </w: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172</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第二次</w:t>
            </w:r>
          </w:p>
        </w:tc>
        <w:tc>
          <w:tcPr>
            <w:tcW w:w="8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167</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第三次</w:t>
            </w:r>
          </w:p>
        </w:tc>
        <w:tc>
          <w:tcPr>
            <w:tcW w:w="8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162</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第四次</w:t>
            </w:r>
          </w:p>
        </w:tc>
        <w:tc>
          <w:tcPr>
            <w:tcW w:w="8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172</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179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均值/范围</w:t>
            </w: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168</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179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去除率（%）</w:t>
            </w: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bidi="ar-SA"/>
              </w:rPr>
              <w:t>92%</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0"/>
                <w:kern w:val="2"/>
                <w:sz w:val="21"/>
                <w:szCs w:val="21"/>
                <w:lang w:val="en-US" w:eastAsia="zh-CN" w:bidi="ar-SA"/>
              </w:rPr>
            </w:pPr>
            <w:r>
              <w:rPr>
                <w:rFonts w:hint="default" w:ascii="Times New Roman" w:hAnsi="Times New Roman" w:eastAsia="宋体" w:cs="Times New Roman"/>
                <w:b/>
                <w:bCs/>
                <w:color w:val="auto"/>
                <w:spacing w:val="0"/>
                <w:sz w:val="21"/>
                <w:szCs w:val="21"/>
                <w:lang w:eastAsia="zh-CN"/>
              </w:rPr>
              <w:t>工况</w:t>
            </w:r>
          </w:p>
        </w:tc>
        <w:tc>
          <w:tcPr>
            <w:tcW w:w="90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0"/>
                <w:kern w:val="2"/>
                <w:sz w:val="21"/>
                <w:szCs w:val="21"/>
                <w:lang w:val="en-US" w:eastAsia="zh-CN" w:bidi="ar-SA"/>
              </w:rPr>
            </w:pPr>
            <w:r>
              <w:rPr>
                <w:rFonts w:hint="default" w:ascii="Times New Roman" w:hAnsi="Times New Roman" w:eastAsia="宋体" w:cs="Times New Roman"/>
                <w:b/>
                <w:bCs/>
                <w:color w:val="auto"/>
                <w:spacing w:val="0"/>
                <w:sz w:val="21"/>
                <w:szCs w:val="21"/>
                <w:lang w:eastAsia="zh-CN"/>
              </w:rPr>
              <w:t>频次</w:t>
            </w:r>
          </w:p>
        </w:tc>
        <w:tc>
          <w:tcPr>
            <w:tcW w:w="88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0"/>
                <w:kern w:val="2"/>
                <w:sz w:val="21"/>
                <w:szCs w:val="21"/>
                <w:lang w:val="en-US" w:eastAsia="zh-CN" w:bidi="ar-SA"/>
              </w:rPr>
            </w:pPr>
            <w:r>
              <w:rPr>
                <w:rFonts w:hint="default" w:ascii="Times New Roman" w:hAnsi="Times New Roman" w:eastAsia="宋体" w:cs="Times New Roman"/>
                <w:b/>
                <w:bCs/>
                <w:color w:val="auto"/>
                <w:spacing w:val="0"/>
                <w:sz w:val="21"/>
                <w:szCs w:val="21"/>
              </w:rPr>
              <w:t>采样日期</w:t>
            </w:r>
          </w:p>
        </w:tc>
        <w:tc>
          <w:tcPr>
            <w:tcW w:w="2395" w:type="pct"/>
            <w:gridSpan w:val="2"/>
            <w:noWrap w:val="0"/>
            <w:vAlign w:val="center"/>
          </w:tcPr>
          <w:p>
            <w:pPr>
              <w:pStyle w:val="2"/>
              <w:keepNext w:val="0"/>
              <w:keepLines w:val="0"/>
              <w:pageBreakBefore w:val="0"/>
              <w:widowControl w:val="0"/>
              <w:numPr>
                <w:ilvl w:val="0"/>
                <w:numId w:val="0"/>
              </w:numPr>
              <w:kinsoku/>
              <w:wordWrap/>
              <w:overflowPunct/>
              <w:topLinePunct w:val="0"/>
              <w:bidi w:val="0"/>
              <w:snapToGrid/>
              <w:spacing w:line="240" w:lineRule="auto"/>
              <w:jc w:val="center"/>
              <w:textAlignment w:val="auto"/>
              <w:rPr>
                <w:rFonts w:hint="default" w:ascii="Times New Roman" w:hAnsi="Times New Roman" w:eastAsia="宋体" w:cs="Times New Roman"/>
                <w:b/>
                <w:bCs/>
                <w:color w:val="auto"/>
                <w:spacing w:val="0"/>
                <w:sz w:val="21"/>
                <w:szCs w:val="21"/>
                <w:lang w:eastAsia="zh-CN"/>
              </w:rPr>
            </w:pPr>
            <w:r>
              <w:rPr>
                <w:rFonts w:hint="default" w:ascii="Times New Roman" w:hAnsi="Times New Roman" w:eastAsia="宋体" w:cs="Times New Roman"/>
                <w:b/>
                <w:bCs/>
                <w:color w:val="auto"/>
                <w:spacing w:val="0"/>
                <w:sz w:val="21"/>
                <w:szCs w:val="21"/>
              </w:rPr>
              <w:t>检测项目  单位：mg/L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0"/>
                <w:sz w:val="21"/>
                <w:szCs w:val="21"/>
              </w:rPr>
            </w:pPr>
          </w:p>
        </w:tc>
        <w:tc>
          <w:tcPr>
            <w:tcW w:w="90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0"/>
                <w:sz w:val="21"/>
                <w:szCs w:val="21"/>
              </w:rPr>
            </w:pPr>
          </w:p>
        </w:tc>
        <w:tc>
          <w:tcPr>
            <w:tcW w:w="8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0"/>
                <w:sz w:val="21"/>
                <w:szCs w:val="21"/>
              </w:rPr>
            </w:pP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spacing w:val="0"/>
                <w:sz w:val="21"/>
                <w:szCs w:val="21"/>
                <w:lang w:val="en-US" w:eastAsia="en-US" w:bidi="ar-SA"/>
              </w:rPr>
            </w:pPr>
            <w:r>
              <w:rPr>
                <w:rFonts w:hint="default" w:ascii="Times New Roman" w:hAnsi="Times New Roman" w:eastAsia="宋体" w:cs="Times New Roman"/>
                <w:b/>
                <w:bCs/>
                <w:color w:val="auto"/>
                <w:spacing w:val="0"/>
                <w:sz w:val="21"/>
                <w:szCs w:val="21"/>
                <w:lang w:val="en-US" w:eastAsia="zh-CN"/>
              </w:rPr>
              <w:t>化学需氧量</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spacing w:val="0"/>
                <w:sz w:val="21"/>
                <w:szCs w:val="21"/>
                <w:lang w:val="en-US" w:eastAsia="en-US" w:bidi="ar-SA"/>
              </w:rPr>
            </w:pPr>
            <w:r>
              <w:rPr>
                <w:rFonts w:hint="default" w:ascii="Times New Roman" w:hAnsi="Times New Roman" w:eastAsia="宋体" w:cs="Times New Roman"/>
                <w:b/>
                <w:bCs/>
                <w:color w:val="auto"/>
                <w:spacing w:val="0"/>
                <w:sz w:val="21"/>
                <w:szCs w:val="21"/>
                <w:lang w:val="en-US" w:eastAsia="zh-CN"/>
              </w:rPr>
              <w:t>悬浮物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z w:val="21"/>
                <w:szCs w:val="21"/>
              </w:rPr>
              <w:t>三羟甲基丙烷系列</w:t>
            </w: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第一次</w:t>
            </w:r>
          </w:p>
        </w:tc>
        <w:tc>
          <w:tcPr>
            <w:tcW w:w="88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2021.8.20</w:t>
            </w: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2.36×10</w:t>
            </w:r>
            <w:r>
              <w:rPr>
                <w:rFonts w:hint="default" w:ascii="Times New Roman" w:hAnsi="Times New Roman" w:eastAsia="宋体" w:cs="Times New Roman"/>
                <w:color w:val="auto"/>
                <w:spacing w:val="0"/>
                <w:sz w:val="21"/>
                <w:szCs w:val="21"/>
                <w:vertAlign w:val="superscript"/>
                <w:lang w:val="en-US" w:eastAsia="zh-CN"/>
              </w:rPr>
              <w:t>3</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第二次</w:t>
            </w:r>
          </w:p>
        </w:tc>
        <w:tc>
          <w:tcPr>
            <w:tcW w:w="8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2.15×10</w:t>
            </w:r>
            <w:r>
              <w:rPr>
                <w:rFonts w:hint="default" w:ascii="Times New Roman" w:hAnsi="Times New Roman" w:eastAsia="宋体" w:cs="Times New Roman"/>
                <w:color w:val="auto"/>
                <w:spacing w:val="0"/>
                <w:sz w:val="21"/>
                <w:szCs w:val="21"/>
                <w:vertAlign w:val="superscript"/>
                <w:lang w:val="en-US" w:eastAsia="zh-CN"/>
              </w:rPr>
              <w:t>3</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第三次</w:t>
            </w:r>
          </w:p>
        </w:tc>
        <w:tc>
          <w:tcPr>
            <w:tcW w:w="8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2.33×10</w:t>
            </w:r>
            <w:r>
              <w:rPr>
                <w:rFonts w:hint="default" w:ascii="Times New Roman" w:hAnsi="Times New Roman" w:eastAsia="宋体" w:cs="Times New Roman"/>
                <w:color w:val="auto"/>
                <w:spacing w:val="0"/>
                <w:sz w:val="21"/>
                <w:szCs w:val="21"/>
                <w:vertAlign w:val="superscript"/>
                <w:lang w:val="en-US" w:eastAsia="zh-CN"/>
              </w:rPr>
              <w:t>3</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第四次</w:t>
            </w:r>
          </w:p>
        </w:tc>
        <w:tc>
          <w:tcPr>
            <w:tcW w:w="8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2.29×10</w:t>
            </w:r>
            <w:r>
              <w:rPr>
                <w:rFonts w:hint="default" w:ascii="Times New Roman" w:hAnsi="Times New Roman" w:eastAsia="宋体" w:cs="Times New Roman"/>
                <w:color w:val="auto"/>
                <w:spacing w:val="0"/>
                <w:sz w:val="21"/>
                <w:szCs w:val="21"/>
                <w:vertAlign w:val="superscript"/>
                <w:lang w:val="en-US" w:eastAsia="zh-CN"/>
              </w:rPr>
              <w:t>3</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179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均值/范围</w:t>
            </w:r>
          </w:p>
        </w:tc>
        <w:tc>
          <w:tcPr>
            <w:tcW w:w="1322"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2.28×10</w:t>
            </w:r>
            <w:r>
              <w:rPr>
                <w:rFonts w:hint="default" w:ascii="Times New Roman" w:hAnsi="Times New Roman" w:eastAsia="宋体" w:cs="Times New Roman"/>
                <w:color w:val="auto"/>
                <w:spacing w:val="0"/>
                <w:sz w:val="21"/>
                <w:szCs w:val="21"/>
                <w:vertAlign w:val="superscript"/>
                <w:lang w:val="en-US" w:eastAsia="zh-CN"/>
              </w:rPr>
              <w:t>3</w:t>
            </w:r>
          </w:p>
        </w:tc>
        <w:tc>
          <w:tcPr>
            <w:tcW w:w="107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第一次</w:t>
            </w:r>
          </w:p>
        </w:tc>
        <w:tc>
          <w:tcPr>
            <w:tcW w:w="88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2021.8.20</w:t>
            </w: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35</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第二次</w:t>
            </w:r>
          </w:p>
        </w:tc>
        <w:tc>
          <w:tcPr>
            <w:tcW w:w="8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45</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第三次</w:t>
            </w:r>
          </w:p>
        </w:tc>
        <w:tc>
          <w:tcPr>
            <w:tcW w:w="8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34</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第四次</w:t>
            </w:r>
          </w:p>
        </w:tc>
        <w:tc>
          <w:tcPr>
            <w:tcW w:w="8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34</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179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均值/范围</w:t>
            </w: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37</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179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去除率（%）</w:t>
            </w: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98%</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第一次</w:t>
            </w:r>
          </w:p>
        </w:tc>
        <w:tc>
          <w:tcPr>
            <w:tcW w:w="88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2021.8.21</w:t>
            </w: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2.49×10</w:t>
            </w:r>
            <w:r>
              <w:rPr>
                <w:rFonts w:hint="default" w:ascii="Times New Roman" w:hAnsi="Times New Roman" w:eastAsia="宋体" w:cs="Times New Roman"/>
                <w:color w:val="auto"/>
                <w:spacing w:val="0"/>
                <w:sz w:val="21"/>
                <w:szCs w:val="21"/>
                <w:vertAlign w:val="superscript"/>
                <w:lang w:val="en-US" w:eastAsia="zh-CN"/>
              </w:rPr>
              <w:t>3</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第二次</w:t>
            </w:r>
          </w:p>
        </w:tc>
        <w:tc>
          <w:tcPr>
            <w:tcW w:w="8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2.40×10</w:t>
            </w:r>
            <w:r>
              <w:rPr>
                <w:rFonts w:hint="default" w:ascii="Times New Roman" w:hAnsi="Times New Roman" w:eastAsia="宋体" w:cs="Times New Roman"/>
                <w:color w:val="auto"/>
                <w:spacing w:val="0"/>
                <w:sz w:val="21"/>
                <w:szCs w:val="21"/>
                <w:vertAlign w:val="superscript"/>
                <w:lang w:val="en-US" w:eastAsia="zh-CN"/>
              </w:rPr>
              <w:t>3</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第三次</w:t>
            </w:r>
          </w:p>
        </w:tc>
        <w:tc>
          <w:tcPr>
            <w:tcW w:w="8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2.27×10</w:t>
            </w:r>
            <w:r>
              <w:rPr>
                <w:rFonts w:hint="default" w:ascii="Times New Roman" w:hAnsi="Times New Roman" w:eastAsia="宋体" w:cs="Times New Roman"/>
                <w:color w:val="auto"/>
                <w:spacing w:val="0"/>
                <w:sz w:val="21"/>
                <w:szCs w:val="21"/>
                <w:vertAlign w:val="superscript"/>
                <w:lang w:val="en-US" w:eastAsia="zh-CN"/>
              </w:rPr>
              <w:t>3</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第四次</w:t>
            </w:r>
          </w:p>
        </w:tc>
        <w:tc>
          <w:tcPr>
            <w:tcW w:w="8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2.30×10</w:t>
            </w:r>
            <w:r>
              <w:rPr>
                <w:rFonts w:hint="default" w:ascii="Times New Roman" w:hAnsi="Times New Roman" w:eastAsia="宋体" w:cs="Times New Roman"/>
                <w:color w:val="auto"/>
                <w:spacing w:val="0"/>
                <w:sz w:val="21"/>
                <w:szCs w:val="21"/>
                <w:vertAlign w:val="superscript"/>
                <w:lang w:val="en-US" w:eastAsia="zh-CN"/>
              </w:rPr>
              <w:t>3</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179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均值/范围</w:t>
            </w: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2.36×10</w:t>
            </w:r>
            <w:r>
              <w:rPr>
                <w:rFonts w:hint="default" w:ascii="Times New Roman" w:hAnsi="Times New Roman" w:eastAsia="宋体" w:cs="Times New Roman"/>
                <w:color w:val="auto"/>
                <w:spacing w:val="0"/>
                <w:sz w:val="21"/>
                <w:szCs w:val="21"/>
                <w:vertAlign w:val="superscript"/>
                <w:lang w:val="en-US" w:eastAsia="zh-CN"/>
              </w:rPr>
              <w:t>3</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第一次</w:t>
            </w:r>
          </w:p>
        </w:tc>
        <w:tc>
          <w:tcPr>
            <w:tcW w:w="88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2021.8.21</w:t>
            </w: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40</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第二次</w:t>
            </w:r>
          </w:p>
        </w:tc>
        <w:tc>
          <w:tcPr>
            <w:tcW w:w="8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39</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第三次</w:t>
            </w:r>
          </w:p>
        </w:tc>
        <w:tc>
          <w:tcPr>
            <w:tcW w:w="8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38</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第四次</w:t>
            </w:r>
          </w:p>
        </w:tc>
        <w:tc>
          <w:tcPr>
            <w:tcW w:w="8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39</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179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均值/范围</w:t>
            </w: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39</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179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去除率（%）</w:t>
            </w:r>
          </w:p>
        </w:tc>
        <w:tc>
          <w:tcPr>
            <w:tcW w:w="13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bidi="ar-SA"/>
              </w:rPr>
              <w:t>98%</w:t>
            </w:r>
          </w:p>
        </w:tc>
        <w:tc>
          <w:tcPr>
            <w:tcW w:w="10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bidi="ar-SA"/>
              </w:rPr>
              <w:t>/</w:t>
            </w:r>
          </w:p>
        </w:tc>
      </w:tr>
    </w:tbl>
    <w:p>
      <w:pPr>
        <w:keepNext w:val="0"/>
        <w:keepLines w:val="0"/>
        <w:pageBreakBefore w:val="0"/>
        <w:widowControl w:val="0"/>
        <w:kinsoku/>
        <w:wordWrap/>
        <w:overflowPunct/>
        <w:topLinePunct w:val="0"/>
        <w:autoSpaceDE w:val="0"/>
        <w:autoSpaceDN w:val="0"/>
        <w:bidi w:val="0"/>
        <w:adjustRightInd/>
        <w:snapToGrid/>
        <w:spacing w:after="0" w:line="360" w:lineRule="auto"/>
        <w:ind w:right="0" w:rightChars="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eastAsia="zh-CN"/>
        </w:rPr>
        <w:t>表10</w:t>
      </w: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3  循环冷却水排水（清下水排口）监测结果表</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899"/>
        <w:gridCol w:w="1859"/>
        <w:gridCol w:w="2762"/>
        <w:gridCol w:w="2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69" w:hRule="atLeast"/>
        </w:trPr>
        <w:tc>
          <w:tcPr>
            <w:tcW w:w="1083" w:type="pct"/>
            <w:vMerge w:val="restar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0"/>
                <w:kern w:val="2"/>
                <w:sz w:val="21"/>
                <w:szCs w:val="21"/>
                <w:lang w:val="en-US" w:eastAsia="zh-CN" w:bidi="ar-SA"/>
              </w:rPr>
            </w:pPr>
            <w:r>
              <w:rPr>
                <w:rFonts w:hint="default" w:ascii="Times New Roman" w:hAnsi="Times New Roman" w:eastAsia="宋体" w:cs="Times New Roman"/>
                <w:b/>
                <w:bCs/>
                <w:color w:val="auto"/>
                <w:spacing w:val="0"/>
                <w:sz w:val="21"/>
                <w:szCs w:val="21"/>
                <w:lang w:eastAsia="zh-CN"/>
              </w:rPr>
              <w:t>频次</w:t>
            </w:r>
          </w:p>
        </w:tc>
        <w:tc>
          <w:tcPr>
            <w:tcW w:w="1060" w:type="pct"/>
            <w:vMerge w:val="restar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0"/>
                <w:kern w:val="2"/>
                <w:sz w:val="21"/>
                <w:szCs w:val="21"/>
                <w:lang w:val="en-US" w:eastAsia="zh-CN" w:bidi="ar-SA"/>
              </w:rPr>
            </w:pPr>
            <w:r>
              <w:rPr>
                <w:rFonts w:hint="default" w:ascii="Times New Roman" w:hAnsi="Times New Roman" w:eastAsia="宋体" w:cs="Times New Roman"/>
                <w:b/>
                <w:bCs/>
                <w:color w:val="auto"/>
                <w:spacing w:val="0"/>
                <w:sz w:val="21"/>
                <w:szCs w:val="21"/>
              </w:rPr>
              <w:t>采样日期</w:t>
            </w:r>
          </w:p>
        </w:tc>
        <w:tc>
          <w:tcPr>
            <w:tcW w:w="2856" w:type="pct"/>
            <w:gridSpan w:val="2"/>
            <w:shd w:val="clear" w:color="auto" w:fill="auto"/>
            <w:noWrap w:val="0"/>
            <w:vAlign w:val="center"/>
          </w:tcPr>
          <w:p>
            <w:pPr>
              <w:pStyle w:val="2"/>
              <w:keepNext w:val="0"/>
              <w:keepLines w:val="0"/>
              <w:pageBreakBefore w:val="0"/>
              <w:widowControl w:val="0"/>
              <w:numPr>
                <w:ilvl w:val="0"/>
                <w:numId w:val="0"/>
              </w:numPr>
              <w:kinsoku/>
              <w:wordWrap/>
              <w:overflowPunct/>
              <w:topLinePunct w:val="0"/>
              <w:bidi w:val="0"/>
              <w:snapToGrid/>
              <w:spacing w:line="240" w:lineRule="auto"/>
              <w:jc w:val="center"/>
              <w:textAlignment w:val="auto"/>
              <w:rPr>
                <w:rFonts w:hint="default" w:ascii="Times New Roman" w:hAnsi="Times New Roman" w:eastAsia="宋体" w:cs="Times New Roman"/>
                <w:b/>
                <w:bCs/>
                <w:color w:val="auto"/>
                <w:spacing w:val="0"/>
                <w:sz w:val="21"/>
                <w:szCs w:val="21"/>
                <w:lang w:eastAsia="zh-CN"/>
              </w:rPr>
            </w:pPr>
            <w:r>
              <w:rPr>
                <w:rFonts w:hint="default" w:ascii="Times New Roman" w:hAnsi="Times New Roman" w:eastAsia="宋体" w:cs="Times New Roman"/>
                <w:b/>
                <w:bCs/>
                <w:color w:val="auto"/>
                <w:spacing w:val="0"/>
                <w:sz w:val="21"/>
                <w:szCs w:val="21"/>
              </w:rPr>
              <w:t>检测项目  单位：mg/L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69" w:hRule="atLeast"/>
        </w:trPr>
        <w:tc>
          <w:tcPr>
            <w:tcW w:w="1083"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0"/>
                <w:sz w:val="21"/>
                <w:szCs w:val="21"/>
              </w:rPr>
            </w:pPr>
          </w:p>
        </w:tc>
        <w:tc>
          <w:tcPr>
            <w:tcW w:w="1060"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0"/>
                <w:sz w:val="21"/>
                <w:szCs w:val="21"/>
              </w:rPr>
            </w:pPr>
          </w:p>
        </w:tc>
        <w:tc>
          <w:tcPr>
            <w:tcW w:w="157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spacing w:val="0"/>
                <w:sz w:val="21"/>
                <w:szCs w:val="21"/>
                <w:lang w:val="en-US" w:eastAsia="en-US" w:bidi="ar-SA"/>
              </w:rPr>
            </w:pPr>
            <w:r>
              <w:rPr>
                <w:rFonts w:hint="default" w:ascii="Times New Roman" w:hAnsi="Times New Roman" w:eastAsia="宋体" w:cs="Times New Roman"/>
                <w:b/>
                <w:bCs/>
                <w:color w:val="auto"/>
                <w:spacing w:val="0"/>
                <w:sz w:val="21"/>
                <w:szCs w:val="21"/>
                <w:lang w:val="en-US" w:eastAsia="zh-CN"/>
              </w:rPr>
              <w:t>化学需氧量</w:t>
            </w:r>
          </w:p>
        </w:tc>
        <w:tc>
          <w:tcPr>
            <w:tcW w:w="128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spacing w:val="0"/>
                <w:sz w:val="21"/>
                <w:szCs w:val="21"/>
                <w:lang w:val="en-US" w:eastAsia="en-US" w:bidi="ar-SA"/>
              </w:rPr>
            </w:pPr>
            <w:r>
              <w:rPr>
                <w:rFonts w:hint="default" w:ascii="Times New Roman" w:hAnsi="Times New Roman" w:eastAsia="宋体" w:cs="Times New Roman"/>
                <w:b/>
                <w:bCs/>
                <w:color w:val="auto"/>
                <w:spacing w:val="0"/>
                <w:sz w:val="21"/>
                <w:szCs w:val="21"/>
                <w:lang w:val="en-US" w:eastAsia="zh-CN"/>
              </w:rPr>
              <w:t>悬浮物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69" w:hRule="atLeast"/>
        </w:trPr>
        <w:tc>
          <w:tcPr>
            <w:tcW w:w="108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第一次</w:t>
            </w:r>
          </w:p>
        </w:tc>
        <w:tc>
          <w:tcPr>
            <w:tcW w:w="1060" w:type="pct"/>
            <w:vMerge w:val="restar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2021.7.21</w:t>
            </w:r>
          </w:p>
        </w:tc>
        <w:tc>
          <w:tcPr>
            <w:tcW w:w="157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20</w:t>
            </w:r>
          </w:p>
        </w:tc>
        <w:tc>
          <w:tcPr>
            <w:tcW w:w="128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69" w:hRule="atLeast"/>
        </w:trPr>
        <w:tc>
          <w:tcPr>
            <w:tcW w:w="108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第二次</w:t>
            </w:r>
          </w:p>
        </w:tc>
        <w:tc>
          <w:tcPr>
            <w:tcW w:w="1060"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p>
        </w:tc>
        <w:tc>
          <w:tcPr>
            <w:tcW w:w="157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19</w:t>
            </w:r>
          </w:p>
        </w:tc>
        <w:tc>
          <w:tcPr>
            <w:tcW w:w="128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69" w:hRule="atLeast"/>
        </w:trPr>
        <w:tc>
          <w:tcPr>
            <w:tcW w:w="108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第三次</w:t>
            </w:r>
          </w:p>
        </w:tc>
        <w:tc>
          <w:tcPr>
            <w:tcW w:w="1060"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p>
        </w:tc>
        <w:tc>
          <w:tcPr>
            <w:tcW w:w="157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21</w:t>
            </w:r>
          </w:p>
        </w:tc>
        <w:tc>
          <w:tcPr>
            <w:tcW w:w="128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69" w:hRule="atLeast"/>
        </w:trPr>
        <w:tc>
          <w:tcPr>
            <w:tcW w:w="108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第四次</w:t>
            </w:r>
          </w:p>
        </w:tc>
        <w:tc>
          <w:tcPr>
            <w:tcW w:w="1060"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p>
        </w:tc>
        <w:tc>
          <w:tcPr>
            <w:tcW w:w="157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20</w:t>
            </w:r>
          </w:p>
        </w:tc>
        <w:tc>
          <w:tcPr>
            <w:tcW w:w="128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69" w:hRule="atLeast"/>
        </w:trPr>
        <w:tc>
          <w:tcPr>
            <w:tcW w:w="2143"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均值/范围</w:t>
            </w:r>
          </w:p>
        </w:tc>
        <w:tc>
          <w:tcPr>
            <w:tcW w:w="2762" w:type="dxa"/>
            <w:shd w:val="clear" w:color="auto" w:fill="auto"/>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20</w:t>
            </w:r>
          </w:p>
        </w:tc>
        <w:tc>
          <w:tcPr>
            <w:tcW w:w="2246" w:type="dxa"/>
            <w:shd w:val="clear" w:color="auto" w:fill="auto"/>
            <w:noWrap w:val="0"/>
            <w:vAlign w:val="center"/>
          </w:tcPr>
          <w:p>
            <w:pPr>
              <w:keepNext w:val="0"/>
              <w:keepLines w:val="0"/>
              <w:pageBreakBefore w:val="0"/>
              <w:widowControl/>
              <w:suppressLineNumbers w:val="0"/>
              <w:kinsoku/>
              <w:wordWrap/>
              <w:overflowPunct/>
              <w:topLinePunct w:val="0"/>
              <w:bidi w:val="0"/>
              <w:spacing w:line="240" w:lineRule="auto"/>
              <w:ind w:left="0" w:leftChars="0" w:right="0" w:rightChars="0"/>
              <w:jc w:val="center"/>
              <w:textAlignment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69" w:hRule="atLeast"/>
        </w:trPr>
        <w:tc>
          <w:tcPr>
            <w:tcW w:w="108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第一次</w:t>
            </w:r>
          </w:p>
        </w:tc>
        <w:tc>
          <w:tcPr>
            <w:tcW w:w="1060" w:type="pct"/>
            <w:vMerge w:val="restar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2021.7.22</w:t>
            </w:r>
          </w:p>
        </w:tc>
        <w:tc>
          <w:tcPr>
            <w:tcW w:w="157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18</w:t>
            </w:r>
          </w:p>
        </w:tc>
        <w:tc>
          <w:tcPr>
            <w:tcW w:w="128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69" w:hRule="atLeast"/>
        </w:trPr>
        <w:tc>
          <w:tcPr>
            <w:tcW w:w="108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第二次</w:t>
            </w:r>
          </w:p>
        </w:tc>
        <w:tc>
          <w:tcPr>
            <w:tcW w:w="1060"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157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17</w:t>
            </w:r>
          </w:p>
        </w:tc>
        <w:tc>
          <w:tcPr>
            <w:tcW w:w="128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69" w:hRule="atLeast"/>
        </w:trPr>
        <w:tc>
          <w:tcPr>
            <w:tcW w:w="108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第三次</w:t>
            </w:r>
          </w:p>
        </w:tc>
        <w:tc>
          <w:tcPr>
            <w:tcW w:w="1060"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157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18</w:t>
            </w:r>
          </w:p>
        </w:tc>
        <w:tc>
          <w:tcPr>
            <w:tcW w:w="128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69" w:hRule="atLeast"/>
        </w:trPr>
        <w:tc>
          <w:tcPr>
            <w:tcW w:w="108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第四次</w:t>
            </w:r>
          </w:p>
        </w:tc>
        <w:tc>
          <w:tcPr>
            <w:tcW w:w="1060" w:type="pct"/>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p>
        </w:tc>
        <w:tc>
          <w:tcPr>
            <w:tcW w:w="157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17</w:t>
            </w:r>
          </w:p>
        </w:tc>
        <w:tc>
          <w:tcPr>
            <w:tcW w:w="128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69" w:hRule="atLeast"/>
        </w:trPr>
        <w:tc>
          <w:tcPr>
            <w:tcW w:w="2143"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均值/范围</w:t>
            </w:r>
          </w:p>
        </w:tc>
        <w:tc>
          <w:tcPr>
            <w:tcW w:w="157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18</w:t>
            </w:r>
          </w:p>
        </w:tc>
        <w:tc>
          <w:tcPr>
            <w:tcW w:w="128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69" w:hRule="atLeast"/>
        </w:trPr>
        <w:tc>
          <w:tcPr>
            <w:tcW w:w="2143"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标准值</w:t>
            </w:r>
          </w:p>
        </w:tc>
        <w:tc>
          <w:tcPr>
            <w:tcW w:w="1575" w:type="pct"/>
            <w:shd w:val="clear" w:color="auto" w:fill="auto"/>
            <w:noWrap w:val="0"/>
            <w:vAlign w:val="center"/>
          </w:tcPr>
          <w:p>
            <w:pPr>
              <w:pStyle w:val="20"/>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30</w:t>
            </w:r>
          </w:p>
        </w:tc>
        <w:tc>
          <w:tcPr>
            <w:tcW w:w="1281" w:type="pct"/>
            <w:shd w:val="clear" w:color="auto" w:fill="auto"/>
            <w:noWrap w:val="0"/>
            <w:vAlign w:val="center"/>
          </w:tcPr>
          <w:p>
            <w:pPr>
              <w:pStyle w:val="20"/>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369" w:hRule="atLeast"/>
        </w:trPr>
        <w:tc>
          <w:tcPr>
            <w:tcW w:w="2143"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达标情况</w:t>
            </w:r>
          </w:p>
        </w:tc>
        <w:tc>
          <w:tcPr>
            <w:tcW w:w="1575"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达标</w:t>
            </w:r>
          </w:p>
        </w:tc>
        <w:tc>
          <w:tcPr>
            <w:tcW w:w="1281"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w:t>
            </w:r>
          </w:p>
        </w:tc>
      </w:tr>
    </w:tbl>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jc w:val="both"/>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10.1.2</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结果评价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4"/>
          <w:szCs w:val="24"/>
        </w:rPr>
        <w:t>监测结果表明：</w:t>
      </w:r>
      <w:bookmarkStart w:id="87" w:name="OLE_LINK57"/>
      <w:bookmarkStart w:id="88" w:name="OLE_LINK37"/>
      <w:bookmarkStart w:id="89" w:name="OLE_LINK22"/>
      <w:bookmarkStart w:id="90" w:name="OLE_LINK4"/>
      <w:r>
        <w:rPr>
          <w:rFonts w:hint="default" w:ascii="Times New Roman" w:hAnsi="Times New Roman" w:eastAsia="宋体" w:cs="Times New Roman"/>
          <w:color w:val="auto"/>
          <w:sz w:val="24"/>
          <w:szCs w:val="24"/>
        </w:rPr>
        <w:t>验收监测期间，</w:t>
      </w:r>
      <w:bookmarkEnd w:id="87"/>
      <w:bookmarkEnd w:id="88"/>
      <w:bookmarkEnd w:id="89"/>
      <w:bookmarkEnd w:id="90"/>
      <w:r>
        <w:rPr>
          <w:rFonts w:hint="default" w:ascii="Times New Roman" w:hAnsi="Times New Roman" w:eastAsia="宋体" w:cs="Times New Roman"/>
          <w:color w:val="auto"/>
          <w:sz w:val="24"/>
          <w:szCs w:val="24"/>
          <w:lang w:eastAsia="zh-CN"/>
        </w:rPr>
        <w:t>本项目厂区污水接管口在异丙醇系列、异辛醇系列、</w:t>
      </w:r>
      <w:r>
        <w:rPr>
          <w:rFonts w:hint="default" w:ascii="Times New Roman" w:hAnsi="Times New Roman" w:eastAsia="宋体" w:cs="Times New Roman"/>
          <w:color w:val="auto"/>
          <w:sz w:val="24"/>
          <w:szCs w:val="24"/>
        </w:rPr>
        <w:t>三羟甲基丙烷系列</w:t>
      </w:r>
      <w:r>
        <w:rPr>
          <w:rFonts w:hint="default" w:ascii="Times New Roman" w:hAnsi="Times New Roman" w:eastAsia="宋体" w:cs="Times New Roman"/>
          <w:color w:val="auto"/>
          <w:sz w:val="24"/>
          <w:szCs w:val="24"/>
          <w:lang w:val="en-US" w:eastAsia="zh-CN"/>
        </w:rPr>
        <w:t>三种产品生产工况下</w:t>
      </w:r>
      <w:r>
        <w:rPr>
          <w:rFonts w:hint="default" w:ascii="Times New Roman" w:hAnsi="Times New Roman" w:eastAsia="宋体" w:cs="Times New Roman"/>
          <w:color w:val="auto"/>
          <w:sz w:val="24"/>
          <w:szCs w:val="24"/>
          <w:lang w:eastAsia="zh-CN"/>
        </w:rPr>
        <w:t>排放的废水中</w:t>
      </w:r>
      <w:r>
        <w:rPr>
          <w:rFonts w:hint="default" w:ascii="Times New Roman" w:hAnsi="Times New Roman" w:eastAsia="宋体" w:cs="Times New Roman"/>
          <w:color w:val="auto"/>
          <w:sz w:val="24"/>
          <w:szCs w:val="24"/>
          <w:lang w:val="en-US" w:eastAsia="zh-CN"/>
        </w:rPr>
        <w:t>pH范围、化学需氧量、氨氮、总磷、悬浮物、动植物油排放浓度日均值均能够满足胜科水务接管限值要求，</w:t>
      </w:r>
      <w:r>
        <w:rPr>
          <w:rFonts w:hint="default" w:ascii="Times New Roman" w:hAnsi="Times New Roman" w:eastAsia="宋体" w:cs="Times New Roman"/>
          <w:color w:val="auto"/>
          <w:sz w:val="24"/>
          <w:szCs w:val="24"/>
          <w:lang w:eastAsia="zh-CN"/>
        </w:rPr>
        <w:t>清下水排口</w:t>
      </w:r>
      <w:r>
        <w:rPr>
          <w:rFonts w:hint="default" w:ascii="Times New Roman" w:hAnsi="Times New Roman" w:eastAsia="宋体" w:cs="Times New Roman"/>
          <w:color w:val="auto"/>
          <w:sz w:val="24"/>
          <w:szCs w:val="24"/>
          <w:lang w:val="en-US" w:eastAsia="zh-CN"/>
        </w:rPr>
        <w:t>化学需氧量排放浓度日均值</w:t>
      </w:r>
      <w:r>
        <w:rPr>
          <w:rFonts w:hint="default" w:ascii="Times New Roman" w:hAnsi="Times New Roman" w:eastAsia="宋体" w:cs="Times New Roman"/>
          <w:color w:val="auto"/>
          <w:sz w:val="24"/>
          <w:szCs w:val="24"/>
          <w:lang w:eastAsia="zh-CN"/>
        </w:rPr>
        <w:t>满足环评批复的</w:t>
      </w:r>
      <w:r>
        <w:rPr>
          <w:rFonts w:hint="default" w:ascii="Times New Roman" w:hAnsi="Times New Roman" w:eastAsia="宋体" w:cs="Times New Roman"/>
          <w:color w:val="auto"/>
          <w:sz w:val="24"/>
          <w:szCs w:val="24"/>
        </w:rPr>
        <w:t>《地表水环境质量标准》（GB3838-200</w:t>
      </w:r>
      <w:r>
        <w:rPr>
          <w:rFonts w:hint="default" w:ascii="Times New Roman" w:hAnsi="Times New Roman" w:eastAsia="宋体" w:cs="Times New Roman"/>
          <w:color w:val="auto"/>
          <w:sz w:val="24"/>
          <w:szCs w:val="24"/>
          <w:highlight w:val="none"/>
        </w:rPr>
        <w:t>2）IV限值</w:t>
      </w:r>
      <w:r>
        <w:rPr>
          <w:rFonts w:hint="default" w:ascii="Times New Roman" w:hAnsi="Times New Roman" w:eastAsia="宋体" w:cs="Times New Roman"/>
          <w:color w:val="auto"/>
          <w:sz w:val="24"/>
          <w:szCs w:val="24"/>
          <w:highlight w:val="none"/>
          <w:lang w:eastAsia="zh-CN"/>
        </w:rPr>
        <w:t>要求</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center"/>
        <w:textAlignment w:val="auto"/>
        <w:rPr>
          <w:rFonts w:hint="default" w:ascii="Times New Roman" w:hAnsi="Times New Roman" w:eastAsia="宋体" w:cs="Times New Roman"/>
          <w:color w:val="auto"/>
          <w:sz w:val="28"/>
          <w:szCs w:val="28"/>
          <w:lang w:val="en-US" w:eastAsia="zh-CN"/>
        </w:rPr>
        <w:sectPr>
          <w:pgSz w:w="11911" w:h="16838"/>
          <w:pgMar w:top="1463" w:right="1678" w:bottom="1463" w:left="1678" w:header="907" w:footer="884" w:gutter="0"/>
          <w:pgBorders>
            <w:top w:val="none" w:sz="0" w:space="0"/>
            <w:left w:val="none" w:sz="0" w:space="0"/>
            <w:bottom w:val="none" w:sz="0" w:space="0"/>
            <w:right w:val="none" w:sz="0" w:space="0"/>
          </w:pgBorders>
          <w:pgNumType w:fmt="decimal"/>
          <w:cols w:space="0" w:num="1"/>
          <w:rtlGutter w:val="0"/>
          <w:docGrid w:type="lines" w:linePitch="0" w:charSpace="0"/>
        </w:sectPr>
      </w:pPr>
    </w:p>
    <w:p>
      <w:pPr>
        <w:pStyle w:val="4"/>
        <w:keepNext w:val="0"/>
        <w:keepLines w:val="0"/>
        <w:pageBreakBefore w:val="0"/>
        <w:widowControl w:val="0"/>
        <w:kinsoku/>
        <w:wordWrap/>
        <w:overflowPunct/>
        <w:topLinePunct w:val="0"/>
        <w:bidi w:val="0"/>
        <w:adjustRightInd/>
        <w:snapToGrid/>
        <w:spacing w:after="0" w:line="360" w:lineRule="auto"/>
        <w:ind w:left="0" w:leftChars="0" w:right="0" w:rightChars="0" w:firstLine="0" w:firstLineChars="0"/>
        <w:textAlignment w:val="auto"/>
        <w:rPr>
          <w:rFonts w:hint="default" w:ascii="Times New Roman" w:hAnsi="Times New Roman" w:eastAsia="宋体" w:cs="Times New Roman"/>
          <w:color w:val="auto"/>
          <w:sz w:val="28"/>
          <w:szCs w:val="28"/>
        </w:rPr>
      </w:pPr>
      <w:bookmarkStart w:id="91" w:name="_Toc15666"/>
      <w:bookmarkStart w:id="92" w:name="_Toc23289"/>
      <w:bookmarkStart w:id="93" w:name="_Toc6654"/>
      <w:r>
        <w:rPr>
          <w:rFonts w:hint="default" w:ascii="Times New Roman" w:hAnsi="Times New Roman" w:eastAsia="宋体" w:cs="Times New Roman"/>
          <w:color w:val="auto"/>
          <w:sz w:val="28"/>
          <w:szCs w:val="28"/>
        </w:rPr>
        <w:t>10.2</w:t>
      </w:r>
      <w:r>
        <w:rPr>
          <w:rFonts w:hint="default" w:ascii="Times New Roman" w:hAnsi="Times New Roman" w:eastAsia="宋体" w:cs="Times New Roman"/>
          <w:color w:val="auto"/>
          <w:sz w:val="28"/>
          <w:szCs w:val="28"/>
          <w:lang w:val="en-US" w:eastAsia="zh-CN"/>
        </w:rPr>
        <w:t xml:space="preserve"> </w:t>
      </w:r>
      <w:r>
        <w:rPr>
          <w:rFonts w:hint="default" w:ascii="Times New Roman" w:hAnsi="Times New Roman" w:eastAsia="宋体" w:cs="Times New Roman"/>
          <w:color w:val="auto"/>
          <w:sz w:val="28"/>
          <w:szCs w:val="28"/>
        </w:rPr>
        <w:t>废气监测结果及分析评价</w:t>
      </w:r>
      <w:bookmarkEnd w:id="91"/>
      <w:bookmarkEnd w:id="92"/>
      <w:bookmarkEnd w:id="93"/>
    </w:p>
    <w:p>
      <w:pPr>
        <w:keepNext w:val="0"/>
        <w:keepLines w:val="0"/>
        <w:pageBreakBefore w:val="0"/>
        <w:widowControl w:val="0"/>
        <w:kinsoku/>
        <w:wordWrap/>
        <w:overflowPunct/>
        <w:topLinePunct w:val="0"/>
        <w:bidi w:val="0"/>
        <w:adjustRightInd/>
        <w:snapToGrid/>
        <w:spacing w:after="0" w:line="360" w:lineRule="auto"/>
        <w:ind w:left="0" w:leftChars="0" w:right="0" w:rightChars="0" w:firstLine="0" w:firstLineChars="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10.</w:t>
      </w: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 xml:space="preserve">1 </w:t>
      </w:r>
      <w:r>
        <w:rPr>
          <w:rFonts w:hint="default" w:ascii="Times New Roman" w:hAnsi="Times New Roman" w:eastAsia="宋体" w:cs="Times New Roman"/>
          <w:b/>
          <w:bCs/>
          <w:color w:val="auto"/>
          <w:sz w:val="24"/>
          <w:szCs w:val="24"/>
          <w:lang w:eastAsia="zh-CN"/>
        </w:rPr>
        <w:t>无</w:t>
      </w:r>
      <w:r>
        <w:rPr>
          <w:rFonts w:hint="default" w:ascii="Times New Roman" w:hAnsi="Times New Roman" w:eastAsia="宋体" w:cs="Times New Roman"/>
          <w:b/>
          <w:bCs/>
          <w:color w:val="auto"/>
          <w:sz w:val="24"/>
          <w:szCs w:val="24"/>
        </w:rPr>
        <w:t>组织废气监测结果</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val="zh-CN"/>
        </w:rPr>
        <w:t>表</w:t>
      </w:r>
      <w:r>
        <w:rPr>
          <w:rFonts w:hint="default" w:ascii="Times New Roman" w:hAnsi="Times New Roman" w:eastAsia="宋体" w:cs="Times New Roman"/>
          <w:b/>
          <w:bCs/>
          <w:color w:val="auto"/>
          <w:sz w:val="24"/>
          <w:szCs w:val="24"/>
          <w:lang w:val="en-US" w:eastAsia="zh-CN"/>
        </w:rPr>
        <w:t>10.2-1</w:t>
      </w:r>
      <w:r>
        <w:rPr>
          <w:rFonts w:hint="default" w:ascii="Times New Roman" w:hAnsi="Times New Roman" w:eastAsia="宋体" w:cs="Times New Roman"/>
          <w:b/>
          <w:bCs/>
          <w:color w:val="auto"/>
          <w:sz w:val="24"/>
          <w:szCs w:val="24"/>
          <w:lang w:val="zh-CN" w:eastAsia="zh-CN"/>
        </w:rPr>
        <w:t xml:space="preserve"> </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无组织</w:t>
      </w:r>
      <w:r>
        <w:rPr>
          <w:rFonts w:hint="default" w:ascii="Times New Roman" w:hAnsi="Times New Roman" w:eastAsia="宋体" w:cs="Times New Roman"/>
          <w:b/>
          <w:bCs/>
          <w:color w:val="auto"/>
          <w:sz w:val="24"/>
          <w:szCs w:val="24"/>
          <w:lang w:eastAsia="zh-CN"/>
        </w:rPr>
        <w:t>排放</w:t>
      </w:r>
      <w:r>
        <w:rPr>
          <w:rFonts w:hint="default" w:ascii="Times New Roman" w:hAnsi="Times New Roman" w:eastAsia="宋体" w:cs="Times New Roman"/>
          <w:b/>
          <w:bCs/>
          <w:color w:val="auto"/>
          <w:sz w:val="24"/>
          <w:szCs w:val="24"/>
        </w:rPr>
        <w:t>监测结果</w:t>
      </w:r>
      <w:r>
        <w:rPr>
          <w:rFonts w:hint="default" w:ascii="Times New Roman" w:hAnsi="Times New Roman" w:eastAsia="宋体" w:cs="Times New Roman"/>
          <w:b/>
          <w:bCs/>
          <w:color w:val="auto"/>
          <w:sz w:val="24"/>
          <w:szCs w:val="24"/>
          <w:lang w:eastAsia="zh-CN"/>
        </w:rPr>
        <w:t>表（</w:t>
      </w:r>
      <w:r>
        <w:rPr>
          <w:rFonts w:hint="default" w:ascii="Times New Roman" w:hAnsi="Times New Roman" w:eastAsia="宋体" w:cs="Times New Roman"/>
          <w:b/>
          <w:bCs/>
          <w:color w:val="auto"/>
          <w:sz w:val="24"/>
          <w:szCs w:val="24"/>
          <w:lang w:val="en-US" w:eastAsia="zh-CN"/>
        </w:rPr>
        <w:t>异丙醇系列</w:t>
      </w:r>
      <w:r>
        <w:rPr>
          <w:rFonts w:hint="default" w:ascii="Times New Roman" w:hAnsi="Times New Roman" w:eastAsia="宋体" w:cs="Times New Roman"/>
          <w:b/>
          <w:bCs/>
          <w:color w:val="auto"/>
          <w:sz w:val="24"/>
          <w:szCs w:val="24"/>
          <w:lang w:eastAsia="zh-CN"/>
        </w:rPr>
        <w:t>）</w:t>
      </w:r>
    </w:p>
    <w:tbl>
      <w:tblPr>
        <w:tblStyle w:val="23"/>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8"/>
        <w:gridCol w:w="1358"/>
        <w:gridCol w:w="1130"/>
        <w:gridCol w:w="1542"/>
        <w:gridCol w:w="263"/>
        <w:gridCol w:w="1277"/>
        <w:gridCol w:w="1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采样日期</w:t>
            </w:r>
          </w:p>
        </w:tc>
        <w:tc>
          <w:tcPr>
            <w:tcW w:w="4075" w:type="pct"/>
            <w:gridSpan w:val="6"/>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2021年7月21日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采样地点</w:t>
            </w:r>
          </w:p>
        </w:tc>
        <w:tc>
          <w:tcPr>
            <w:tcW w:w="1420" w:type="pct"/>
            <w:gridSpan w:val="2"/>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样品编号</w:t>
            </w:r>
          </w:p>
        </w:tc>
        <w:tc>
          <w:tcPr>
            <w:tcW w:w="2655" w:type="pct"/>
            <w:gridSpan w:val="4"/>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检测项目</w:t>
            </w:r>
            <w:r>
              <w:rPr>
                <w:rFonts w:hint="default" w:ascii="Times New Roman" w:hAnsi="Times New Roman" w:eastAsia="宋体" w:cs="Times New Roman"/>
                <w:color w:val="auto"/>
                <w:spacing w:val="0"/>
                <w:sz w:val="21"/>
                <w:szCs w:val="21"/>
                <w:lang w:val="en-US" w:eastAsia="zh-CN"/>
              </w:rPr>
              <w:t xml:space="preserve">    </w:t>
            </w:r>
            <w:r>
              <w:rPr>
                <w:rFonts w:hint="default" w:ascii="Times New Roman" w:hAnsi="Times New Roman" w:eastAsia="宋体" w:cs="Times New Roman"/>
                <w:color w:val="auto"/>
                <w:spacing w:val="0"/>
                <w:sz w:val="21"/>
                <w:szCs w:val="21"/>
              </w:rPr>
              <w:t>单位：mg/m</w:t>
            </w:r>
            <w:r>
              <w:rPr>
                <w:rFonts w:hint="default" w:ascii="Times New Roman" w:hAnsi="Times New Roman" w:eastAsia="宋体" w:cs="Times New Roman"/>
                <w:color w:val="auto"/>
                <w:spacing w:val="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rPr>
            </w:pPr>
          </w:p>
        </w:tc>
        <w:tc>
          <w:tcPr>
            <w:tcW w:w="1420" w:type="pct"/>
            <w:gridSpan w:val="2"/>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rPr>
            </w:pP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颗粒物（总悬浮颗粒物）</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异丙醇</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厂界上风向G1</w:t>
            </w: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lang w:eastAsia="zh-CN"/>
              </w:rPr>
              <w:t>202108986</w:t>
            </w:r>
            <w:r>
              <w:rPr>
                <w:rFonts w:hint="default" w:ascii="Times New Roman" w:hAnsi="Times New Roman" w:eastAsia="宋体" w:cs="Times New Roman"/>
                <w:color w:val="auto"/>
                <w:spacing w:val="0"/>
                <w:sz w:val="21"/>
                <w:szCs w:val="21"/>
                <w:lang w:val="en-US" w:eastAsia="zh-CN"/>
              </w:rPr>
              <w:t>G1-1-1</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0.112</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eastAsia="zh-CN"/>
              </w:rPr>
              <w:t>202108986</w:t>
            </w:r>
            <w:r>
              <w:rPr>
                <w:rFonts w:hint="default" w:ascii="Times New Roman" w:hAnsi="Times New Roman" w:eastAsia="宋体" w:cs="Times New Roman"/>
                <w:color w:val="auto"/>
                <w:spacing w:val="0"/>
                <w:sz w:val="21"/>
                <w:szCs w:val="21"/>
                <w:lang w:val="en-US" w:eastAsia="zh-CN"/>
              </w:rPr>
              <w:t>G1-1-2</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0.094</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eastAsia="zh-CN"/>
              </w:rPr>
              <w:t>202108986</w:t>
            </w:r>
            <w:r>
              <w:rPr>
                <w:rFonts w:hint="default" w:ascii="Times New Roman" w:hAnsi="Times New Roman" w:eastAsia="宋体" w:cs="Times New Roman"/>
                <w:color w:val="auto"/>
                <w:spacing w:val="0"/>
                <w:sz w:val="21"/>
                <w:szCs w:val="21"/>
                <w:lang w:val="en-US" w:eastAsia="zh-CN"/>
              </w:rPr>
              <w:t>G1-1-3</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0.075</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厂界下风向G2</w:t>
            </w: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202108986</w:t>
            </w:r>
            <w:r>
              <w:rPr>
                <w:rFonts w:hint="default" w:ascii="Times New Roman" w:hAnsi="Times New Roman" w:eastAsia="宋体" w:cs="Times New Roman"/>
                <w:color w:val="auto"/>
                <w:spacing w:val="0"/>
                <w:sz w:val="21"/>
                <w:szCs w:val="21"/>
                <w:lang w:val="en-US" w:eastAsia="zh-CN"/>
              </w:rPr>
              <w:t>G2-1-1</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0.149</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eastAsia="zh-CN"/>
              </w:rPr>
              <w:t>202108986</w:t>
            </w:r>
            <w:r>
              <w:rPr>
                <w:rFonts w:hint="default" w:ascii="Times New Roman" w:hAnsi="Times New Roman" w:eastAsia="宋体" w:cs="Times New Roman"/>
                <w:color w:val="auto"/>
                <w:spacing w:val="0"/>
                <w:sz w:val="21"/>
                <w:szCs w:val="21"/>
                <w:lang w:val="en-US" w:eastAsia="zh-CN"/>
              </w:rPr>
              <w:t>G2-1-2</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0.131</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eastAsia="zh-CN"/>
              </w:rPr>
              <w:t>202108986</w:t>
            </w:r>
            <w:r>
              <w:rPr>
                <w:rFonts w:hint="default" w:ascii="Times New Roman" w:hAnsi="Times New Roman" w:eastAsia="宋体" w:cs="Times New Roman"/>
                <w:color w:val="auto"/>
                <w:spacing w:val="0"/>
                <w:sz w:val="21"/>
                <w:szCs w:val="21"/>
                <w:lang w:val="en-US" w:eastAsia="zh-CN"/>
              </w:rPr>
              <w:t>G2-1-3</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0.151</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厂界下风向G3</w:t>
            </w: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lang w:eastAsia="zh-CN"/>
              </w:rPr>
              <w:t>202108986</w:t>
            </w:r>
            <w:r>
              <w:rPr>
                <w:rFonts w:hint="default" w:ascii="Times New Roman" w:hAnsi="Times New Roman" w:eastAsia="宋体" w:cs="Times New Roman"/>
                <w:color w:val="auto"/>
                <w:spacing w:val="0"/>
                <w:sz w:val="21"/>
                <w:szCs w:val="21"/>
                <w:lang w:val="en-US" w:eastAsia="zh-CN"/>
              </w:rPr>
              <w:t>G3-1-1</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0.168</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eastAsia="zh-CN"/>
              </w:rPr>
              <w:t>202108986</w:t>
            </w:r>
            <w:r>
              <w:rPr>
                <w:rFonts w:hint="default" w:ascii="Times New Roman" w:hAnsi="Times New Roman" w:eastAsia="宋体" w:cs="Times New Roman"/>
                <w:color w:val="auto"/>
                <w:spacing w:val="0"/>
                <w:sz w:val="21"/>
                <w:szCs w:val="21"/>
                <w:lang w:val="en-US" w:eastAsia="zh-CN"/>
              </w:rPr>
              <w:t>G3-1-2</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0.187</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eastAsia="zh-CN"/>
              </w:rPr>
              <w:t>202108986</w:t>
            </w:r>
            <w:r>
              <w:rPr>
                <w:rFonts w:hint="default" w:ascii="Times New Roman" w:hAnsi="Times New Roman" w:eastAsia="宋体" w:cs="Times New Roman"/>
                <w:color w:val="auto"/>
                <w:spacing w:val="0"/>
                <w:sz w:val="21"/>
                <w:szCs w:val="21"/>
                <w:lang w:val="en-US" w:eastAsia="zh-CN"/>
              </w:rPr>
              <w:t>G3-1-3</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0.132</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厂界下风向G4</w:t>
            </w: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lang w:eastAsia="zh-CN"/>
              </w:rPr>
              <w:t>202108986</w:t>
            </w:r>
            <w:r>
              <w:rPr>
                <w:rFonts w:hint="default" w:ascii="Times New Roman" w:hAnsi="Times New Roman" w:eastAsia="宋体" w:cs="Times New Roman"/>
                <w:color w:val="auto"/>
                <w:spacing w:val="0"/>
                <w:sz w:val="21"/>
                <w:szCs w:val="21"/>
                <w:lang w:val="en-US" w:eastAsia="zh-CN"/>
              </w:rPr>
              <w:t>G4-1-1</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0.186</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eastAsia="zh-CN"/>
              </w:rPr>
              <w:t>202108986</w:t>
            </w:r>
            <w:r>
              <w:rPr>
                <w:rFonts w:hint="default" w:ascii="Times New Roman" w:hAnsi="Times New Roman" w:eastAsia="宋体" w:cs="Times New Roman"/>
                <w:color w:val="auto"/>
                <w:spacing w:val="0"/>
                <w:sz w:val="21"/>
                <w:szCs w:val="21"/>
                <w:lang w:val="en-US" w:eastAsia="zh-CN"/>
              </w:rPr>
              <w:t>G4-1-2</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0.150</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eastAsia="zh-CN"/>
              </w:rPr>
              <w:t>202108986</w:t>
            </w:r>
            <w:r>
              <w:rPr>
                <w:rFonts w:hint="default" w:ascii="Times New Roman" w:hAnsi="Times New Roman" w:eastAsia="宋体" w:cs="Times New Roman"/>
                <w:color w:val="auto"/>
                <w:spacing w:val="0"/>
                <w:sz w:val="21"/>
                <w:szCs w:val="21"/>
                <w:lang w:val="en-US" w:eastAsia="zh-CN"/>
              </w:rPr>
              <w:t>G4-1-3</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0.170</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4"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eastAsia="zh-CN"/>
              </w:rPr>
              <w:t>最大值</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0.187</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4"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检出限</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0.002</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4"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标准值</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1.0</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0.6</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344"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达标情况</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达标</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达标</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采样日期</w:t>
            </w:r>
          </w:p>
        </w:tc>
        <w:tc>
          <w:tcPr>
            <w:tcW w:w="4075" w:type="pct"/>
            <w:gridSpan w:val="6"/>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2021年7月22日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采样地点</w:t>
            </w:r>
          </w:p>
        </w:tc>
        <w:tc>
          <w:tcPr>
            <w:tcW w:w="1420" w:type="pct"/>
            <w:gridSpan w:val="2"/>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样品编号</w:t>
            </w:r>
          </w:p>
        </w:tc>
        <w:tc>
          <w:tcPr>
            <w:tcW w:w="2655" w:type="pct"/>
            <w:gridSpan w:val="4"/>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检测项目</w:t>
            </w:r>
            <w:r>
              <w:rPr>
                <w:rFonts w:hint="default" w:ascii="Times New Roman" w:hAnsi="Times New Roman" w:eastAsia="宋体" w:cs="Times New Roman"/>
                <w:color w:val="auto"/>
                <w:spacing w:val="0"/>
                <w:sz w:val="21"/>
                <w:szCs w:val="21"/>
                <w:lang w:val="en-US" w:eastAsia="zh-CN"/>
              </w:rPr>
              <w:t xml:space="preserve">    </w:t>
            </w:r>
            <w:r>
              <w:rPr>
                <w:rFonts w:hint="default" w:ascii="Times New Roman" w:hAnsi="Times New Roman" w:eastAsia="宋体" w:cs="Times New Roman"/>
                <w:color w:val="auto"/>
                <w:spacing w:val="0"/>
                <w:sz w:val="21"/>
                <w:szCs w:val="21"/>
              </w:rPr>
              <w:t>单位：mg/m</w:t>
            </w:r>
            <w:r>
              <w:rPr>
                <w:rFonts w:hint="default" w:ascii="Times New Roman" w:hAnsi="Times New Roman" w:eastAsia="宋体" w:cs="Times New Roman"/>
                <w:color w:val="auto"/>
                <w:spacing w:val="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rPr>
            </w:pPr>
          </w:p>
        </w:tc>
        <w:tc>
          <w:tcPr>
            <w:tcW w:w="1420" w:type="pct"/>
            <w:gridSpan w:val="2"/>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rPr>
            </w:pP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颗粒物（总悬浮颗粒物）</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异丙醇</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厂界上风向G1</w:t>
            </w: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lang w:eastAsia="zh-CN"/>
              </w:rPr>
              <w:t>202108986</w:t>
            </w:r>
            <w:r>
              <w:rPr>
                <w:rFonts w:hint="default" w:ascii="Times New Roman" w:hAnsi="Times New Roman" w:eastAsia="宋体" w:cs="Times New Roman"/>
                <w:color w:val="auto"/>
                <w:spacing w:val="0"/>
                <w:sz w:val="21"/>
                <w:szCs w:val="21"/>
                <w:lang w:val="en-US" w:eastAsia="zh-CN"/>
              </w:rPr>
              <w:t>G1-2-1</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0.093</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eastAsia="zh-CN"/>
              </w:rPr>
              <w:t>202108986</w:t>
            </w:r>
            <w:r>
              <w:rPr>
                <w:rFonts w:hint="default" w:ascii="Times New Roman" w:hAnsi="Times New Roman" w:eastAsia="宋体" w:cs="Times New Roman"/>
                <w:color w:val="auto"/>
                <w:spacing w:val="0"/>
                <w:sz w:val="21"/>
                <w:szCs w:val="21"/>
                <w:lang w:val="en-US" w:eastAsia="zh-CN"/>
              </w:rPr>
              <w:t>G1-2-2</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0.113</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eastAsia="zh-CN"/>
              </w:rPr>
              <w:t>202108986</w:t>
            </w:r>
            <w:r>
              <w:rPr>
                <w:rFonts w:hint="default" w:ascii="Times New Roman" w:hAnsi="Times New Roman" w:eastAsia="宋体" w:cs="Times New Roman"/>
                <w:color w:val="auto"/>
                <w:spacing w:val="0"/>
                <w:sz w:val="21"/>
                <w:szCs w:val="21"/>
                <w:lang w:val="en-US" w:eastAsia="zh-CN"/>
              </w:rPr>
              <w:t>G1-2-3</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0.076</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厂界下风向G2</w:t>
            </w: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202108986</w:t>
            </w:r>
            <w:r>
              <w:rPr>
                <w:rFonts w:hint="default" w:ascii="Times New Roman" w:hAnsi="Times New Roman" w:eastAsia="宋体" w:cs="Times New Roman"/>
                <w:color w:val="auto"/>
                <w:spacing w:val="0"/>
                <w:sz w:val="21"/>
                <w:szCs w:val="21"/>
                <w:lang w:val="en-US" w:eastAsia="zh-CN"/>
              </w:rPr>
              <w:t>G2-2-1</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0.186</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eastAsia="zh-CN"/>
              </w:rPr>
              <w:t>202108986</w:t>
            </w:r>
            <w:r>
              <w:rPr>
                <w:rFonts w:hint="default" w:ascii="Times New Roman" w:hAnsi="Times New Roman" w:eastAsia="宋体" w:cs="Times New Roman"/>
                <w:color w:val="auto"/>
                <w:spacing w:val="0"/>
                <w:sz w:val="21"/>
                <w:szCs w:val="21"/>
                <w:lang w:val="en-US" w:eastAsia="zh-CN"/>
              </w:rPr>
              <w:t>G2-2-2</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0.169</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eastAsia="zh-CN"/>
              </w:rPr>
              <w:t>202108986</w:t>
            </w:r>
            <w:r>
              <w:rPr>
                <w:rFonts w:hint="default" w:ascii="Times New Roman" w:hAnsi="Times New Roman" w:eastAsia="宋体" w:cs="Times New Roman"/>
                <w:color w:val="auto"/>
                <w:spacing w:val="0"/>
                <w:sz w:val="21"/>
                <w:szCs w:val="21"/>
                <w:lang w:val="en-US" w:eastAsia="zh-CN"/>
              </w:rPr>
              <w:t>G2-2-3</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0.152</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厂界下风向G3</w:t>
            </w: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lang w:eastAsia="zh-CN"/>
              </w:rPr>
              <w:t>202108986</w:t>
            </w:r>
            <w:r>
              <w:rPr>
                <w:rFonts w:hint="default" w:ascii="Times New Roman" w:hAnsi="Times New Roman" w:eastAsia="宋体" w:cs="Times New Roman"/>
                <w:color w:val="auto"/>
                <w:spacing w:val="0"/>
                <w:sz w:val="21"/>
                <w:szCs w:val="21"/>
                <w:lang w:val="en-US" w:eastAsia="zh-CN"/>
              </w:rPr>
              <w:t>G3-2-1</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0.148</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eastAsia="zh-CN"/>
              </w:rPr>
              <w:t>202108986</w:t>
            </w:r>
            <w:r>
              <w:rPr>
                <w:rFonts w:hint="default" w:ascii="Times New Roman" w:hAnsi="Times New Roman" w:eastAsia="宋体" w:cs="Times New Roman"/>
                <w:color w:val="auto"/>
                <w:spacing w:val="0"/>
                <w:sz w:val="21"/>
                <w:szCs w:val="21"/>
                <w:lang w:val="en-US" w:eastAsia="zh-CN"/>
              </w:rPr>
              <w:t>G3-2-2</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0.188</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eastAsia="zh-CN"/>
              </w:rPr>
              <w:t>202108986</w:t>
            </w:r>
            <w:r>
              <w:rPr>
                <w:rFonts w:hint="default" w:ascii="Times New Roman" w:hAnsi="Times New Roman" w:eastAsia="宋体" w:cs="Times New Roman"/>
                <w:color w:val="auto"/>
                <w:spacing w:val="0"/>
                <w:sz w:val="21"/>
                <w:szCs w:val="21"/>
                <w:lang w:val="en-US" w:eastAsia="zh-CN"/>
              </w:rPr>
              <w:t>G3-2-3</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0.171</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厂界下风向G4</w:t>
            </w: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lang w:eastAsia="zh-CN"/>
              </w:rPr>
              <w:t>202108986</w:t>
            </w:r>
            <w:r>
              <w:rPr>
                <w:rFonts w:hint="default" w:ascii="Times New Roman" w:hAnsi="Times New Roman" w:eastAsia="宋体" w:cs="Times New Roman"/>
                <w:color w:val="auto"/>
                <w:spacing w:val="0"/>
                <w:sz w:val="21"/>
                <w:szCs w:val="21"/>
                <w:lang w:val="en-US" w:eastAsia="zh-CN"/>
              </w:rPr>
              <w:t>G4-2-1</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0.167</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eastAsia="zh-CN"/>
              </w:rPr>
              <w:t>202108986</w:t>
            </w:r>
            <w:r>
              <w:rPr>
                <w:rFonts w:hint="default" w:ascii="Times New Roman" w:hAnsi="Times New Roman" w:eastAsia="宋体" w:cs="Times New Roman"/>
                <w:color w:val="auto"/>
                <w:spacing w:val="0"/>
                <w:sz w:val="21"/>
                <w:szCs w:val="21"/>
                <w:lang w:val="en-US" w:eastAsia="zh-CN"/>
              </w:rPr>
              <w:t>G4-2-2</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0.150</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eastAsia="zh-CN"/>
              </w:rPr>
              <w:t>202108986</w:t>
            </w:r>
            <w:r>
              <w:rPr>
                <w:rFonts w:hint="default" w:ascii="Times New Roman" w:hAnsi="Times New Roman" w:eastAsia="宋体" w:cs="Times New Roman"/>
                <w:color w:val="auto"/>
                <w:spacing w:val="0"/>
                <w:sz w:val="21"/>
                <w:szCs w:val="21"/>
                <w:lang w:val="en-US" w:eastAsia="zh-CN"/>
              </w:rPr>
              <w:t>G4-2-3</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0.190</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4"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eastAsia="zh-CN"/>
              </w:rPr>
              <w:t>最大值</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0.190</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4"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检出限</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0.002</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4"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rPr>
                <w:rFonts w:hint="default" w:ascii="Times New Roman" w:hAnsi="Times New Roman" w:eastAsia="宋体" w:cs="Times New Roman"/>
                <w:color w:val="auto"/>
                <w:spacing w:val="0"/>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标准值</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1.0</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0.6</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4"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rPr>
                <w:rFonts w:hint="default" w:ascii="Times New Roman" w:hAnsi="Times New Roman" w:eastAsia="宋体" w:cs="Times New Roman"/>
                <w:color w:val="auto"/>
                <w:spacing w:val="0"/>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达标情况</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达标</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达标</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7"/>
            <w:noWrap w:val="0"/>
            <w:vAlign w:val="top"/>
          </w:tcPr>
          <w:p>
            <w:pPr>
              <w:keepNext w:val="0"/>
              <w:keepLines w:val="0"/>
              <w:pageBreakBefore w:val="0"/>
              <w:widowControl w:val="0"/>
              <w:kinsoku/>
              <w:wordWrap/>
              <w:overflowPunct/>
              <w:topLinePunct w:val="0"/>
              <w:bidi w:val="0"/>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eastAsia="zh-CN"/>
              </w:rPr>
              <w:t>备注：</w:t>
            </w:r>
            <w:r>
              <w:rPr>
                <w:rFonts w:hint="default" w:ascii="Times New Roman" w:hAnsi="Times New Roman" w:eastAsia="宋体" w:cs="Times New Roman"/>
                <w:color w:val="auto"/>
                <w:spacing w:val="0"/>
                <w:sz w:val="21"/>
                <w:szCs w:val="21"/>
                <w:lang w:val="en-US" w:eastAsia="zh-CN"/>
              </w:rPr>
              <w:t>1、臭气浓度无量纲；2、ND表示未检出。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采样地点</w:t>
            </w:r>
          </w:p>
        </w:tc>
        <w:tc>
          <w:tcPr>
            <w:tcW w:w="775"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频次</w:t>
            </w:r>
          </w:p>
        </w:tc>
        <w:tc>
          <w:tcPr>
            <w:tcW w:w="3300" w:type="pct"/>
            <w:gridSpan w:val="5"/>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检测项目</w:t>
            </w:r>
            <w:r>
              <w:rPr>
                <w:rFonts w:hint="default" w:ascii="Times New Roman" w:hAnsi="Times New Roman" w:eastAsia="宋体" w:cs="Times New Roman"/>
                <w:color w:val="auto"/>
                <w:spacing w:val="0"/>
                <w:sz w:val="21"/>
                <w:szCs w:val="21"/>
                <w:lang w:val="en-US" w:eastAsia="zh-CN"/>
              </w:rPr>
              <w:t xml:space="preserve">    </w:t>
            </w:r>
            <w:r>
              <w:rPr>
                <w:rFonts w:hint="default" w:ascii="Times New Roman" w:hAnsi="Times New Roman" w:eastAsia="宋体" w:cs="Times New Roman"/>
                <w:color w:val="auto"/>
                <w:spacing w:val="0"/>
                <w:sz w:val="21"/>
                <w:szCs w:val="21"/>
              </w:rPr>
              <w:t>单位：mg/m</w:t>
            </w:r>
            <w:r>
              <w:rPr>
                <w:rFonts w:hint="default" w:ascii="Times New Roman" w:hAnsi="Times New Roman" w:eastAsia="宋体" w:cs="Times New Roman"/>
                <w:color w:val="auto"/>
                <w:spacing w:val="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rPr>
            </w:pPr>
          </w:p>
        </w:tc>
        <w:tc>
          <w:tcPr>
            <w:tcW w:w="775"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rPr>
            </w:pPr>
          </w:p>
        </w:tc>
        <w:tc>
          <w:tcPr>
            <w:tcW w:w="3300" w:type="pct"/>
            <w:gridSpan w:val="5"/>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rPr>
            </w:pPr>
          </w:p>
        </w:tc>
        <w:tc>
          <w:tcPr>
            <w:tcW w:w="775"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rPr>
            </w:pP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2021年7月21日</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2021年7月22日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厂界上风向G1</w:t>
            </w: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1.06</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1.11</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3</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0.80</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4</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1.01</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均值</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1.00</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厂界下风向G2</w:t>
            </w: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1</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1.81</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2</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2.32</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3</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1.27</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4</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2.47</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均值</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1.97</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厂界下风向G3</w:t>
            </w: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1</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1.20</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2</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1.67</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3</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2.81</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4</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1.17</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均值</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1.71</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厂界下风向G4</w:t>
            </w: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1</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2.20</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2</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1.41</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3</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2.20</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4</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1.67</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均值</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1.87</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均值最大值</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1.97</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标准值</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4.0</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达标情况</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达标</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采样地点</w:t>
            </w:r>
          </w:p>
        </w:tc>
        <w:tc>
          <w:tcPr>
            <w:tcW w:w="775"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频次</w:t>
            </w:r>
          </w:p>
        </w:tc>
        <w:tc>
          <w:tcPr>
            <w:tcW w:w="3300" w:type="pct"/>
            <w:gridSpan w:val="5"/>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检测项目</w:t>
            </w:r>
            <w:r>
              <w:rPr>
                <w:rFonts w:hint="default" w:ascii="Times New Roman" w:hAnsi="Times New Roman" w:eastAsia="宋体" w:cs="Times New Roman"/>
                <w:color w:val="auto"/>
                <w:spacing w:val="0"/>
                <w:sz w:val="21"/>
                <w:szCs w:val="21"/>
                <w:lang w:val="en-US" w:eastAsia="zh-CN"/>
              </w:rPr>
              <w:t xml:space="preserve">    </w:t>
            </w:r>
            <w:r>
              <w:rPr>
                <w:rFonts w:hint="default" w:ascii="Times New Roman" w:hAnsi="Times New Roman" w:eastAsia="宋体" w:cs="Times New Roman"/>
                <w:color w:val="auto"/>
                <w:spacing w:val="0"/>
                <w:sz w:val="21"/>
                <w:szCs w:val="21"/>
              </w:rPr>
              <w:t>单位：mg/m</w:t>
            </w:r>
            <w:r>
              <w:rPr>
                <w:rFonts w:hint="default" w:ascii="Times New Roman" w:hAnsi="Times New Roman" w:eastAsia="宋体" w:cs="Times New Roman"/>
                <w:color w:val="auto"/>
                <w:spacing w:val="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rPr>
            </w:pPr>
          </w:p>
        </w:tc>
        <w:tc>
          <w:tcPr>
            <w:tcW w:w="775"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rPr>
            </w:pPr>
          </w:p>
        </w:tc>
        <w:tc>
          <w:tcPr>
            <w:tcW w:w="3300" w:type="pct"/>
            <w:gridSpan w:val="5"/>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rPr>
            </w:pPr>
          </w:p>
        </w:tc>
        <w:tc>
          <w:tcPr>
            <w:tcW w:w="775"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rPr>
            </w:pP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2021年7月21日</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2021年7月22日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924"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罐区下风向G5</w:t>
            </w: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lang w:val="en-US" w:eastAsia="zh-CN"/>
              </w:rPr>
              <w:t>1</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1.18</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1.29</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3</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2.15</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均值</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1.54</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罐区下风向G6</w:t>
            </w: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1</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1.59</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1.30</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3</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2.29</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均值</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1.73</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装置区下风向G7</w:t>
            </w: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lang w:val="en-US" w:eastAsia="zh-CN"/>
              </w:rPr>
              <w:t>1</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1.57</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1.33</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3</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2.41</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均值</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1.77</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厂区南部储罐下风向G8</w:t>
            </w: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1</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2.10</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2</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2.04</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3</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1.83</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均值</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1.99</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厂区南部储罐下风向G9</w:t>
            </w: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lang w:val="en-US" w:eastAsia="zh-CN"/>
              </w:rPr>
              <w:t>1</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2.98</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1.25</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3</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1.08</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均值</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1.77</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厂区南部储罐下风向G10</w:t>
            </w: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1</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1.29</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2.17</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3</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1.64</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4"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均值</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1.70</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eastAsia="zh-CN"/>
              </w:rPr>
              <w:t>标准值</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6.0</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eastAsia="zh-CN"/>
              </w:rPr>
              <w:t>达标情况</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达标</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达标</w:t>
            </w:r>
          </w:p>
        </w:tc>
      </w:tr>
    </w:tbl>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val="zh-CN"/>
        </w:rPr>
        <w:t>表</w:t>
      </w:r>
      <w:r>
        <w:rPr>
          <w:rFonts w:hint="default" w:ascii="Times New Roman" w:hAnsi="Times New Roman" w:eastAsia="宋体" w:cs="Times New Roman"/>
          <w:b/>
          <w:bCs/>
          <w:color w:val="auto"/>
          <w:sz w:val="24"/>
          <w:szCs w:val="24"/>
          <w:lang w:val="en-US" w:eastAsia="zh-CN"/>
        </w:rPr>
        <w:t>10.2-2</w:t>
      </w:r>
      <w:r>
        <w:rPr>
          <w:rFonts w:hint="default" w:ascii="Times New Roman" w:hAnsi="Times New Roman" w:eastAsia="宋体" w:cs="Times New Roman"/>
          <w:b/>
          <w:bCs/>
          <w:color w:val="auto"/>
          <w:sz w:val="24"/>
          <w:szCs w:val="24"/>
          <w:lang w:val="zh-CN" w:eastAsia="zh-CN"/>
        </w:rPr>
        <w:t xml:space="preserve"> </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无组织</w:t>
      </w:r>
      <w:r>
        <w:rPr>
          <w:rFonts w:hint="default" w:ascii="Times New Roman" w:hAnsi="Times New Roman" w:eastAsia="宋体" w:cs="Times New Roman"/>
          <w:b/>
          <w:bCs/>
          <w:color w:val="auto"/>
          <w:sz w:val="24"/>
          <w:szCs w:val="24"/>
          <w:lang w:eastAsia="zh-CN"/>
        </w:rPr>
        <w:t>排放</w:t>
      </w:r>
      <w:r>
        <w:rPr>
          <w:rFonts w:hint="default" w:ascii="Times New Roman" w:hAnsi="Times New Roman" w:eastAsia="宋体" w:cs="Times New Roman"/>
          <w:b/>
          <w:bCs/>
          <w:color w:val="auto"/>
          <w:sz w:val="24"/>
          <w:szCs w:val="24"/>
        </w:rPr>
        <w:t>监测结果</w:t>
      </w:r>
      <w:r>
        <w:rPr>
          <w:rFonts w:hint="default" w:ascii="Times New Roman" w:hAnsi="Times New Roman" w:eastAsia="宋体" w:cs="Times New Roman"/>
          <w:b/>
          <w:bCs/>
          <w:color w:val="auto"/>
          <w:sz w:val="24"/>
          <w:szCs w:val="24"/>
          <w:lang w:eastAsia="zh-CN"/>
        </w:rPr>
        <w:t>表（</w:t>
      </w:r>
      <w:r>
        <w:rPr>
          <w:rFonts w:hint="default" w:ascii="Times New Roman" w:hAnsi="Times New Roman" w:eastAsia="宋体" w:cs="Times New Roman"/>
          <w:b/>
          <w:bCs/>
          <w:color w:val="auto"/>
          <w:sz w:val="24"/>
          <w:szCs w:val="24"/>
          <w:lang w:val="en-US" w:eastAsia="zh-CN"/>
        </w:rPr>
        <w:t>异辛醇系列</w:t>
      </w:r>
      <w:r>
        <w:rPr>
          <w:rFonts w:hint="default" w:ascii="Times New Roman" w:hAnsi="Times New Roman" w:eastAsia="宋体" w:cs="Times New Roman"/>
          <w:b/>
          <w:bCs/>
          <w:color w:val="auto"/>
          <w:sz w:val="24"/>
          <w:szCs w:val="24"/>
          <w:lang w:eastAsia="zh-CN"/>
        </w:rPr>
        <w:t>）</w:t>
      </w:r>
    </w:p>
    <w:tbl>
      <w:tblPr>
        <w:tblStyle w:val="23"/>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6"/>
        <w:gridCol w:w="1358"/>
        <w:gridCol w:w="1130"/>
        <w:gridCol w:w="1542"/>
        <w:gridCol w:w="263"/>
        <w:gridCol w:w="1277"/>
        <w:gridCol w:w="1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采样日期</w:t>
            </w:r>
          </w:p>
        </w:tc>
        <w:tc>
          <w:tcPr>
            <w:tcW w:w="4076" w:type="pct"/>
            <w:gridSpan w:val="6"/>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2021年7月28日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采样地点</w:t>
            </w:r>
          </w:p>
        </w:tc>
        <w:tc>
          <w:tcPr>
            <w:tcW w:w="1420" w:type="pct"/>
            <w:gridSpan w:val="2"/>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样品编号</w:t>
            </w:r>
          </w:p>
        </w:tc>
        <w:tc>
          <w:tcPr>
            <w:tcW w:w="2656" w:type="pct"/>
            <w:gridSpan w:val="4"/>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检测项目</w:t>
            </w:r>
            <w:r>
              <w:rPr>
                <w:rFonts w:hint="default" w:ascii="Times New Roman" w:hAnsi="Times New Roman" w:eastAsia="宋体" w:cs="Times New Roman"/>
                <w:color w:val="auto"/>
                <w:spacing w:val="0"/>
                <w:sz w:val="21"/>
                <w:szCs w:val="21"/>
                <w:lang w:val="en-US" w:eastAsia="zh-CN"/>
              </w:rPr>
              <w:t xml:space="preserve">    </w:t>
            </w:r>
            <w:r>
              <w:rPr>
                <w:rFonts w:hint="default" w:ascii="Times New Roman" w:hAnsi="Times New Roman" w:eastAsia="宋体" w:cs="Times New Roman"/>
                <w:color w:val="auto"/>
                <w:spacing w:val="0"/>
                <w:sz w:val="21"/>
                <w:szCs w:val="21"/>
              </w:rPr>
              <w:t>单位：mg/m</w:t>
            </w:r>
            <w:r>
              <w:rPr>
                <w:rFonts w:hint="default" w:ascii="Times New Roman" w:hAnsi="Times New Roman" w:eastAsia="宋体" w:cs="Times New Roman"/>
                <w:color w:val="auto"/>
                <w:spacing w:val="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rPr>
            </w:pPr>
          </w:p>
        </w:tc>
        <w:tc>
          <w:tcPr>
            <w:tcW w:w="1420" w:type="pct"/>
            <w:gridSpan w:val="2"/>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rPr>
            </w:pP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颗粒物（总悬浮颗粒物）</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异丙醇</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6" w:type="dxa"/>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厂界上风向G1</w:t>
            </w: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en-US" w:bidi="ar-SA"/>
              </w:rPr>
            </w:pPr>
            <w:r>
              <w:rPr>
                <w:rFonts w:hint="default" w:ascii="Times New Roman" w:hAnsi="Times New Roman" w:eastAsia="宋体" w:cs="Times New Roman"/>
                <w:color w:val="auto"/>
                <w:spacing w:val="0"/>
                <w:sz w:val="21"/>
                <w:szCs w:val="21"/>
                <w:lang w:eastAsia="zh-CN"/>
              </w:rPr>
              <w:t>202108998</w:t>
            </w:r>
            <w:r>
              <w:rPr>
                <w:rFonts w:hint="default" w:ascii="Times New Roman" w:hAnsi="Times New Roman" w:eastAsia="宋体" w:cs="Times New Roman"/>
                <w:color w:val="auto"/>
                <w:spacing w:val="0"/>
                <w:sz w:val="21"/>
                <w:szCs w:val="21"/>
                <w:lang w:val="en-US" w:eastAsia="zh-CN"/>
              </w:rPr>
              <w:t>G1-1-1</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0.075</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eastAsia="zh-CN"/>
              </w:rPr>
              <w:t>202108998</w:t>
            </w:r>
            <w:r>
              <w:rPr>
                <w:rFonts w:hint="default" w:ascii="Times New Roman" w:hAnsi="Times New Roman" w:eastAsia="宋体" w:cs="Times New Roman"/>
                <w:color w:val="auto"/>
                <w:spacing w:val="0"/>
                <w:sz w:val="21"/>
                <w:szCs w:val="21"/>
                <w:lang w:val="en-US" w:eastAsia="zh-CN"/>
              </w:rPr>
              <w:t>G1-1-2</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0.075</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eastAsia="zh-CN"/>
              </w:rPr>
              <w:t>202108998</w:t>
            </w:r>
            <w:r>
              <w:rPr>
                <w:rFonts w:hint="default" w:ascii="Times New Roman" w:hAnsi="Times New Roman" w:eastAsia="宋体" w:cs="Times New Roman"/>
                <w:color w:val="auto"/>
                <w:spacing w:val="0"/>
                <w:sz w:val="21"/>
                <w:szCs w:val="21"/>
                <w:lang w:val="en-US" w:eastAsia="zh-CN"/>
              </w:rPr>
              <w:t>G1-1-3</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0.057</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6" w:type="dxa"/>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厂界下风向G2</w:t>
            </w: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eastAsia="zh-CN"/>
              </w:rPr>
              <w:t>202108998</w:t>
            </w:r>
            <w:r>
              <w:rPr>
                <w:rFonts w:hint="default" w:ascii="Times New Roman" w:hAnsi="Times New Roman" w:eastAsia="宋体" w:cs="Times New Roman"/>
                <w:color w:val="auto"/>
                <w:spacing w:val="0"/>
                <w:sz w:val="21"/>
                <w:szCs w:val="21"/>
                <w:lang w:val="en-US" w:eastAsia="zh-CN"/>
              </w:rPr>
              <w:t>G2-1-1</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0.150</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eastAsia="zh-CN"/>
              </w:rPr>
              <w:t>202108998</w:t>
            </w:r>
            <w:r>
              <w:rPr>
                <w:rFonts w:hint="default" w:ascii="Times New Roman" w:hAnsi="Times New Roman" w:eastAsia="宋体" w:cs="Times New Roman"/>
                <w:color w:val="auto"/>
                <w:spacing w:val="0"/>
                <w:sz w:val="21"/>
                <w:szCs w:val="21"/>
                <w:lang w:val="en-US" w:eastAsia="zh-CN"/>
              </w:rPr>
              <w:t>G2-1-2</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0.132</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eastAsia="zh-CN"/>
              </w:rPr>
              <w:t>202108998</w:t>
            </w:r>
            <w:r>
              <w:rPr>
                <w:rFonts w:hint="default" w:ascii="Times New Roman" w:hAnsi="Times New Roman" w:eastAsia="宋体" w:cs="Times New Roman"/>
                <w:color w:val="auto"/>
                <w:spacing w:val="0"/>
                <w:sz w:val="21"/>
                <w:szCs w:val="21"/>
                <w:lang w:val="en-US" w:eastAsia="zh-CN"/>
              </w:rPr>
              <w:t>G2-1-3</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0.113</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6" w:type="dxa"/>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厂界下风向G3</w:t>
            </w: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en-US" w:bidi="ar-SA"/>
              </w:rPr>
            </w:pPr>
            <w:r>
              <w:rPr>
                <w:rFonts w:hint="default" w:ascii="Times New Roman" w:hAnsi="Times New Roman" w:eastAsia="宋体" w:cs="Times New Roman"/>
                <w:color w:val="auto"/>
                <w:spacing w:val="0"/>
                <w:sz w:val="21"/>
                <w:szCs w:val="21"/>
                <w:lang w:eastAsia="zh-CN"/>
              </w:rPr>
              <w:t>202108998</w:t>
            </w:r>
            <w:r>
              <w:rPr>
                <w:rFonts w:hint="default" w:ascii="Times New Roman" w:hAnsi="Times New Roman" w:eastAsia="宋体" w:cs="Times New Roman"/>
                <w:color w:val="auto"/>
                <w:spacing w:val="0"/>
                <w:sz w:val="21"/>
                <w:szCs w:val="21"/>
                <w:lang w:val="en-US" w:eastAsia="zh-CN"/>
              </w:rPr>
              <w:t>G3-1-1</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0.168</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eastAsia="zh-CN"/>
              </w:rPr>
              <w:t>202108998</w:t>
            </w:r>
            <w:r>
              <w:rPr>
                <w:rFonts w:hint="default" w:ascii="Times New Roman" w:hAnsi="Times New Roman" w:eastAsia="宋体" w:cs="Times New Roman"/>
                <w:color w:val="auto"/>
                <w:spacing w:val="0"/>
                <w:sz w:val="21"/>
                <w:szCs w:val="21"/>
                <w:lang w:val="en-US" w:eastAsia="zh-CN"/>
              </w:rPr>
              <w:t>G3-1-2</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0.094</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eastAsia="zh-CN"/>
              </w:rPr>
              <w:t>202108998</w:t>
            </w:r>
            <w:r>
              <w:rPr>
                <w:rFonts w:hint="default" w:ascii="Times New Roman" w:hAnsi="Times New Roman" w:eastAsia="宋体" w:cs="Times New Roman"/>
                <w:color w:val="auto"/>
                <w:spacing w:val="0"/>
                <w:sz w:val="21"/>
                <w:szCs w:val="21"/>
                <w:lang w:val="en-US" w:eastAsia="zh-CN"/>
              </w:rPr>
              <w:t>G3-1-3</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0.132</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6" w:type="dxa"/>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厂界下风向G4</w:t>
            </w: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en-US" w:bidi="ar-SA"/>
              </w:rPr>
            </w:pPr>
            <w:r>
              <w:rPr>
                <w:rFonts w:hint="default" w:ascii="Times New Roman" w:hAnsi="Times New Roman" w:eastAsia="宋体" w:cs="Times New Roman"/>
                <w:color w:val="auto"/>
                <w:spacing w:val="0"/>
                <w:sz w:val="21"/>
                <w:szCs w:val="21"/>
                <w:lang w:eastAsia="zh-CN"/>
              </w:rPr>
              <w:t>202108998</w:t>
            </w:r>
            <w:r>
              <w:rPr>
                <w:rFonts w:hint="default" w:ascii="Times New Roman" w:hAnsi="Times New Roman" w:eastAsia="宋体" w:cs="Times New Roman"/>
                <w:color w:val="auto"/>
                <w:spacing w:val="0"/>
                <w:sz w:val="21"/>
                <w:szCs w:val="21"/>
                <w:lang w:val="en-US" w:eastAsia="zh-CN"/>
              </w:rPr>
              <w:t>G4-1-1</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0.150</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eastAsia="zh-CN"/>
              </w:rPr>
              <w:t>202108998</w:t>
            </w:r>
            <w:r>
              <w:rPr>
                <w:rFonts w:hint="default" w:ascii="Times New Roman" w:hAnsi="Times New Roman" w:eastAsia="宋体" w:cs="Times New Roman"/>
                <w:color w:val="auto"/>
                <w:spacing w:val="0"/>
                <w:sz w:val="21"/>
                <w:szCs w:val="21"/>
                <w:lang w:val="en-US" w:eastAsia="zh-CN"/>
              </w:rPr>
              <w:t>G4-1-2</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0.113</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eastAsia="zh-CN"/>
              </w:rPr>
              <w:t>202108998</w:t>
            </w:r>
            <w:r>
              <w:rPr>
                <w:rFonts w:hint="default" w:ascii="Times New Roman" w:hAnsi="Times New Roman" w:eastAsia="宋体" w:cs="Times New Roman"/>
                <w:color w:val="auto"/>
                <w:spacing w:val="0"/>
                <w:sz w:val="21"/>
                <w:szCs w:val="21"/>
                <w:lang w:val="en-US" w:eastAsia="zh-CN"/>
              </w:rPr>
              <w:t>G4-1-3</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0.132</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3"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eastAsia="zh-CN"/>
              </w:rPr>
              <w:t>最大值</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0.168</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3"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检出限</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0.002</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3"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标准值</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1.0</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0.6</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3"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达标情况</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达标</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达标</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采样日期</w:t>
            </w:r>
          </w:p>
        </w:tc>
        <w:tc>
          <w:tcPr>
            <w:tcW w:w="4076" w:type="pct"/>
            <w:gridSpan w:val="6"/>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2021年7月29日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采样地点</w:t>
            </w:r>
          </w:p>
        </w:tc>
        <w:tc>
          <w:tcPr>
            <w:tcW w:w="1420" w:type="pct"/>
            <w:gridSpan w:val="2"/>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样品编号</w:t>
            </w:r>
          </w:p>
        </w:tc>
        <w:tc>
          <w:tcPr>
            <w:tcW w:w="2656" w:type="pct"/>
            <w:gridSpan w:val="4"/>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检测项目</w:t>
            </w:r>
            <w:r>
              <w:rPr>
                <w:rFonts w:hint="default" w:ascii="Times New Roman" w:hAnsi="Times New Roman" w:eastAsia="宋体" w:cs="Times New Roman"/>
                <w:color w:val="auto"/>
                <w:spacing w:val="0"/>
                <w:sz w:val="21"/>
                <w:szCs w:val="21"/>
                <w:lang w:val="en-US" w:eastAsia="zh-CN"/>
              </w:rPr>
              <w:t xml:space="preserve">    </w:t>
            </w:r>
            <w:r>
              <w:rPr>
                <w:rFonts w:hint="default" w:ascii="Times New Roman" w:hAnsi="Times New Roman" w:eastAsia="宋体" w:cs="Times New Roman"/>
                <w:color w:val="auto"/>
                <w:spacing w:val="0"/>
                <w:sz w:val="21"/>
                <w:szCs w:val="21"/>
              </w:rPr>
              <w:t>单位：mg/m</w:t>
            </w:r>
            <w:r>
              <w:rPr>
                <w:rFonts w:hint="default" w:ascii="Times New Roman" w:hAnsi="Times New Roman" w:eastAsia="宋体" w:cs="Times New Roman"/>
                <w:color w:val="auto"/>
                <w:spacing w:val="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rPr>
            </w:pPr>
          </w:p>
        </w:tc>
        <w:tc>
          <w:tcPr>
            <w:tcW w:w="1420" w:type="pct"/>
            <w:gridSpan w:val="2"/>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rPr>
            </w:pP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颗粒物（总悬浮颗粒物）</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异丙醇</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厂界上风向G1</w:t>
            </w: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en-US" w:bidi="ar-SA"/>
              </w:rPr>
            </w:pPr>
            <w:r>
              <w:rPr>
                <w:rFonts w:hint="default" w:ascii="Times New Roman" w:hAnsi="Times New Roman" w:eastAsia="宋体" w:cs="Times New Roman"/>
                <w:color w:val="auto"/>
                <w:spacing w:val="0"/>
                <w:sz w:val="21"/>
                <w:szCs w:val="21"/>
                <w:lang w:eastAsia="zh-CN"/>
              </w:rPr>
              <w:t>202108998</w:t>
            </w:r>
            <w:r>
              <w:rPr>
                <w:rFonts w:hint="default" w:ascii="Times New Roman" w:hAnsi="Times New Roman" w:eastAsia="宋体" w:cs="Times New Roman"/>
                <w:color w:val="auto"/>
                <w:spacing w:val="0"/>
                <w:sz w:val="21"/>
                <w:szCs w:val="21"/>
                <w:lang w:val="en-US" w:eastAsia="zh-CN"/>
              </w:rPr>
              <w:t>G1-2-1</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0.076</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eastAsia="zh-CN"/>
              </w:rPr>
              <w:t>202108998</w:t>
            </w:r>
            <w:r>
              <w:rPr>
                <w:rFonts w:hint="default" w:ascii="Times New Roman" w:hAnsi="Times New Roman" w:eastAsia="宋体" w:cs="Times New Roman"/>
                <w:color w:val="auto"/>
                <w:spacing w:val="0"/>
                <w:sz w:val="21"/>
                <w:szCs w:val="21"/>
                <w:lang w:val="en-US" w:eastAsia="zh-CN"/>
              </w:rPr>
              <w:t>G1-2-2</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0.095</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eastAsia="zh-CN"/>
              </w:rPr>
              <w:t>202108998</w:t>
            </w:r>
            <w:r>
              <w:rPr>
                <w:rFonts w:hint="default" w:ascii="Times New Roman" w:hAnsi="Times New Roman" w:eastAsia="宋体" w:cs="Times New Roman"/>
                <w:color w:val="auto"/>
                <w:spacing w:val="0"/>
                <w:sz w:val="21"/>
                <w:szCs w:val="21"/>
                <w:lang w:val="en-US" w:eastAsia="zh-CN"/>
              </w:rPr>
              <w:t>G1-2-3</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0.057</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厂界下风向G2</w:t>
            </w: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eastAsia="zh-CN"/>
              </w:rPr>
              <w:t>202108998</w:t>
            </w:r>
            <w:r>
              <w:rPr>
                <w:rFonts w:hint="default" w:ascii="Times New Roman" w:hAnsi="Times New Roman" w:eastAsia="宋体" w:cs="Times New Roman"/>
                <w:color w:val="auto"/>
                <w:spacing w:val="0"/>
                <w:sz w:val="21"/>
                <w:szCs w:val="21"/>
                <w:lang w:val="en-US" w:eastAsia="zh-CN"/>
              </w:rPr>
              <w:t>G2-2-1</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0.151</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eastAsia="zh-CN"/>
              </w:rPr>
              <w:t>202108998</w:t>
            </w:r>
            <w:r>
              <w:rPr>
                <w:rFonts w:hint="default" w:ascii="Times New Roman" w:hAnsi="Times New Roman" w:eastAsia="宋体" w:cs="Times New Roman"/>
                <w:color w:val="auto"/>
                <w:spacing w:val="0"/>
                <w:sz w:val="21"/>
                <w:szCs w:val="21"/>
                <w:lang w:val="en-US" w:eastAsia="zh-CN"/>
              </w:rPr>
              <w:t>G2-2-2</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0.114</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eastAsia="zh-CN"/>
              </w:rPr>
              <w:t>202108998</w:t>
            </w:r>
            <w:r>
              <w:rPr>
                <w:rFonts w:hint="default" w:ascii="Times New Roman" w:hAnsi="Times New Roman" w:eastAsia="宋体" w:cs="Times New Roman"/>
                <w:color w:val="auto"/>
                <w:spacing w:val="0"/>
                <w:sz w:val="21"/>
                <w:szCs w:val="21"/>
                <w:lang w:val="en-US" w:eastAsia="zh-CN"/>
              </w:rPr>
              <w:t>G2-2-3</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0.133</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厂界下风向G3</w:t>
            </w: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en-US" w:bidi="ar-SA"/>
              </w:rPr>
            </w:pPr>
            <w:r>
              <w:rPr>
                <w:rFonts w:hint="default" w:ascii="Times New Roman" w:hAnsi="Times New Roman" w:eastAsia="宋体" w:cs="Times New Roman"/>
                <w:color w:val="auto"/>
                <w:spacing w:val="0"/>
                <w:sz w:val="21"/>
                <w:szCs w:val="21"/>
                <w:lang w:eastAsia="zh-CN"/>
              </w:rPr>
              <w:t>202108998</w:t>
            </w:r>
            <w:r>
              <w:rPr>
                <w:rFonts w:hint="default" w:ascii="Times New Roman" w:hAnsi="Times New Roman" w:eastAsia="宋体" w:cs="Times New Roman"/>
                <w:color w:val="auto"/>
                <w:spacing w:val="0"/>
                <w:sz w:val="21"/>
                <w:szCs w:val="21"/>
                <w:lang w:val="en-US" w:eastAsia="zh-CN"/>
              </w:rPr>
              <w:t>G3-2-1</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0.151</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eastAsia="zh-CN"/>
              </w:rPr>
              <w:t>202108998</w:t>
            </w:r>
            <w:r>
              <w:rPr>
                <w:rFonts w:hint="default" w:ascii="Times New Roman" w:hAnsi="Times New Roman" w:eastAsia="宋体" w:cs="Times New Roman"/>
                <w:color w:val="auto"/>
                <w:spacing w:val="0"/>
                <w:sz w:val="21"/>
                <w:szCs w:val="21"/>
                <w:lang w:val="en-US" w:eastAsia="zh-CN"/>
              </w:rPr>
              <w:t>G3-2-2</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0.171</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eastAsia="zh-CN"/>
              </w:rPr>
              <w:t>202108998</w:t>
            </w:r>
            <w:r>
              <w:rPr>
                <w:rFonts w:hint="default" w:ascii="Times New Roman" w:hAnsi="Times New Roman" w:eastAsia="宋体" w:cs="Times New Roman"/>
                <w:color w:val="auto"/>
                <w:spacing w:val="0"/>
                <w:sz w:val="21"/>
                <w:szCs w:val="21"/>
                <w:lang w:val="en-US" w:eastAsia="zh-CN"/>
              </w:rPr>
              <w:t>G3-2-3</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0.152</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厂界下风向G4</w:t>
            </w: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en-US" w:bidi="ar-SA"/>
              </w:rPr>
            </w:pPr>
            <w:r>
              <w:rPr>
                <w:rFonts w:hint="default" w:ascii="Times New Roman" w:hAnsi="Times New Roman" w:eastAsia="宋体" w:cs="Times New Roman"/>
                <w:color w:val="auto"/>
                <w:spacing w:val="0"/>
                <w:sz w:val="21"/>
                <w:szCs w:val="21"/>
                <w:lang w:eastAsia="zh-CN"/>
              </w:rPr>
              <w:t>202108998</w:t>
            </w:r>
            <w:r>
              <w:rPr>
                <w:rFonts w:hint="default" w:ascii="Times New Roman" w:hAnsi="Times New Roman" w:eastAsia="宋体" w:cs="Times New Roman"/>
                <w:color w:val="auto"/>
                <w:spacing w:val="0"/>
                <w:sz w:val="21"/>
                <w:szCs w:val="21"/>
                <w:lang w:val="en-US" w:eastAsia="zh-CN"/>
              </w:rPr>
              <w:t>G4-2-1</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0.170</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eastAsia="zh-CN"/>
              </w:rPr>
              <w:t>202108998</w:t>
            </w:r>
            <w:r>
              <w:rPr>
                <w:rFonts w:hint="default" w:ascii="Times New Roman" w:hAnsi="Times New Roman" w:eastAsia="宋体" w:cs="Times New Roman"/>
                <w:color w:val="auto"/>
                <w:spacing w:val="0"/>
                <w:sz w:val="21"/>
                <w:szCs w:val="21"/>
                <w:lang w:val="en-US" w:eastAsia="zh-CN"/>
              </w:rPr>
              <w:t>G4-2-2</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0.133</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eastAsia="zh-CN"/>
              </w:rPr>
              <w:t>202108998</w:t>
            </w:r>
            <w:r>
              <w:rPr>
                <w:rFonts w:hint="default" w:ascii="Times New Roman" w:hAnsi="Times New Roman" w:eastAsia="宋体" w:cs="Times New Roman"/>
                <w:color w:val="auto"/>
                <w:spacing w:val="0"/>
                <w:sz w:val="21"/>
                <w:szCs w:val="21"/>
                <w:lang w:val="en-US" w:eastAsia="zh-CN"/>
              </w:rPr>
              <w:t>G4-2-3</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0.114</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3"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eastAsia="zh-CN"/>
              </w:rPr>
              <w:t>最大值</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0.171</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3"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检出限</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0.002</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3"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rPr>
                <w:rFonts w:hint="default" w:ascii="Times New Roman" w:hAnsi="Times New Roman" w:eastAsia="宋体" w:cs="Times New Roman"/>
                <w:color w:val="auto"/>
                <w:spacing w:val="0"/>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标准值</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1.0</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0.6</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3"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rPr>
                <w:rFonts w:hint="default" w:ascii="Times New Roman" w:hAnsi="Times New Roman" w:eastAsia="宋体" w:cs="Times New Roman"/>
                <w:color w:val="auto"/>
                <w:spacing w:val="0"/>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达标情况</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达标</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达标</w:t>
            </w:r>
          </w:p>
        </w:tc>
        <w:tc>
          <w:tcPr>
            <w:tcW w:w="896"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7"/>
            <w:noWrap w:val="0"/>
            <w:vAlign w:val="top"/>
          </w:tcPr>
          <w:p>
            <w:pPr>
              <w:keepNext w:val="0"/>
              <w:keepLines w:val="0"/>
              <w:pageBreakBefore w:val="0"/>
              <w:widowControl w:val="0"/>
              <w:kinsoku/>
              <w:wordWrap/>
              <w:overflowPunct/>
              <w:topLinePunct w:val="0"/>
              <w:bidi w:val="0"/>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eastAsia="zh-CN"/>
              </w:rPr>
              <w:t>备注：</w:t>
            </w:r>
            <w:r>
              <w:rPr>
                <w:rFonts w:hint="default" w:ascii="Times New Roman" w:hAnsi="Times New Roman" w:eastAsia="宋体" w:cs="Times New Roman"/>
                <w:color w:val="auto"/>
                <w:spacing w:val="0"/>
                <w:sz w:val="21"/>
                <w:szCs w:val="21"/>
                <w:lang w:val="en-US" w:eastAsia="zh-CN"/>
              </w:rPr>
              <w:t>1、臭气浓度无量纲；2、ND表示未检出。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采样地点</w:t>
            </w:r>
          </w:p>
        </w:tc>
        <w:tc>
          <w:tcPr>
            <w:tcW w:w="775"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频次</w:t>
            </w:r>
          </w:p>
        </w:tc>
        <w:tc>
          <w:tcPr>
            <w:tcW w:w="3301" w:type="pct"/>
            <w:gridSpan w:val="5"/>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检测项目</w:t>
            </w:r>
            <w:r>
              <w:rPr>
                <w:rFonts w:hint="default" w:ascii="Times New Roman" w:hAnsi="Times New Roman" w:eastAsia="宋体" w:cs="Times New Roman"/>
                <w:color w:val="auto"/>
                <w:spacing w:val="0"/>
                <w:sz w:val="21"/>
                <w:szCs w:val="21"/>
                <w:lang w:val="en-US" w:eastAsia="zh-CN"/>
              </w:rPr>
              <w:t xml:space="preserve">    </w:t>
            </w:r>
            <w:r>
              <w:rPr>
                <w:rFonts w:hint="default" w:ascii="Times New Roman" w:hAnsi="Times New Roman" w:eastAsia="宋体" w:cs="Times New Roman"/>
                <w:color w:val="auto"/>
                <w:spacing w:val="0"/>
                <w:sz w:val="21"/>
                <w:szCs w:val="21"/>
              </w:rPr>
              <w:t>单位：mg/m</w:t>
            </w:r>
            <w:r>
              <w:rPr>
                <w:rFonts w:hint="default" w:ascii="Times New Roman" w:hAnsi="Times New Roman" w:eastAsia="宋体" w:cs="Times New Roman"/>
                <w:color w:val="auto"/>
                <w:spacing w:val="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rPr>
            </w:pPr>
          </w:p>
        </w:tc>
        <w:tc>
          <w:tcPr>
            <w:tcW w:w="775"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rPr>
            </w:pPr>
          </w:p>
        </w:tc>
        <w:tc>
          <w:tcPr>
            <w:tcW w:w="3301" w:type="pct"/>
            <w:gridSpan w:val="5"/>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rPr>
            </w:pPr>
          </w:p>
        </w:tc>
        <w:tc>
          <w:tcPr>
            <w:tcW w:w="775"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rPr>
            </w:pP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2021年7月28日</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2021年7月29日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厂界上风向G1</w:t>
            </w: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0.99</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0.95</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3</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0.63</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4</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1.04</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均值</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0.90</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厂界下风向G2</w:t>
            </w: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1</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1.91</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2</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0.47</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3</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1.04</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4</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1.42</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均值</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1.21</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厂界下风向G3</w:t>
            </w: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1</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1.36</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2</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2.25</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3</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2.02</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4</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0.90</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均值</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1.63</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厂界下风向G4</w:t>
            </w: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1</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1.90</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2</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1.73</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3</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1.16</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4</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1.26</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均值</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1.51</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8"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均值最大值</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1.63</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8"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标准值</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4.0</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8"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达标情况</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达标</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采样地点</w:t>
            </w:r>
          </w:p>
        </w:tc>
        <w:tc>
          <w:tcPr>
            <w:tcW w:w="775"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频次</w:t>
            </w:r>
          </w:p>
        </w:tc>
        <w:tc>
          <w:tcPr>
            <w:tcW w:w="3301" w:type="pct"/>
            <w:gridSpan w:val="5"/>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检测项目</w:t>
            </w:r>
            <w:r>
              <w:rPr>
                <w:rFonts w:hint="default" w:ascii="Times New Roman" w:hAnsi="Times New Roman" w:eastAsia="宋体" w:cs="Times New Roman"/>
                <w:color w:val="auto"/>
                <w:spacing w:val="0"/>
                <w:sz w:val="21"/>
                <w:szCs w:val="21"/>
                <w:lang w:val="en-US" w:eastAsia="zh-CN"/>
              </w:rPr>
              <w:t xml:space="preserve">    </w:t>
            </w:r>
            <w:r>
              <w:rPr>
                <w:rFonts w:hint="default" w:ascii="Times New Roman" w:hAnsi="Times New Roman" w:eastAsia="宋体" w:cs="Times New Roman"/>
                <w:color w:val="auto"/>
                <w:spacing w:val="0"/>
                <w:sz w:val="21"/>
                <w:szCs w:val="21"/>
              </w:rPr>
              <w:t>单位：mg/m</w:t>
            </w:r>
            <w:r>
              <w:rPr>
                <w:rFonts w:hint="default" w:ascii="Times New Roman" w:hAnsi="Times New Roman" w:eastAsia="宋体" w:cs="Times New Roman"/>
                <w:color w:val="auto"/>
                <w:spacing w:val="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rPr>
            </w:pPr>
          </w:p>
        </w:tc>
        <w:tc>
          <w:tcPr>
            <w:tcW w:w="775"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rPr>
            </w:pPr>
          </w:p>
        </w:tc>
        <w:tc>
          <w:tcPr>
            <w:tcW w:w="3301" w:type="pct"/>
            <w:gridSpan w:val="5"/>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rPr>
            </w:pPr>
          </w:p>
        </w:tc>
        <w:tc>
          <w:tcPr>
            <w:tcW w:w="775"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rPr>
            </w:pP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2021年7月28日</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2021年7月29日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罐区下风向G5</w:t>
            </w: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lang w:val="en-US" w:eastAsia="zh-CN"/>
              </w:rPr>
              <w:t>1</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1.22</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1.93</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3</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1.19</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均值</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1.45</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罐区下风向G6</w:t>
            </w: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1</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1.25</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1.57</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3</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2.61</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均值</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1.81</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装置区下风向G7</w:t>
            </w: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lang w:val="en-US" w:eastAsia="zh-CN"/>
              </w:rPr>
              <w:t>1</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1.19</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1.24</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3</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1.11</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均值</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1.18</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厂区南部储罐下风向G8</w:t>
            </w: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1</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1.61</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2</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3.96</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3</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3.40</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均值</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2.99</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厂区南部储罐下风向G9</w:t>
            </w: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lang w:val="en-US" w:eastAsia="zh-CN"/>
              </w:rPr>
              <w:t>1</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2.05</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2.11</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3</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1.32</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均值</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1.83</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厂区南部储罐下风向G10</w:t>
            </w: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1</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1.52</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1.24</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3</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1.62</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3"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均值</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1.46</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8"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eastAsia="zh-CN"/>
              </w:rPr>
              <w:t>标准值</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6.0</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8"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eastAsia="zh-CN"/>
              </w:rPr>
              <w:t>达标情况</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达标</w:t>
            </w:r>
          </w:p>
        </w:tc>
        <w:tc>
          <w:tcPr>
            <w:tcW w:w="162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达标</w:t>
            </w:r>
          </w:p>
        </w:tc>
      </w:tr>
    </w:tbl>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val="zh-CN"/>
        </w:rPr>
        <w:t>表</w:t>
      </w:r>
      <w:r>
        <w:rPr>
          <w:rFonts w:hint="default" w:ascii="Times New Roman" w:hAnsi="Times New Roman" w:eastAsia="宋体" w:cs="Times New Roman"/>
          <w:b/>
          <w:bCs/>
          <w:color w:val="auto"/>
          <w:sz w:val="24"/>
          <w:szCs w:val="24"/>
          <w:lang w:val="en-US" w:eastAsia="zh-CN"/>
        </w:rPr>
        <w:t>10.2-3</w:t>
      </w:r>
      <w:r>
        <w:rPr>
          <w:rFonts w:hint="default" w:ascii="Times New Roman" w:hAnsi="Times New Roman" w:eastAsia="宋体" w:cs="Times New Roman"/>
          <w:b/>
          <w:bCs/>
          <w:color w:val="auto"/>
          <w:sz w:val="24"/>
          <w:szCs w:val="24"/>
          <w:lang w:val="zh-CN" w:eastAsia="zh-CN"/>
        </w:rPr>
        <w:t xml:space="preserve"> </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无组织</w:t>
      </w:r>
      <w:r>
        <w:rPr>
          <w:rFonts w:hint="default" w:ascii="Times New Roman" w:hAnsi="Times New Roman" w:eastAsia="宋体" w:cs="Times New Roman"/>
          <w:b/>
          <w:bCs/>
          <w:color w:val="auto"/>
          <w:sz w:val="24"/>
          <w:szCs w:val="24"/>
          <w:lang w:eastAsia="zh-CN"/>
        </w:rPr>
        <w:t>排放</w:t>
      </w:r>
      <w:r>
        <w:rPr>
          <w:rFonts w:hint="default" w:ascii="Times New Roman" w:hAnsi="Times New Roman" w:eastAsia="宋体" w:cs="Times New Roman"/>
          <w:b/>
          <w:bCs/>
          <w:color w:val="auto"/>
          <w:sz w:val="24"/>
          <w:szCs w:val="24"/>
        </w:rPr>
        <w:t>监测结果</w:t>
      </w:r>
      <w:r>
        <w:rPr>
          <w:rFonts w:hint="default" w:ascii="Times New Roman" w:hAnsi="Times New Roman" w:eastAsia="宋体" w:cs="Times New Roman"/>
          <w:b/>
          <w:bCs/>
          <w:color w:val="auto"/>
          <w:sz w:val="24"/>
          <w:szCs w:val="24"/>
          <w:lang w:eastAsia="zh-CN"/>
        </w:rPr>
        <w:t>表（</w:t>
      </w:r>
      <w:r>
        <w:rPr>
          <w:rFonts w:hint="default" w:ascii="Times New Roman" w:hAnsi="Times New Roman" w:eastAsia="宋体" w:cs="Times New Roman"/>
          <w:b/>
          <w:bCs/>
          <w:color w:val="auto"/>
          <w:sz w:val="24"/>
          <w:szCs w:val="24"/>
          <w:lang w:val="en-US" w:eastAsia="zh-CN"/>
        </w:rPr>
        <w:t>三羟甲基丙烷系列</w:t>
      </w:r>
      <w:r>
        <w:rPr>
          <w:rFonts w:hint="default" w:ascii="Times New Roman" w:hAnsi="Times New Roman" w:eastAsia="宋体" w:cs="Times New Roman"/>
          <w:b/>
          <w:bCs/>
          <w:color w:val="auto"/>
          <w:sz w:val="24"/>
          <w:szCs w:val="24"/>
          <w:lang w:eastAsia="zh-CN"/>
        </w:rPr>
        <w:t>）</w:t>
      </w:r>
    </w:p>
    <w:tbl>
      <w:tblPr>
        <w:tblStyle w:val="23"/>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1"/>
        <w:gridCol w:w="1358"/>
        <w:gridCol w:w="1130"/>
        <w:gridCol w:w="1542"/>
        <w:gridCol w:w="263"/>
        <w:gridCol w:w="1277"/>
        <w:gridCol w:w="1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采样日期</w:t>
            </w:r>
          </w:p>
        </w:tc>
        <w:tc>
          <w:tcPr>
            <w:tcW w:w="4079" w:type="pct"/>
            <w:gridSpan w:val="6"/>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2021年8月20日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采样地点</w:t>
            </w:r>
          </w:p>
        </w:tc>
        <w:tc>
          <w:tcPr>
            <w:tcW w:w="1420" w:type="pct"/>
            <w:gridSpan w:val="2"/>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样品编号</w:t>
            </w:r>
          </w:p>
        </w:tc>
        <w:tc>
          <w:tcPr>
            <w:tcW w:w="2659" w:type="pct"/>
            <w:gridSpan w:val="4"/>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检测项目</w:t>
            </w:r>
            <w:r>
              <w:rPr>
                <w:rFonts w:hint="default" w:ascii="Times New Roman" w:hAnsi="Times New Roman" w:eastAsia="宋体" w:cs="Times New Roman"/>
                <w:color w:val="auto"/>
                <w:spacing w:val="0"/>
                <w:sz w:val="21"/>
                <w:szCs w:val="21"/>
                <w:lang w:val="en-US" w:eastAsia="zh-CN"/>
              </w:rPr>
              <w:t xml:space="preserve">    </w:t>
            </w:r>
            <w:r>
              <w:rPr>
                <w:rFonts w:hint="default" w:ascii="Times New Roman" w:hAnsi="Times New Roman" w:eastAsia="宋体" w:cs="Times New Roman"/>
                <w:color w:val="auto"/>
                <w:spacing w:val="0"/>
                <w:sz w:val="21"/>
                <w:szCs w:val="21"/>
              </w:rPr>
              <w:t>单位：mg/m</w:t>
            </w:r>
            <w:r>
              <w:rPr>
                <w:rFonts w:hint="default" w:ascii="Times New Roman" w:hAnsi="Times New Roman" w:eastAsia="宋体" w:cs="Times New Roman"/>
                <w:color w:val="auto"/>
                <w:spacing w:val="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rPr>
            </w:pPr>
          </w:p>
        </w:tc>
        <w:tc>
          <w:tcPr>
            <w:tcW w:w="1420" w:type="pct"/>
            <w:gridSpan w:val="2"/>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rPr>
            </w:pP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颗粒物（总悬浮颗粒物）</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异丙醇</w:t>
            </w:r>
          </w:p>
        </w:tc>
        <w:tc>
          <w:tcPr>
            <w:tcW w:w="90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厂界上风向G1</w:t>
            </w: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en-US" w:bidi="ar-SA"/>
              </w:rPr>
            </w:pPr>
            <w:r>
              <w:rPr>
                <w:rFonts w:hint="default" w:ascii="Times New Roman" w:hAnsi="Times New Roman" w:eastAsia="宋体" w:cs="Times New Roman"/>
                <w:color w:val="auto"/>
                <w:spacing w:val="0"/>
                <w:sz w:val="21"/>
                <w:szCs w:val="21"/>
                <w:lang w:eastAsia="zh-CN"/>
              </w:rPr>
              <w:t>202108997</w:t>
            </w:r>
            <w:r>
              <w:rPr>
                <w:rFonts w:hint="default" w:ascii="Times New Roman" w:hAnsi="Times New Roman" w:eastAsia="宋体" w:cs="Times New Roman"/>
                <w:color w:val="auto"/>
                <w:spacing w:val="0"/>
                <w:sz w:val="21"/>
                <w:szCs w:val="21"/>
                <w:lang w:val="en-US" w:eastAsia="zh-CN"/>
              </w:rPr>
              <w:t>G1-1-1</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0.055</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90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eastAsia="zh-CN"/>
              </w:rPr>
              <w:t>202108997</w:t>
            </w:r>
            <w:r>
              <w:rPr>
                <w:rFonts w:hint="default" w:ascii="Times New Roman" w:hAnsi="Times New Roman" w:eastAsia="宋体" w:cs="Times New Roman"/>
                <w:color w:val="auto"/>
                <w:spacing w:val="0"/>
                <w:sz w:val="21"/>
                <w:szCs w:val="21"/>
                <w:lang w:val="en-US" w:eastAsia="zh-CN"/>
              </w:rPr>
              <w:t>G1-1-2</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0.074</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90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eastAsia="zh-CN"/>
              </w:rPr>
              <w:t>202108997</w:t>
            </w:r>
            <w:r>
              <w:rPr>
                <w:rFonts w:hint="default" w:ascii="Times New Roman" w:hAnsi="Times New Roman" w:eastAsia="宋体" w:cs="Times New Roman"/>
                <w:color w:val="auto"/>
                <w:spacing w:val="0"/>
                <w:sz w:val="21"/>
                <w:szCs w:val="21"/>
                <w:lang w:val="en-US" w:eastAsia="zh-CN"/>
              </w:rPr>
              <w:t>G1-1-3</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0.075</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90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厂界下风向G2</w:t>
            </w: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eastAsia="zh-CN"/>
              </w:rPr>
              <w:t>202108997</w:t>
            </w:r>
            <w:r>
              <w:rPr>
                <w:rFonts w:hint="default" w:ascii="Times New Roman" w:hAnsi="Times New Roman" w:eastAsia="宋体" w:cs="Times New Roman"/>
                <w:color w:val="auto"/>
                <w:spacing w:val="0"/>
                <w:sz w:val="21"/>
                <w:szCs w:val="21"/>
                <w:lang w:val="en-US" w:eastAsia="zh-CN"/>
              </w:rPr>
              <w:t>G2-1-1</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0.111</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90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eastAsia="zh-CN"/>
              </w:rPr>
              <w:t>202108997</w:t>
            </w:r>
            <w:r>
              <w:rPr>
                <w:rFonts w:hint="default" w:ascii="Times New Roman" w:hAnsi="Times New Roman" w:eastAsia="宋体" w:cs="Times New Roman"/>
                <w:color w:val="auto"/>
                <w:spacing w:val="0"/>
                <w:sz w:val="21"/>
                <w:szCs w:val="21"/>
                <w:lang w:val="en-US" w:eastAsia="zh-CN"/>
              </w:rPr>
              <w:t>G2-1-2</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0.111</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90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eastAsia="zh-CN"/>
              </w:rPr>
              <w:t>202108997</w:t>
            </w:r>
            <w:r>
              <w:rPr>
                <w:rFonts w:hint="default" w:ascii="Times New Roman" w:hAnsi="Times New Roman" w:eastAsia="宋体" w:cs="Times New Roman"/>
                <w:color w:val="auto"/>
                <w:spacing w:val="0"/>
                <w:sz w:val="21"/>
                <w:szCs w:val="21"/>
                <w:lang w:val="en-US" w:eastAsia="zh-CN"/>
              </w:rPr>
              <w:t>G2-1-3</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0.149</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90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厂界下风向G3</w:t>
            </w: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en-US" w:bidi="ar-SA"/>
              </w:rPr>
            </w:pPr>
            <w:r>
              <w:rPr>
                <w:rFonts w:hint="default" w:ascii="Times New Roman" w:hAnsi="Times New Roman" w:eastAsia="宋体" w:cs="Times New Roman"/>
                <w:color w:val="auto"/>
                <w:spacing w:val="0"/>
                <w:sz w:val="21"/>
                <w:szCs w:val="21"/>
                <w:lang w:eastAsia="zh-CN"/>
              </w:rPr>
              <w:t>202108997</w:t>
            </w:r>
            <w:r>
              <w:rPr>
                <w:rFonts w:hint="default" w:ascii="Times New Roman" w:hAnsi="Times New Roman" w:eastAsia="宋体" w:cs="Times New Roman"/>
                <w:color w:val="auto"/>
                <w:spacing w:val="0"/>
                <w:sz w:val="21"/>
                <w:szCs w:val="21"/>
                <w:lang w:val="en-US" w:eastAsia="zh-CN"/>
              </w:rPr>
              <w:t>G3-1-1</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0.129</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90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eastAsia="zh-CN"/>
              </w:rPr>
              <w:t>202108997</w:t>
            </w:r>
            <w:r>
              <w:rPr>
                <w:rFonts w:hint="default" w:ascii="Times New Roman" w:hAnsi="Times New Roman" w:eastAsia="宋体" w:cs="Times New Roman"/>
                <w:color w:val="auto"/>
                <w:spacing w:val="0"/>
                <w:sz w:val="21"/>
                <w:szCs w:val="21"/>
                <w:lang w:val="en-US" w:eastAsia="zh-CN"/>
              </w:rPr>
              <w:t>G3-1-2</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0.130</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0.005</w:t>
            </w:r>
          </w:p>
        </w:tc>
        <w:tc>
          <w:tcPr>
            <w:tcW w:w="90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eastAsia="zh-CN"/>
              </w:rPr>
              <w:t>202108997</w:t>
            </w:r>
            <w:r>
              <w:rPr>
                <w:rFonts w:hint="default" w:ascii="Times New Roman" w:hAnsi="Times New Roman" w:eastAsia="宋体" w:cs="Times New Roman"/>
                <w:color w:val="auto"/>
                <w:spacing w:val="0"/>
                <w:sz w:val="21"/>
                <w:szCs w:val="21"/>
                <w:lang w:val="en-US" w:eastAsia="zh-CN"/>
              </w:rPr>
              <w:t>G3-1-3</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0.168</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90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厂界下风向G4</w:t>
            </w: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en-US" w:bidi="ar-SA"/>
              </w:rPr>
            </w:pPr>
            <w:r>
              <w:rPr>
                <w:rFonts w:hint="default" w:ascii="Times New Roman" w:hAnsi="Times New Roman" w:eastAsia="宋体" w:cs="Times New Roman"/>
                <w:color w:val="auto"/>
                <w:spacing w:val="0"/>
                <w:sz w:val="21"/>
                <w:szCs w:val="21"/>
                <w:lang w:eastAsia="zh-CN"/>
              </w:rPr>
              <w:t>202108997</w:t>
            </w:r>
            <w:r>
              <w:rPr>
                <w:rFonts w:hint="default" w:ascii="Times New Roman" w:hAnsi="Times New Roman" w:eastAsia="宋体" w:cs="Times New Roman"/>
                <w:color w:val="auto"/>
                <w:spacing w:val="0"/>
                <w:sz w:val="21"/>
                <w:szCs w:val="21"/>
                <w:lang w:val="en-US" w:eastAsia="zh-CN"/>
              </w:rPr>
              <w:t>G4-1-1</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0.129</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90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eastAsia="zh-CN"/>
              </w:rPr>
              <w:t>202108997</w:t>
            </w:r>
            <w:r>
              <w:rPr>
                <w:rFonts w:hint="default" w:ascii="Times New Roman" w:hAnsi="Times New Roman" w:eastAsia="宋体" w:cs="Times New Roman"/>
                <w:color w:val="auto"/>
                <w:spacing w:val="0"/>
                <w:sz w:val="21"/>
                <w:szCs w:val="21"/>
                <w:lang w:val="en-US" w:eastAsia="zh-CN"/>
              </w:rPr>
              <w:t>G4-1-2</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0.167</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90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eastAsia="zh-CN"/>
              </w:rPr>
              <w:t>202108997</w:t>
            </w:r>
            <w:r>
              <w:rPr>
                <w:rFonts w:hint="default" w:ascii="Times New Roman" w:hAnsi="Times New Roman" w:eastAsia="宋体" w:cs="Times New Roman"/>
                <w:color w:val="auto"/>
                <w:spacing w:val="0"/>
                <w:sz w:val="21"/>
                <w:szCs w:val="21"/>
                <w:lang w:val="en-US" w:eastAsia="zh-CN"/>
              </w:rPr>
              <w:t>G4-1-3</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0.131</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90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0"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eastAsia="zh-CN"/>
              </w:rPr>
              <w:t>最大值</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0.168</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0.005</w:t>
            </w:r>
          </w:p>
        </w:tc>
        <w:tc>
          <w:tcPr>
            <w:tcW w:w="90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0"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检出限</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0.002</w:t>
            </w:r>
          </w:p>
        </w:tc>
        <w:tc>
          <w:tcPr>
            <w:tcW w:w="90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0"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标准值</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1.0</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0.6</w:t>
            </w:r>
          </w:p>
        </w:tc>
        <w:tc>
          <w:tcPr>
            <w:tcW w:w="90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0"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达标情况</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达标</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达标</w:t>
            </w:r>
          </w:p>
        </w:tc>
        <w:tc>
          <w:tcPr>
            <w:tcW w:w="90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采样日期</w:t>
            </w:r>
          </w:p>
        </w:tc>
        <w:tc>
          <w:tcPr>
            <w:tcW w:w="4079" w:type="pct"/>
            <w:gridSpan w:val="6"/>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2021年8月21日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采样地点</w:t>
            </w:r>
          </w:p>
        </w:tc>
        <w:tc>
          <w:tcPr>
            <w:tcW w:w="1420" w:type="pct"/>
            <w:gridSpan w:val="2"/>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样品编号</w:t>
            </w:r>
          </w:p>
        </w:tc>
        <w:tc>
          <w:tcPr>
            <w:tcW w:w="2659" w:type="pct"/>
            <w:gridSpan w:val="4"/>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检测项目</w:t>
            </w:r>
            <w:r>
              <w:rPr>
                <w:rFonts w:hint="default" w:ascii="Times New Roman" w:hAnsi="Times New Roman" w:eastAsia="宋体" w:cs="Times New Roman"/>
                <w:color w:val="auto"/>
                <w:spacing w:val="0"/>
                <w:sz w:val="21"/>
                <w:szCs w:val="21"/>
                <w:lang w:val="en-US" w:eastAsia="zh-CN"/>
              </w:rPr>
              <w:t xml:space="preserve">    </w:t>
            </w:r>
            <w:r>
              <w:rPr>
                <w:rFonts w:hint="default" w:ascii="Times New Roman" w:hAnsi="Times New Roman" w:eastAsia="宋体" w:cs="Times New Roman"/>
                <w:color w:val="auto"/>
                <w:spacing w:val="0"/>
                <w:sz w:val="21"/>
                <w:szCs w:val="21"/>
              </w:rPr>
              <w:t>单位：mg/m</w:t>
            </w:r>
            <w:r>
              <w:rPr>
                <w:rFonts w:hint="default" w:ascii="Times New Roman" w:hAnsi="Times New Roman" w:eastAsia="宋体" w:cs="Times New Roman"/>
                <w:color w:val="auto"/>
                <w:spacing w:val="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rPr>
            </w:pPr>
          </w:p>
        </w:tc>
        <w:tc>
          <w:tcPr>
            <w:tcW w:w="1420" w:type="pct"/>
            <w:gridSpan w:val="2"/>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rPr>
            </w:pP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颗粒物（总悬浮颗粒物）</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异丙醇</w:t>
            </w:r>
          </w:p>
        </w:tc>
        <w:tc>
          <w:tcPr>
            <w:tcW w:w="90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1" w:type="dxa"/>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厂界上风向G1</w:t>
            </w: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en-US" w:bidi="ar-SA"/>
              </w:rPr>
            </w:pPr>
            <w:r>
              <w:rPr>
                <w:rFonts w:hint="default" w:ascii="Times New Roman" w:hAnsi="Times New Roman" w:eastAsia="宋体" w:cs="Times New Roman"/>
                <w:color w:val="auto"/>
                <w:spacing w:val="0"/>
                <w:sz w:val="21"/>
                <w:szCs w:val="21"/>
                <w:lang w:eastAsia="zh-CN"/>
              </w:rPr>
              <w:t>202108997</w:t>
            </w:r>
            <w:r>
              <w:rPr>
                <w:rFonts w:hint="default" w:ascii="Times New Roman" w:hAnsi="Times New Roman" w:eastAsia="宋体" w:cs="Times New Roman"/>
                <w:color w:val="auto"/>
                <w:spacing w:val="0"/>
                <w:sz w:val="21"/>
                <w:szCs w:val="21"/>
                <w:lang w:val="en-US" w:eastAsia="zh-CN"/>
              </w:rPr>
              <w:t>G1-2-1</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0.093</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90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eastAsia="zh-CN"/>
              </w:rPr>
              <w:t>202108997</w:t>
            </w:r>
            <w:r>
              <w:rPr>
                <w:rFonts w:hint="default" w:ascii="Times New Roman" w:hAnsi="Times New Roman" w:eastAsia="宋体" w:cs="Times New Roman"/>
                <w:color w:val="auto"/>
                <w:spacing w:val="0"/>
                <w:sz w:val="21"/>
                <w:szCs w:val="21"/>
                <w:lang w:val="en-US" w:eastAsia="zh-CN"/>
              </w:rPr>
              <w:t>G1-2-2</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0.075</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90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eastAsia="zh-CN"/>
              </w:rPr>
              <w:t>202108997</w:t>
            </w:r>
            <w:r>
              <w:rPr>
                <w:rFonts w:hint="default" w:ascii="Times New Roman" w:hAnsi="Times New Roman" w:eastAsia="宋体" w:cs="Times New Roman"/>
                <w:color w:val="auto"/>
                <w:spacing w:val="0"/>
                <w:sz w:val="21"/>
                <w:szCs w:val="21"/>
                <w:lang w:val="en-US" w:eastAsia="zh-CN"/>
              </w:rPr>
              <w:t>G1-2-3</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0.113</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90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1" w:type="dxa"/>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厂界下风向G2</w:t>
            </w: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eastAsia="zh-CN"/>
              </w:rPr>
              <w:t>202108997</w:t>
            </w:r>
            <w:r>
              <w:rPr>
                <w:rFonts w:hint="default" w:ascii="Times New Roman" w:hAnsi="Times New Roman" w:eastAsia="宋体" w:cs="Times New Roman"/>
                <w:color w:val="auto"/>
                <w:spacing w:val="0"/>
                <w:sz w:val="21"/>
                <w:szCs w:val="21"/>
                <w:lang w:val="en-US" w:eastAsia="zh-CN"/>
              </w:rPr>
              <w:t>G2-2-1</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0.186</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90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eastAsia="zh-CN"/>
              </w:rPr>
              <w:t>202108997</w:t>
            </w:r>
            <w:r>
              <w:rPr>
                <w:rFonts w:hint="default" w:ascii="Times New Roman" w:hAnsi="Times New Roman" w:eastAsia="宋体" w:cs="Times New Roman"/>
                <w:color w:val="auto"/>
                <w:spacing w:val="0"/>
                <w:sz w:val="21"/>
                <w:szCs w:val="21"/>
                <w:lang w:val="en-US" w:eastAsia="zh-CN"/>
              </w:rPr>
              <w:t>G2-2-2</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0.168</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90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eastAsia="zh-CN"/>
              </w:rPr>
              <w:t>202108997</w:t>
            </w:r>
            <w:r>
              <w:rPr>
                <w:rFonts w:hint="default" w:ascii="Times New Roman" w:hAnsi="Times New Roman" w:eastAsia="宋体" w:cs="Times New Roman"/>
                <w:color w:val="auto"/>
                <w:spacing w:val="0"/>
                <w:sz w:val="21"/>
                <w:szCs w:val="21"/>
                <w:lang w:val="en-US" w:eastAsia="zh-CN"/>
              </w:rPr>
              <w:t>G2-2-3</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0.150</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90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1" w:type="dxa"/>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厂界下风向G3</w:t>
            </w: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en-US" w:bidi="ar-SA"/>
              </w:rPr>
            </w:pPr>
            <w:r>
              <w:rPr>
                <w:rFonts w:hint="default" w:ascii="Times New Roman" w:hAnsi="Times New Roman" w:eastAsia="宋体" w:cs="Times New Roman"/>
                <w:color w:val="auto"/>
                <w:spacing w:val="0"/>
                <w:sz w:val="21"/>
                <w:szCs w:val="21"/>
                <w:lang w:eastAsia="zh-CN"/>
              </w:rPr>
              <w:t>202108997</w:t>
            </w:r>
            <w:r>
              <w:rPr>
                <w:rFonts w:hint="default" w:ascii="Times New Roman" w:hAnsi="Times New Roman" w:eastAsia="宋体" w:cs="Times New Roman"/>
                <w:color w:val="auto"/>
                <w:spacing w:val="0"/>
                <w:sz w:val="21"/>
                <w:szCs w:val="21"/>
                <w:lang w:val="en-US" w:eastAsia="zh-CN"/>
              </w:rPr>
              <w:t>G3-2-1</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0.149</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90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eastAsia="zh-CN"/>
              </w:rPr>
              <w:t>202108997</w:t>
            </w:r>
            <w:r>
              <w:rPr>
                <w:rFonts w:hint="default" w:ascii="Times New Roman" w:hAnsi="Times New Roman" w:eastAsia="宋体" w:cs="Times New Roman"/>
                <w:color w:val="auto"/>
                <w:spacing w:val="0"/>
                <w:sz w:val="21"/>
                <w:szCs w:val="21"/>
                <w:lang w:val="en-US" w:eastAsia="zh-CN"/>
              </w:rPr>
              <w:t>G3-2-2</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0.187</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90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eastAsia="zh-CN"/>
              </w:rPr>
              <w:t>202108997</w:t>
            </w:r>
            <w:r>
              <w:rPr>
                <w:rFonts w:hint="default" w:ascii="Times New Roman" w:hAnsi="Times New Roman" w:eastAsia="宋体" w:cs="Times New Roman"/>
                <w:color w:val="auto"/>
                <w:spacing w:val="0"/>
                <w:sz w:val="21"/>
                <w:szCs w:val="21"/>
                <w:lang w:val="en-US" w:eastAsia="zh-CN"/>
              </w:rPr>
              <w:t>G3-2-3</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0.169</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90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1" w:type="dxa"/>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厂界下风向G4</w:t>
            </w: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en-US" w:bidi="ar-SA"/>
              </w:rPr>
            </w:pPr>
            <w:r>
              <w:rPr>
                <w:rFonts w:hint="default" w:ascii="Times New Roman" w:hAnsi="Times New Roman" w:eastAsia="宋体" w:cs="Times New Roman"/>
                <w:color w:val="auto"/>
                <w:spacing w:val="0"/>
                <w:sz w:val="21"/>
                <w:szCs w:val="21"/>
                <w:lang w:eastAsia="zh-CN"/>
              </w:rPr>
              <w:t>202108997</w:t>
            </w:r>
            <w:r>
              <w:rPr>
                <w:rFonts w:hint="default" w:ascii="Times New Roman" w:hAnsi="Times New Roman" w:eastAsia="宋体" w:cs="Times New Roman"/>
                <w:color w:val="auto"/>
                <w:spacing w:val="0"/>
                <w:sz w:val="21"/>
                <w:szCs w:val="21"/>
                <w:lang w:val="en-US" w:eastAsia="zh-CN"/>
              </w:rPr>
              <w:t>G4-2-1</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0.168</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90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sz w:val="21"/>
                <w:szCs w:val="21"/>
                <w:lang w:val="en-US" w:eastAsia="zh-CN"/>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eastAsia="zh-CN"/>
              </w:rPr>
              <w:t>202108997</w:t>
            </w:r>
            <w:r>
              <w:rPr>
                <w:rFonts w:hint="default" w:ascii="Times New Roman" w:hAnsi="Times New Roman" w:eastAsia="宋体" w:cs="Times New Roman"/>
                <w:color w:val="auto"/>
                <w:spacing w:val="0"/>
                <w:sz w:val="21"/>
                <w:szCs w:val="21"/>
                <w:lang w:val="en-US" w:eastAsia="zh-CN"/>
              </w:rPr>
              <w:t>G4-2-2</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0.187</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90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rPr>
                <w:rFonts w:hint="default" w:ascii="Times New Roman" w:hAnsi="Times New Roman" w:eastAsia="宋体" w:cs="Times New Roman"/>
                <w:color w:val="auto"/>
                <w:spacing w:val="0"/>
                <w:sz w:val="21"/>
                <w:szCs w:val="21"/>
                <w:lang w:val="en-US" w:eastAsia="zh-CN" w:bidi="ar-SA"/>
              </w:rPr>
            </w:pPr>
          </w:p>
        </w:tc>
        <w:tc>
          <w:tcPr>
            <w:tcW w:w="1420"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eastAsia="zh-CN"/>
              </w:rPr>
              <w:t>202108997</w:t>
            </w:r>
            <w:r>
              <w:rPr>
                <w:rFonts w:hint="default" w:ascii="Times New Roman" w:hAnsi="Times New Roman" w:eastAsia="宋体" w:cs="Times New Roman"/>
                <w:color w:val="auto"/>
                <w:spacing w:val="0"/>
                <w:sz w:val="21"/>
                <w:szCs w:val="21"/>
                <w:lang w:val="en-US" w:eastAsia="zh-CN"/>
              </w:rPr>
              <w:t>G4-2-3</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0.150</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90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0"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eastAsia="zh-CN"/>
              </w:rPr>
              <w:t>最大值</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0.187</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ND</w:t>
            </w:r>
          </w:p>
        </w:tc>
        <w:tc>
          <w:tcPr>
            <w:tcW w:w="90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0"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检出限</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0.002</w:t>
            </w:r>
          </w:p>
        </w:tc>
        <w:tc>
          <w:tcPr>
            <w:tcW w:w="90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0"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rPr>
                <w:rFonts w:hint="default" w:ascii="Times New Roman" w:hAnsi="Times New Roman" w:eastAsia="宋体" w:cs="Times New Roman"/>
                <w:color w:val="auto"/>
                <w:spacing w:val="0"/>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标准值</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1.0</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0.6</w:t>
            </w:r>
          </w:p>
        </w:tc>
        <w:tc>
          <w:tcPr>
            <w:tcW w:w="90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0"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rPr>
                <w:rFonts w:hint="default" w:ascii="Times New Roman" w:hAnsi="Times New Roman" w:eastAsia="宋体" w:cs="Times New Roman"/>
                <w:color w:val="auto"/>
                <w:spacing w:val="0"/>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达标情况</w:t>
            </w:r>
          </w:p>
        </w:tc>
        <w:tc>
          <w:tcPr>
            <w:tcW w:w="88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达标</w:t>
            </w:r>
          </w:p>
        </w:tc>
        <w:tc>
          <w:tcPr>
            <w:tcW w:w="87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达标</w:t>
            </w:r>
          </w:p>
        </w:tc>
        <w:tc>
          <w:tcPr>
            <w:tcW w:w="900"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7"/>
            <w:noWrap w:val="0"/>
            <w:vAlign w:val="top"/>
          </w:tcPr>
          <w:p>
            <w:pPr>
              <w:keepNext w:val="0"/>
              <w:keepLines w:val="0"/>
              <w:pageBreakBefore w:val="0"/>
              <w:widowControl w:val="0"/>
              <w:kinsoku/>
              <w:wordWrap/>
              <w:overflowPunct/>
              <w:topLinePunct w:val="0"/>
              <w:bidi w:val="0"/>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eastAsia="zh-CN"/>
              </w:rPr>
              <w:t>备注：</w:t>
            </w:r>
            <w:r>
              <w:rPr>
                <w:rFonts w:hint="default" w:ascii="Times New Roman" w:hAnsi="Times New Roman" w:eastAsia="宋体" w:cs="Times New Roman"/>
                <w:color w:val="auto"/>
                <w:spacing w:val="0"/>
                <w:sz w:val="21"/>
                <w:szCs w:val="21"/>
                <w:lang w:val="en-US" w:eastAsia="zh-CN"/>
              </w:rPr>
              <w:t>1、臭气浓度无量纲；2、ND表示未检出。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采样地点</w:t>
            </w:r>
          </w:p>
        </w:tc>
        <w:tc>
          <w:tcPr>
            <w:tcW w:w="775"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频次</w:t>
            </w:r>
          </w:p>
        </w:tc>
        <w:tc>
          <w:tcPr>
            <w:tcW w:w="3304" w:type="pct"/>
            <w:gridSpan w:val="5"/>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检测项目</w:t>
            </w:r>
            <w:r>
              <w:rPr>
                <w:rFonts w:hint="default" w:ascii="Times New Roman" w:hAnsi="Times New Roman" w:eastAsia="宋体" w:cs="Times New Roman"/>
                <w:color w:val="auto"/>
                <w:spacing w:val="0"/>
                <w:sz w:val="21"/>
                <w:szCs w:val="21"/>
                <w:lang w:val="en-US" w:eastAsia="zh-CN"/>
              </w:rPr>
              <w:t xml:space="preserve">    </w:t>
            </w:r>
            <w:r>
              <w:rPr>
                <w:rFonts w:hint="default" w:ascii="Times New Roman" w:hAnsi="Times New Roman" w:eastAsia="宋体" w:cs="Times New Roman"/>
                <w:color w:val="auto"/>
                <w:spacing w:val="0"/>
                <w:sz w:val="21"/>
                <w:szCs w:val="21"/>
              </w:rPr>
              <w:t>单位：mg/m</w:t>
            </w:r>
            <w:r>
              <w:rPr>
                <w:rFonts w:hint="default" w:ascii="Times New Roman" w:hAnsi="Times New Roman" w:eastAsia="宋体" w:cs="Times New Roman"/>
                <w:color w:val="auto"/>
                <w:spacing w:val="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rPr>
            </w:pPr>
          </w:p>
        </w:tc>
        <w:tc>
          <w:tcPr>
            <w:tcW w:w="775"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rPr>
            </w:pPr>
          </w:p>
        </w:tc>
        <w:tc>
          <w:tcPr>
            <w:tcW w:w="3304" w:type="pct"/>
            <w:gridSpan w:val="5"/>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rPr>
            </w:pPr>
          </w:p>
        </w:tc>
        <w:tc>
          <w:tcPr>
            <w:tcW w:w="775"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rPr>
            </w:pP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2021年8月20日</w:t>
            </w:r>
          </w:p>
        </w:tc>
        <w:tc>
          <w:tcPr>
            <w:tcW w:w="162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2021年8月21日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厂界上风向G1</w:t>
            </w: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0.47</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0.61</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3</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0.58</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4</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0.48</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均值</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0.54</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厂界下风向G2</w:t>
            </w: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1</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0.52</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2</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0.69</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3</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0.61</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4</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0.51</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均值</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0.58</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厂界下风向G3</w:t>
            </w: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1</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0.60</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2</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0.60</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3</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0.60</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4</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0.71</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均值</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0.63</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厂界下风向G4</w:t>
            </w: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1</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1.90</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2</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0.62</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3</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0.56</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4</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0.82</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均值</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0.98</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均值最大值</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1.63</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标准值</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4.0</w:t>
            </w:r>
          </w:p>
        </w:tc>
        <w:tc>
          <w:tcPr>
            <w:tcW w:w="162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达标情况</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达标</w:t>
            </w:r>
          </w:p>
        </w:tc>
        <w:tc>
          <w:tcPr>
            <w:tcW w:w="162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采样地点</w:t>
            </w:r>
          </w:p>
        </w:tc>
        <w:tc>
          <w:tcPr>
            <w:tcW w:w="775"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频次</w:t>
            </w:r>
          </w:p>
        </w:tc>
        <w:tc>
          <w:tcPr>
            <w:tcW w:w="3304" w:type="pct"/>
            <w:gridSpan w:val="5"/>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检测项目</w:t>
            </w:r>
            <w:r>
              <w:rPr>
                <w:rFonts w:hint="default" w:ascii="Times New Roman" w:hAnsi="Times New Roman" w:eastAsia="宋体" w:cs="Times New Roman"/>
                <w:color w:val="auto"/>
                <w:spacing w:val="0"/>
                <w:sz w:val="21"/>
                <w:szCs w:val="21"/>
                <w:lang w:val="en-US" w:eastAsia="zh-CN"/>
              </w:rPr>
              <w:t xml:space="preserve">    </w:t>
            </w:r>
            <w:r>
              <w:rPr>
                <w:rFonts w:hint="default" w:ascii="Times New Roman" w:hAnsi="Times New Roman" w:eastAsia="宋体" w:cs="Times New Roman"/>
                <w:color w:val="auto"/>
                <w:spacing w:val="0"/>
                <w:sz w:val="21"/>
                <w:szCs w:val="21"/>
              </w:rPr>
              <w:t>单位：mg/m</w:t>
            </w:r>
            <w:r>
              <w:rPr>
                <w:rFonts w:hint="default" w:ascii="Times New Roman" w:hAnsi="Times New Roman" w:eastAsia="宋体" w:cs="Times New Roman"/>
                <w:color w:val="auto"/>
                <w:spacing w:val="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rPr>
            </w:pPr>
          </w:p>
        </w:tc>
        <w:tc>
          <w:tcPr>
            <w:tcW w:w="775"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rPr>
            </w:pPr>
          </w:p>
        </w:tc>
        <w:tc>
          <w:tcPr>
            <w:tcW w:w="3304" w:type="pct"/>
            <w:gridSpan w:val="5"/>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rPr>
            </w:pPr>
          </w:p>
        </w:tc>
        <w:tc>
          <w:tcPr>
            <w:tcW w:w="775"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rPr>
            </w:pP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2021年8月20日</w:t>
            </w:r>
          </w:p>
        </w:tc>
        <w:tc>
          <w:tcPr>
            <w:tcW w:w="162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2021年8月21日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罐区下风向G5</w:t>
            </w: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lang w:val="en-US" w:eastAsia="zh-CN"/>
              </w:rPr>
              <w:t>1</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0.63</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0.65</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3</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0.61</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均值</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0.63</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罐区下风向G6</w:t>
            </w: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1</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0.51</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0.46</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3</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0.58</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均值</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0.52</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装置区下风向G7</w:t>
            </w: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lang w:val="en-US" w:eastAsia="zh-CN"/>
              </w:rPr>
              <w:t>1</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0.52</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0.45</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3</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0.65</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均值</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0.54</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厂区南部储罐下风向G8</w:t>
            </w: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1</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0.56</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2</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0.56</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3</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1.08</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均值</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0.73</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厂区南部储罐下风向G9</w:t>
            </w: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lang w:val="en-US" w:eastAsia="zh-CN"/>
              </w:rPr>
              <w:t>1</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0.48</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0.51</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3</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0.57</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均值</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0.52</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厂区南部储罐下风向G10</w:t>
            </w: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val="en-US" w:eastAsia="zh-CN"/>
              </w:rPr>
              <w:t>1</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0.50</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0.60</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3</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0.58</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 xml:space="preserve">0.42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21"/>
                <w:szCs w:val="21"/>
                <w:lang w:val="en-US" w:eastAsia="zh-CN"/>
              </w:rPr>
            </w:pPr>
          </w:p>
        </w:tc>
        <w:tc>
          <w:tcPr>
            <w:tcW w:w="77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均值</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0.56</w:t>
            </w:r>
          </w:p>
        </w:tc>
        <w:tc>
          <w:tcPr>
            <w:tcW w:w="285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eastAsia="zh-CN"/>
              </w:rPr>
              <w:t>标准值</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6.0</w:t>
            </w:r>
          </w:p>
        </w:tc>
        <w:tc>
          <w:tcPr>
            <w:tcW w:w="162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5"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eastAsia="zh-CN"/>
              </w:rPr>
              <w:t>达标情况</w:t>
            </w:r>
          </w:p>
        </w:tc>
        <w:tc>
          <w:tcPr>
            <w:tcW w:w="1675" w:type="pct"/>
            <w:gridSpan w:val="3"/>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达标</w:t>
            </w:r>
          </w:p>
        </w:tc>
        <w:tc>
          <w:tcPr>
            <w:tcW w:w="1629" w:type="pct"/>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达标</w:t>
            </w:r>
          </w:p>
        </w:tc>
      </w:tr>
    </w:tbl>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10.2.2</w:t>
      </w:r>
      <w:r>
        <w:rPr>
          <w:rFonts w:hint="default" w:ascii="Times New Roman" w:hAnsi="Times New Roman" w:eastAsia="宋体" w:cs="Times New Roman"/>
          <w:b/>
          <w:bCs/>
          <w:color w:val="auto"/>
          <w:sz w:val="24"/>
          <w:szCs w:val="24"/>
          <w:lang w:val="en-US" w:eastAsia="zh-CN"/>
        </w:rPr>
        <w:t xml:space="preserve"> 无组织废气监测</w:t>
      </w:r>
      <w:r>
        <w:rPr>
          <w:rFonts w:hint="default" w:ascii="Times New Roman" w:hAnsi="Times New Roman" w:eastAsia="宋体" w:cs="Times New Roman"/>
          <w:b/>
          <w:bCs/>
          <w:color w:val="auto"/>
          <w:sz w:val="24"/>
          <w:szCs w:val="24"/>
        </w:rPr>
        <w:t>结果评价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监测结果表明：</w:t>
      </w:r>
      <w:bookmarkStart w:id="94" w:name="OLE_LINK36"/>
      <w:r>
        <w:rPr>
          <w:rFonts w:hint="default" w:ascii="Times New Roman" w:hAnsi="Times New Roman" w:eastAsia="宋体" w:cs="Times New Roman"/>
          <w:color w:val="auto"/>
          <w:sz w:val="24"/>
          <w:szCs w:val="24"/>
          <w:lang w:eastAsia="zh-CN"/>
        </w:rPr>
        <w:t>验收监测期间，</w:t>
      </w:r>
      <w:bookmarkEnd w:id="94"/>
      <w:r>
        <w:rPr>
          <w:rFonts w:hint="default" w:ascii="Times New Roman" w:hAnsi="Times New Roman" w:eastAsia="宋体" w:cs="Times New Roman"/>
          <w:color w:val="auto"/>
          <w:sz w:val="24"/>
          <w:szCs w:val="24"/>
          <w:lang w:eastAsia="zh-CN"/>
        </w:rPr>
        <w:t>本项目在异丙醇系列、异辛醇系列、三羟甲基丙烷系列</w:t>
      </w:r>
      <w:r>
        <w:rPr>
          <w:rFonts w:hint="default" w:ascii="Times New Roman" w:hAnsi="Times New Roman" w:eastAsia="宋体" w:cs="Times New Roman"/>
          <w:color w:val="auto"/>
          <w:sz w:val="24"/>
          <w:szCs w:val="24"/>
          <w:lang w:val="en-US" w:eastAsia="zh-CN"/>
        </w:rPr>
        <w:t>三种产品生产工况下，厂界无组织废气中非甲烷总烃、臭气浓度排放浓度最大值均</w:t>
      </w:r>
      <w:r>
        <w:rPr>
          <w:rFonts w:hint="default" w:ascii="Times New Roman" w:hAnsi="Times New Roman" w:eastAsia="宋体" w:cs="Times New Roman"/>
          <w:color w:val="auto"/>
          <w:sz w:val="24"/>
          <w:szCs w:val="24"/>
          <w:lang w:eastAsia="zh-CN"/>
        </w:rPr>
        <w:t>满足江苏省地方标准《化学工业挥发性有机物排放标准》（DB32/3151-2016）</w:t>
      </w:r>
      <w:r>
        <w:rPr>
          <w:rFonts w:hint="default" w:ascii="Times New Roman" w:hAnsi="Times New Roman" w:eastAsia="宋体" w:cs="Times New Roman"/>
          <w:color w:val="auto"/>
          <w:sz w:val="24"/>
          <w:szCs w:val="24"/>
          <w:lang w:val="en-US" w:eastAsia="zh-CN"/>
        </w:rPr>
        <w:t>限值要求，颗粒物排放浓度最大值</w:t>
      </w:r>
      <w:r>
        <w:rPr>
          <w:rFonts w:hint="default" w:ascii="Times New Roman" w:hAnsi="Times New Roman" w:eastAsia="宋体" w:cs="Times New Roman"/>
          <w:color w:val="auto"/>
          <w:sz w:val="24"/>
          <w:szCs w:val="24"/>
          <w:lang w:eastAsia="zh-CN"/>
        </w:rPr>
        <w:t>满足《大气污染物综合排放标准》（GB16297-1996）表2二级标准</w:t>
      </w:r>
      <w:r>
        <w:rPr>
          <w:rFonts w:hint="default" w:ascii="Times New Roman" w:hAnsi="Times New Roman" w:eastAsia="宋体" w:cs="Times New Roman"/>
          <w:color w:val="auto"/>
          <w:sz w:val="24"/>
          <w:szCs w:val="24"/>
          <w:lang w:val="en-US" w:eastAsia="zh-CN"/>
        </w:rPr>
        <w:t>限值要求，异丙醇排放浓度最大值满足环评</w:t>
      </w:r>
      <w:r>
        <w:rPr>
          <w:rFonts w:hint="default" w:ascii="Times New Roman" w:hAnsi="Times New Roman" w:eastAsia="宋体" w:cs="Times New Roman"/>
          <w:color w:val="auto"/>
          <w:sz w:val="24"/>
          <w:szCs w:val="24"/>
          <w:lang w:eastAsia="zh-CN"/>
        </w:rPr>
        <w:t>制定标准，</w:t>
      </w:r>
      <w:r>
        <w:rPr>
          <w:rFonts w:hint="default" w:ascii="Times New Roman" w:hAnsi="Times New Roman" w:eastAsia="宋体" w:cs="Times New Roman"/>
          <w:color w:val="auto"/>
          <w:sz w:val="24"/>
          <w:szCs w:val="24"/>
          <w:lang w:val="en-US" w:eastAsia="zh-CN"/>
        </w:rPr>
        <w:t>厂区内无组织废气中非甲烷总烃排放浓度最大值满足《挥发性有机物无组织排放控制标准》（GB 37822—2019）中附录A表A.1厂区内VOCs无组织排放限值要求</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mc:AlternateContent>
          <mc:Choice Requires="wps">
            <w:drawing>
              <wp:anchor distT="0" distB="0" distL="114300" distR="114300" simplePos="0" relativeHeight="251661312" behindDoc="0" locked="0" layoutInCell="1" hidden="1" allowOverlap="1">
                <wp:simplePos x="0" y="0"/>
                <wp:positionH relativeFrom="column">
                  <wp:posOffset>4835525</wp:posOffset>
                </wp:positionH>
                <wp:positionV relativeFrom="paragraph">
                  <wp:posOffset>67310</wp:posOffset>
                </wp:positionV>
                <wp:extent cx="9525" cy="285115"/>
                <wp:effectExtent l="0" t="0" r="0" b="0"/>
                <wp:wrapNone/>
                <wp:docPr id="4" name="直线 27" hidden="1"/>
                <wp:cNvGraphicFramePr/>
                <a:graphic xmlns:a="http://schemas.openxmlformats.org/drawingml/2006/main">
                  <a:graphicData uri="http://schemas.microsoft.com/office/word/2010/wordprocessingShape">
                    <wps:wsp>
                      <wps:cNvCnPr/>
                      <wps:spPr>
                        <a:xfrm flipH="1" flipV="1">
                          <a:off x="0" y="0"/>
                          <a:ext cx="9525" cy="2851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7" o:spid="_x0000_s1026" o:spt="20" style="position:absolute;left:0pt;flip:x y;margin-left:380.75pt;margin-top:5.3pt;height:22.45pt;width:0.75pt;visibility:hidden;z-index:251661312;mso-width-relative:page;mso-height-relative:page;" filled="f" stroked="t" coordsize="21600,21600" o:gfxdata="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56CSdcAAAAJAQAADwAAAAAAAAABACAAAAAiAAAAZHJzL2Rvd25yZXYu&#10;eG1sUEsBAhQAFAAAAAgAh07iQJHb7lz8AQAA/gMAAA4AAAAAAAAAAQAgAAAAJgEAAGRycy9lMm9E&#10;b2MueG1sUEsFBgAAAAAGAAYAWQEAAJQFAAAAAA==&#10;">
                <v:fill on="f" focussize="0,0"/>
                <v:stroke color="#000000" joinstyle="round" endarrow="open"/>
                <v:imagedata o:title=""/>
                <o:lock v:ext="edit" aspectratio="f"/>
              </v:line>
            </w:pict>
          </mc:Fallback>
        </mc:AlternateContent>
      </w:r>
      <w:r>
        <w:rPr>
          <w:rFonts w:hint="default" w:ascii="Times New Roman" w:hAnsi="Times New Roman" w:eastAsia="宋体" w:cs="Times New Roman"/>
          <w:color w:val="auto"/>
          <w:sz w:val="24"/>
          <w:szCs w:val="24"/>
          <w:lang w:eastAsia="zh-CN"/>
        </w:rPr>
        <mc:AlternateContent>
          <mc:Choice Requires="wps">
            <w:drawing>
              <wp:anchor distT="0" distB="0" distL="114300" distR="114300" simplePos="0" relativeHeight="251660288" behindDoc="0" locked="0" layoutInCell="1" hidden="1" allowOverlap="1">
                <wp:simplePos x="0" y="0"/>
                <wp:positionH relativeFrom="column">
                  <wp:posOffset>2530475</wp:posOffset>
                </wp:positionH>
                <wp:positionV relativeFrom="paragraph">
                  <wp:posOffset>1630680</wp:posOffset>
                </wp:positionV>
                <wp:extent cx="714375" cy="304800"/>
                <wp:effectExtent l="0" t="0" r="0" b="0"/>
                <wp:wrapNone/>
                <wp:docPr id="24" name="文本框 24" hidden="1"/>
                <wp:cNvGraphicFramePr/>
                <a:graphic xmlns:a="http://schemas.openxmlformats.org/drawingml/2006/main">
                  <a:graphicData uri="http://schemas.microsoft.com/office/word/2010/wordprocessingShape">
                    <wps:wsp>
                      <wps:cNvSpPr txBox="1"/>
                      <wps:spPr>
                        <a:xfrm>
                          <a:off x="0" y="0"/>
                          <a:ext cx="714375" cy="3048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lang w:eastAsia="zh-CN"/>
                              </w:rPr>
                            </w:pPr>
                            <w:r>
                              <w:rPr>
                                <w:rFonts w:hint="eastAsia"/>
                                <w:lang w:eastAsia="zh-CN"/>
                              </w:rPr>
                              <w:t>本项目</w:t>
                            </w:r>
                          </w:p>
                        </w:txbxContent>
                      </wps:txbx>
                      <wps:bodyPr upright="1"/>
                    </wps:wsp>
                  </a:graphicData>
                </a:graphic>
              </wp:anchor>
            </w:drawing>
          </mc:Choice>
          <mc:Fallback>
            <w:pict>
              <v:shape id="_x0000_s1026" o:spid="_x0000_s1026" o:spt="202" type="#_x0000_t202" style="position:absolute;left:0pt;margin-left:199.25pt;margin-top:128.4pt;height:24pt;width:56.25pt;visibility:hidden;z-index:251660288;mso-width-relative:page;mso-height-relative:page;" fillcolor="#FFFFFF" filled="t" stroked="t" coordsize="21600,21600" o:gfxdata="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C+6ae1wAAAAsBAAAPAAAAAAAAAAEAIAAA&#10;ACIAAABkcnMvZG93bnJldi54bWxQSwECFAAUAAAACACHTuJAPvsWfQ0CAABCBAAADgAAAAAAAAAB&#10;ACAAAAAmAQAAZHJzL2Uyb0RvYy54bWxQSwUGAAAAAAYABgBZAQAApQUAAAAA&#10;">
                <v:fill on="t" focussize="0,0"/>
                <v:stroke color="#FFFFFF" joinstyle="miter"/>
                <v:imagedata o:title=""/>
                <o:lock v:ext="edit" aspectratio="f"/>
                <v:textbox>
                  <w:txbxContent>
                    <w:p>
                      <w:pPr>
                        <w:rPr>
                          <w:rFonts w:hint="eastAsia" w:eastAsia="宋体"/>
                          <w:lang w:eastAsia="zh-CN"/>
                        </w:rPr>
                      </w:pPr>
                      <w:r>
                        <w:rPr>
                          <w:rFonts w:hint="eastAsia"/>
                          <w:lang w:eastAsia="zh-CN"/>
                        </w:rPr>
                        <w:t>本项目</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sectPr>
          <w:pgSz w:w="11911" w:h="16838"/>
          <w:pgMar w:top="1463" w:right="1678" w:bottom="1463" w:left="1678" w:header="907" w:footer="884" w:gutter="0"/>
          <w:pgBorders>
            <w:top w:val="none" w:sz="0" w:space="0"/>
            <w:left w:val="none" w:sz="0" w:space="0"/>
            <w:bottom w:val="none" w:sz="0" w:space="0"/>
            <w:right w:val="none" w:sz="0" w:space="0"/>
          </w:pgBorders>
          <w:pgNumType w:fmt="decimal"/>
          <w:cols w:space="0" w:num="1"/>
          <w:rtlGutter w:val="0"/>
          <w:docGrid w:type="lines" w:linePitch="0" w:charSpace="0"/>
        </w:sectPr>
      </w:pPr>
    </w:p>
    <w:p>
      <w:pPr>
        <w:keepNext w:val="0"/>
        <w:keepLines w:val="0"/>
        <w:pageBreakBefore w:val="0"/>
        <w:widowControl w:val="0"/>
        <w:kinsoku/>
        <w:wordWrap/>
        <w:overflowPunct/>
        <w:topLinePunct w:val="0"/>
        <w:autoSpaceDE w:val="0"/>
        <w:autoSpaceDN w:val="0"/>
        <w:bidi w:val="0"/>
        <w:adjustRightInd/>
        <w:snapToGrid/>
        <w:spacing w:after="0" w:line="312" w:lineRule="auto"/>
        <w:ind w:left="0" w:leftChars="0" w:right="0" w:rightChars="0" w:firstLine="0" w:firstLineChars="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b/>
          <w:bCs/>
          <w:color w:val="auto"/>
          <w:sz w:val="28"/>
          <w:szCs w:val="28"/>
        </w:rPr>
        <w:t>10.</w:t>
      </w:r>
      <w:r>
        <w:rPr>
          <w:rFonts w:hint="default" w:ascii="Times New Roman" w:hAnsi="Times New Roman" w:eastAsia="宋体" w:cs="Times New Roman"/>
          <w:b/>
          <w:bCs/>
          <w:color w:val="auto"/>
          <w:sz w:val="28"/>
          <w:szCs w:val="28"/>
          <w:lang w:val="en-US" w:eastAsia="zh-CN"/>
        </w:rPr>
        <w:t>2</w:t>
      </w:r>
      <w:r>
        <w:rPr>
          <w:rFonts w:hint="default" w:ascii="Times New Roman" w:hAnsi="Times New Roman" w:eastAsia="宋体" w:cs="Times New Roman"/>
          <w:b/>
          <w:bCs/>
          <w:color w:val="auto"/>
          <w:sz w:val="28"/>
          <w:szCs w:val="28"/>
        </w:rPr>
        <w:t>.</w:t>
      </w:r>
      <w:r>
        <w:rPr>
          <w:rFonts w:hint="default" w:ascii="Times New Roman" w:hAnsi="Times New Roman" w:eastAsia="宋体" w:cs="Times New Roman"/>
          <w:b/>
          <w:bCs/>
          <w:color w:val="auto"/>
          <w:sz w:val="28"/>
          <w:szCs w:val="28"/>
          <w:lang w:val="en-US" w:eastAsia="zh-CN"/>
        </w:rPr>
        <w:t>3 有</w:t>
      </w:r>
      <w:r>
        <w:rPr>
          <w:rFonts w:hint="default" w:ascii="Times New Roman" w:hAnsi="Times New Roman" w:eastAsia="宋体" w:cs="Times New Roman"/>
          <w:b/>
          <w:bCs/>
          <w:color w:val="auto"/>
          <w:sz w:val="28"/>
          <w:szCs w:val="28"/>
        </w:rPr>
        <w:t>组织废气监测结果</w:t>
      </w:r>
    </w:p>
    <w:p>
      <w:pPr>
        <w:pStyle w:val="2"/>
        <w:keepNext w:val="0"/>
        <w:keepLines w:val="0"/>
        <w:pageBreakBefore w:val="0"/>
        <w:widowControl w:val="0"/>
        <w:kinsoku/>
        <w:wordWrap/>
        <w:overflowPunct/>
        <w:topLinePunct w:val="0"/>
        <w:autoSpaceDE w:val="0"/>
        <w:autoSpaceDN w:val="0"/>
        <w:bidi w:val="0"/>
        <w:adjustRightInd w:val="0"/>
        <w:snapToGrid/>
        <w:spacing w:line="312" w:lineRule="auto"/>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表10.2-4  异丙醇系列产品工况废气监测结果表</w:t>
      </w:r>
    </w:p>
    <w:tbl>
      <w:tblPr>
        <w:tblStyle w:val="23"/>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669"/>
        <w:gridCol w:w="1078"/>
        <w:gridCol w:w="1094"/>
        <w:gridCol w:w="1132"/>
        <w:gridCol w:w="1132"/>
        <w:gridCol w:w="1185"/>
        <w:gridCol w:w="1107"/>
        <w:gridCol w:w="1132"/>
        <w:gridCol w:w="1132"/>
        <w:gridCol w:w="1199"/>
        <w:gridCol w:w="1143"/>
        <w:gridCol w:w="9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4" w:hRule="atLeast"/>
        </w:trPr>
        <w:tc>
          <w:tcPr>
            <w:tcW w:w="986" w:type="pct"/>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时间</w:t>
            </w:r>
          </w:p>
        </w:tc>
        <w:tc>
          <w:tcPr>
            <w:tcW w:w="1630" w:type="pct"/>
            <w:gridSpan w:val="4"/>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2021年7</w:t>
            </w:r>
            <w:r>
              <w:rPr>
                <w:rFonts w:hint="default" w:ascii="Times New Roman" w:hAnsi="Times New Roman" w:eastAsia="宋体" w:cs="Times New Roman"/>
                <w:color w:val="auto"/>
                <w:sz w:val="21"/>
                <w:szCs w:val="21"/>
              </w:rPr>
              <w:t>月</w:t>
            </w:r>
            <w:r>
              <w:rPr>
                <w:rFonts w:hint="default" w:ascii="Times New Roman" w:hAnsi="Times New Roman" w:eastAsia="宋体" w:cs="Times New Roman"/>
                <w:color w:val="auto"/>
                <w:sz w:val="21"/>
                <w:szCs w:val="21"/>
                <w:lang w:val="en-US" w:eastAsia="zh-CN"/>
              </w:rPr>
              <w:t>21</w:t>
            </w:r>
            <w:r>
              <w:rPr>
                <w:rFonts w:hint="default" w:ascii="Times New Roman" w:hAnsi="Times New Roman" w:eastAsia="宋体" w:cs="Times New Roman"/>
                <w:color w:val="auto"/>
                <w:sz w:val="21"/>
                <w:szCs w:val="21"/>
              </w:rPr>
              <w:t>日</w:t>
            </w:r>
          </w:p>
        </w:tc>
        <w:tc>
          <w:tcPr>
            <w:tcW w:w="1639" w:type="pct"/>
            <w:gridSpan w:val="4"/>
            <w:tcBorders>
              <w:top w:val="single" w:color="000000" w:sz="4" w:space="0"/>
              <w:left w:val="single" w:color="000000"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2021年7</w:t>
            </w:r>
            <w:r>
              <w:rPr>
                <w:rFonts w:hint="default" w:ascii="Times New Roman" w:hAnsi="Times New Roman" w:eastAsia="宋体" w:cs="Times New Roman"/>
                <w:color w:val="auto"/>
                <w:sz w:val="21"/>
                <w:szCs w:val="21"/>
              </w:rPr>
              <w:t>月</w:t>
            </w:r>
            <w:r>
              <w:rPr>
                <w:rFonts w:hint="default" w:ascii="Times New Roman" w:hAnsi="Times New Roman" w:eastAsia="宋体" w:cs="Times New Roman"/>
                <w:color w:val="auto"/>
                <w:sz w:val="21"/>
                <w:szCs w:val="21"/>
                <w:lang w:val="en-US" w:eastAsia="zh-CN"/>
              </w:rPr>
              <w:t>22</w:t>
            </w:r>
            <w:r>
              <w:rPr>
                <w:rFonts w:hint="default" w:ascii="Times New Roman" w:hAnsi="Times New Roman" w:eastAsia="宋体" w:cs="Times New Roman"/>
                <w:color w:val="auto"/>
                <w:sz w:val="21"/>
                <w:szCs w:val="21"/>
              </w:rPr>
              <w:t>日</w:t>
            </w:r>
          </w:p>
        </w:tc>
        <w:tc>
          <w:tcPr>
            <w:tcW w:w="410" w:type="pct"/>
            <w:tcBorders>
              <w:top w:val="single" w:color="000000"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标准值</w:t>
            </w:r>
          </w:p>
        </w:tc>
        <w:tc>
          <w:tcPr>
            <w:tcW w:w="332" w:type="pct"/>
            <w:tcBorders>
              <w:top w:val="single" w:color="000000"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4" w:hRule="atLeast"/>
        </w:trPr>
        <w:tc>
          <w:tcPr>
            <w:tcW w:w="986" w:type="pct"/>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监测点位</w:t>
            </w:r>
          </w:p>
        </w:tc>
        <w:tc>
          <w:tcPr>
            <w:tcW w:w="4013" w:type="pct"/>
            <w:gridSpan w:val="10"/>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甲类装置区工艺废气15#排气筒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4" w:hRule="atLeast"/>
        </w:trPr>
        <w:tc>
          <w:tcPr>
            <w:tcW w:w="9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项目</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第一次</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第二次</w:t>
            </w:r>
          </w:p>
        </w:tc>
        <w:tc>
          <w:tcPr>
            <w:tcW w:w="406"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第三次</w:t>
            </w:r>
          </w:p>
        </w:tc>
        <w:tc>
          <w:tcPr>
            <w:tcW w:w="424"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均值</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第一次</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第二次</w:t>
            </w:r>
          </w:p>
        </w:tc>
        <w:tc>
          <w:tcPr>
            <w:tcW w:w="406"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第三次</w:t>
            </w:r>
          </w:p>
        </w:tc>
        <w:tc>
          <w:tcPr>
            <w:tcW w:w="430" w:type="pct"/>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均值</w:t>
            </w:r>
          </w:p>
        </w:tc>
        <w:tc>
          <w:tcPr>
            <w:tcW w:w="41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32"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4" w:hRule="atLeast"/>
        </w:trPr>
        <w:tc>
          <w:tcPr>
            <w:tcW w:w="599"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烟气标干流量</w:t>
            </w:r>
          </w:p>
        </w:tc>
        <w:tc>
          <w:tcPr>
            <w:tcW w:w="386"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337</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343</w:t>
            </w:r>
          </w:p>
        </w:tc>
        <w:tc>
          <w:tcPr>
            <w:tcW w:w="406"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343</w:t>
            </w:r>
          </w:p>
        </w:tc>
        <w:tc>
          <w:tcPr>
            <w:tcW w:w="424"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341</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343</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337</w:t>
            </w:r>
          </w:p>
        </w:tc>
        <w:tc>
          <w:tcPr>
            <w:tcW w:w="406"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348</w:t>
            </w:r>
          </w:p>
        </w:tc>
        <w:tc>
          <w:tcPr>
            <w:tcW w:w="430" w:type="pct"/>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343</w:t>
            </w:r>
          </w:p>
        </w:tc>
        <w:tc>
          <w:tcPr>
            <w:tcW w:w="41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32"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4" w:hRule="atLeast"/>
        </w:trPr>
        <w:tc>
          <w:tcPr>
            <w:tcW w:w="599"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lang w:val="en-US" w:eastAsia="zh-CN"/>
              </w:rPr>
              <w:t>非甲烷总烃</w:t>
            </w:r>
            <w:r>
              <w:rPr>
                <w:rFonts w:hint="default" w:ascii="Times New Roman" w:hAnsi="Times New Roman" w:eastAsia="宋体" w:cs="Times New Roman"/>
                <w:color w:val="auto"/>
                <w:sz w:val="21"/>
                <w:szCs w:val="21"/>
              </w:rPr>
              <w:t>排放浓度</w:t>
            </w:r>
          </w:p>
        </w:tc>
        <w:tc>
          <w:tcPr>
            <w:tcW w:w="386"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rPr>
              <w:t>3</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35.4</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38.4</w:t>
            </w:r>
          </w:p>
        </w:tc>
        <w:tc>
          <w:tcPr>
            <w:tcW w:w="406"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21.0</w:t>
            </w:r>
          </w:p>
        </w:tc>
        <w:tc>
          <w:tcPr>
            <w:tcW w:w="424"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31.6</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58.2</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29.4</w:t>
            </w:r>
          </w:p>
        </w:tc>
        <w:tc>
          <w:tcPr>
            <w:tcW w:w="406"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34.6</w:t>
            </w:r>
          </w:p>
        </w:tc>
        <w:tc>
          <w:tcPr>
            <w:tcW w:w="430" w:type="pct"/>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40.7</w:t>
            </w:r>
          </w:p>
        </w:tc>
        <w:tc>
          <w:tcPr>
            <w:tcW w:w="41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332"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4" w:hRule="atLeast"/>
        </w:trPr>
        <w:tc>
          <w:tcPr>
            <w:tcW w:w="599"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非甲烷总烃</w:t>
            </w:r>
            <w:r>
              <w:rPr>
                <w:rFonts w:hint="default" w:ascii="Times New Roman" w:hAnsi="Times New Roman" w:eastAsia="宋体" w:cs="Times New Roman"/>
                <w:color w:val="auto"/>
                <w:sz w:val="21"/>
                <w:szCs w:val="21"/>
              </w:rPr>
              <w:t>排放速率</w:t>
            </w:r>
          </w:p>
        </w:tc>
        <w:tc>
          <w:tcPr>
            <w:tcW w:w="386"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kg/h</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1.19×10</w:t>
            </w:r>
            <w:r>
              <w:rPr>
                <w:rFonts w:hint="default" w:ascii="Times New Roman" w:hAnsi="Times New Roman" w:eastAsia="宋体" w:cs="Times New Roman"/>
                <w:color w:val="auto"/>
                <w:sz w:val="21"/>
                <w:szCs w:val="21"/>
                <w:vertAlign w:val="superscript"/>
                <w:lang w:val="en-US" w:eastAsia="zh-CN"/>
              </w:rPr>
              <w:t>-2</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1.32×10</w:t>
            </w:r>
            <w:r>
              <w:rPr>
                <w:rFonts w:hint="default" w:ascii="Times New Roman" w:hAnsi="Times New Roman" w:eastAsia="宋体" w:cs="Times New Roman"/>
                <w:color w:val="auto"/>
                <w:sz w:val="21"/>
                <w:szCs w:val="21"/>
                <w:vertAlign w:val="superscript"/>
                <w:lang w:val="en-US" w:eastAsia="zh-CN"/>
              </w:rPr>
              <w:t>-2</w:t>
            </w:r>
          </w:p>
        </w:tc>
        <w:tc>
          <w:tcPr>
            <w:tcW w:w="406"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7.20×10</w:t>
            </w:r>
            <w:r>
              <w:rPr>
                <w:rFonts w:hint="default" w:ascii="Times New Roman" w:hAnsi="Times New Roman" w:eastAsia="宋体" w:cs="Times New Roman"/>
                <w:color w:val="auto"/>
                <w:sz w:val="21"/>
                <w:szCs w:val="21"/>
                <w:vertAlign w:val="superscript"/>
                <w:lang w:val="en-US" w:eastAsia="zh-CN"/>
              </w:rPr>
              <w:t>-3</w:t>
            </w:r>
          </w:p>
        </w:tc>
        <w:tc>
          <w:tcPr>
            <w:tcW w:w="424"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1.08×10</w:t>
            </w:r>
            <w:r>
              <w:rPr>
                <w:rFonts w:hint="default" w:ascii="Times New Roman" w:hAnsi="Times New Roman" w:eastAsia="宋体" w:cs="Times New Roman"/>
                <w:color w:val="auto"/>
                <w:sz w:val="21"/>
                <w:szCs w:val="21"/>
                <w:vertAlign w:val="superscript"/>
                <w:lang w:val="en-US" w:eastAsia="zh-CN"/>
              </w:rPr>
              <w:t>-2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2.00×10</w:t>
            </w:r>
            <w:r>
              <w:rPr>
                <w:rFonts w:hint="default" w:ascii="Times New Roman" w:hAnsi="Times New Roman" w:eastAsia="宋体" w:cs="Times New Roman"/>
                <w:color w:val="auto"/>
                <w:sz w:val="21"/>
                <w:szCs w:val="21"/>
                <w:vertAlign w:val="superscript"/>
                <w:lang w:val="en-US" w:eastAsia="zh-CN"/>
              </w:rPr>
              <w:t>-2</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9.91×10</w:t>
            </w:r>
            <w:r>
              <w:rPr>
                <w:rFonts w:hint="default" w:ascii="Times New Roman" w:hAnsi="Times New Roman" w:eastAsia="宋体" w:cs="Times New Roman"/>
                <w:color w:val="auto"/>
                <w:sz w:val="21"/>
                <w:szCs w:val="21"/>
                <w:vertAlign w:val="superscript"/>
                <w:lang w:val="en-US" w:eastAsia="zh-CN"/>
              </w:rPr>
              <w:t>-3</w:t>
            </w:r>
          </w:p>
        </w:tc>
        <w:tc>
          <w:tcPr>
            <w:tcW w:w="406"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1.20×10</w:t>
            </w:r>
            <w:r>
              <w:rPr>
                <w:rFonts w:hint="default" w:ascii="Times New Roman" w:hAnsi="Times New Roman" w:eastAsia="宋体" w:cs="Times New Roman"/>
                <w:color w:val="auto"/>
                <w:sz w:val="21"/>
                <w:szCs w:val="21"/>
                <w:vertAlign w:val="superscript"/>
                <w:lang w:val="en-US" w:eastAsia="zh-CN"/>
              </w:rPr>
              <w:t>-2</w:t>
            </w:r>
          </w:p>
        </w:tc>
        <w:tc>
          <w:tcPr>
            <w:tcW w:w="430" w:type="pct"/>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1.40×10</w:t>
            </w:r>
            <w:r>
              <w:rPr>
                <w:rFonts w:hint="default" w:ascii="Times New Roman" w:hAnsi="Times New Roman" w:eastAsia="宋体" w:cs="Times New Roman"/>
                <w:color w:val="auto"/>
                <w:sz w:val="21"/>
                <w:szCs w:val="21"/>
                <w:vertAlign w:val="superscript"/>
                <w:lang w:val="en-US" w:eastAsia="zh-CN"/>
              </w:rPr>
              <w:t>-2</w:t>
            </w:r>
          </w:p>
        </w:tc>
        <w:tc>
          <w:tcPr>
            <w:tcW w:w="41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332"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599"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异丙醇</w:t>
            </w:r>
            <w:r>
              <w:rPr>
                <w:rFonts w:hint="default" w:ascii="Times New Roman" w:hAnsi="Times New Roman" w:eastAsia="宋体" w:cs="Times New Roman"/>
                <w:color w:val="auto"/>
                <w:sz w:val="21"/>
                <w:szCs w:val="21"/>
              </w:rPr>
              <w:t>排放浓度</w:t>
            </w:r>
          </w:p>
        </w:tc>
        <w:tc>
          <w:tcPr>
            <w:tcW w:w="386"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rPr>
              <w:t>3</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1.66</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6.44</w:t>
            </w:r>
          </w:p>
        </w:tc>
        <w:tc>
          <w:tcPr>
            <w:tcW w:w="406"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5.30</w:t>
            </w:r>
          </w:p>
        </w:tc>
        <w:tc>
          <w:tcPr>
            <w:tcW w:w="424"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4.45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1.85</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1.67</w:t>
            </w:r>
          </w:p>
        </w:tc>
        <w:tc>
          <w:tcPr>
            <w:tcW w:w="406"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2.04</w:t>
            </w:r>
          </w:p>
        </w:tc>
        <w:tc>
          <w:tcPr>
            <w:tcW w:w="430" w:type="pct"/>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1.85</w:t>
            </w:r>
          </w:p>
        </w:tc>
        <w:tc>
          <w:tcPr>
            <w:tcW w:w="41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32"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599" w:type="pct"/>
            <w:tcBorders>
              <w:top w:val="single" w:color="000000" w:sz="4" w:space="0"/>
              <w:left w:val="single" w:color="000000"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异丙醇</w:t>
            </w:r>
            <w:r>
              <w:rPr>
                <w:rFonts w:hint="default" w:ascii="Times New Roman" w:hAnsi="Times New Roman" w:eastAsia="宋体" w:cs="Times New Roman"/>
                <w:color w:val="auto"/>
                <w:sz w:val="21"/>
                <w:szCs w:val="21"/>
              </w:rPr>
              <w:t>排放速率</w:t>
            </w:r>
          </w:p>
        </w:tc>
        <w:tc>
          <w:tcPr>
            <w:tcW w:w="386" w:type="pct"/>
            <w:tcBorders>
              <w:top w:val="single" w:color="000000"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kg/h</w:t>
            </w:r>
          </w:p>
        </w:tc>
        <w:tc>
          <w:tcPr>
            <w:tcW w:w="393"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5.59×10</w:t>
            </w:r>
            <w:r>
              <w:rPr>
                <w:rFonts w:hint="default" w:ascii="Times New Roman" w:hAnsi="Times New Roman" w:eastAsia="宋体" w:cs="Times New Roman"/>
                <w:color w:val="auto"/>
                <w:sz w:val="21"/>
                <w:szCs w:val="21"/>
                <w:vertAlign w:val="superscript"/>
                <w:lang w:val="en-US" w:eastAsia="zh-CN"/>
              </w:rPr>
              <w:t>-4</w:t>
            </w:r>
          </w:p>
        </w:tc>
        <w:tc>
          <w:tcPr>
            <w:tcW w:w="406"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2.21×10</w:t>
            </w:r>
            <w:r>
              <w:rPr>
                <w:rFonts w:hint="default" w:ascii="Times New Roman" w:hAnsi="Times New Roman" w:eastAsia="宋体" w:cs="Times New Roman"/>
                <w:color w:val="auto"/>
                <w:sz w:val="21"/>
                <w:szCs w:val="21"/>
                <w:vertAlign w:val="superscript"/>
                <w:lang w:val="en-US" w:eastAsia="zh-CN"/>
              </w:rPr>
              <w:t>-3</w:t>
            </w:r>
          </w:p>
        </w:tc>
        <w:tc>
          <w:tcPr>
            <w:tcW w:w="406" w:type="pct"/>
            <w:tcBorders>
              <w:top w:val="single" w:color="000000" w:sz="4" w:space="0"/>
              <w:left w:val="single" w:color="000000"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1.82×10</w:t>
            </w:r>
            <w:r>
              <w:rPr>
                <w:rFonts w:hint="default" w:ascii="Times New Roman" w:hAnsi="Times New Roman" w:eastAsia="宋体" w:cs="Times New Roman"/>
                <w:color w:val="auto"/>
                <w:sz w:val="21"/>
                <w:szCs w:val="21"/>
                <w:vertAlign w:val="superscript"/>
                <w:lang w:val="en-US" w:eastAsia="zh-CN"/>
              </w:rPr>
              <w:t>-3</w:t>
            </w:r>
          </w:p>
        </w:tc>
        <w:tc>
          <w:tcPr>
            <w:tcW w:w="424" w:type="pct"/>
            <w:tcBorders>
              <w:top w:val="single" w:color="000000"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1.53×10</w:t>
            </w:r>
            <w:r>
              <w:rPr>
                <w:rFonts w:hint="default" w:ascii="Times New Roman" w:hAnsi="Times New Roman" w:eastAsia="宋体" w:cs="Times New Roman"/>
                <w:color w:val="auto"/>
                <w:sz w:val="21"/>
                <w:szCs w:val="21"/>
                <w:vertAlign w:val="superscript"/>
                <w:lang w:val="en-US" w:eastAsia="zh-CN"/>
              </w:rPr>
              <w:t>-3</w:t>
            </w:r>
          </w:p>
        </w:tc>
        <w:tc>
          <w:tcPr>
            <w:tcW w:w="397"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6.35×10</w:t>
            </w:r>
            <w:r>
              <w:rPr>
                <w:rFonts w:hint="default" w:ascii="Times New Roman" w:hAnsi="Times New Roman" w:eastAsia="宋体" w:cs="Times New Roman"/>
                <w:color w:val="auto"/>
                <w:sz w:val="21"/>
                <w:szCs w:val="21"/>
                <w:vertAlign w:val="superscript"/>
                <w:lang w:val="en-US" w:eastAsia="zh-CN"/>
              </w:rPr>
              <w:t>-4</w:t>
            </w:r>
          </w:p>
        </w:tc>
        <w:tc>
          <w:tcPr>
            <w:tcW w:w="406"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5.63×10</w:t>
            </w:r>
            <w:r>
              <w:rPr>
                <w:rFonts w:hint="default" w:ascii="Times New Roman" w:hAnsi="Times New Roman" w:eastAsia="宋体" w:cs="Times New Roman"/>
                <w:color w:val="auto"/>
                <w:sz w:val="21"/>
                <w:szCs w:val="21"/>
                <w:vertAlign w:val="superscript"/>
                <w:lang w:val="en-US" w:eastAsia="zh-CN"/>
              </w:rPr>
              <w:t>-4</w:t>
            </w:r>
          </w:p>
        </w:tc>
        <w:tc>
          <w:tcPr>
            <w:tcW w:w="406" w:type="pct"/>
            <w:tcBorders>
              <w:top w:val="single" w:color="000000" w:sz="4" w:space="0"/>
              <w:left w:val="single" w:color="000000"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7.10×10</w:t>
            </w:r>
            <w:r>
              <w:rPr>
                <w:rFonts w:hint="default" w:ascii="Times New Roman" w:hAnsi="Times New Roman" w:eastAsia="宋体" w:cs="Times New Roman"/>
                <w:color w:val="auto"/>
                <w:sz w:val="21"/>
                <w:szCs w:val="21"/>
                <w:vertAlign w:val="superscript"/>
                <w:lang w:val="en-US" w:eastAsia="zh-CN"/>
              </w:rPr>
              <w:t>-4</w:t>
            </w:r>
          </w:p>
        </w:tc>
        <w:tc>
          <w:tcPr>
            <w:tcW w:w="430" w:type="pct"/>
            <w:tcBorders>
              <w:top w:val="single" w:color="000000"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6.36×10</w:t>
            </w:r>
            <w:r>
              <w:rPr>
                <w:rFonts w:hint="default" w:ascii="Times New Roman" w:hAnsi="Times New Roman" w:eastAsia="宋体" w:cs="Times New Roman"/>
                <w:color w:val="auto"/>
                <w:sz w:val="21"/>
                <w:szCs w:val="21"/>
                <w:vertAlign w:val="superscript"/>
                <w:lang w:val="en-US" w:eastAsia="zh-CN"/>
              </w:rPr>
              <w:t>-4</w:t>
            </w:r>
          </w:p>
        </w:tc>
        <w:tc>
          <w:tcPr>
            <w:tcW w:w="410" w:type="pct"/>
            <w:tcBorders>
              <w:top w:val="single" w:color="000000"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0.45</w:t>
            </w:r>
          </w:p>
        </w:tc>
        <w:tc>
          <w:tcPr>
            <w:tcW w:w="332" w:type="pct"/>
            <w:tcBorders>
              <w:top w:val="single" w:color="000000"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599" w:type="pct"/>
            <w:tcBorders>
              <w:top w:val="single" w:color="auto"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臭气浓度</w:t>
            </w:r>
          </w:p>
        </w:tc>
        <w:tc>
          <w:tcPr>
            <w:tcW w:w="386" w:type="pct"/>
            <w:tcBorders>
              <w:top w:val="single" w:color="auto"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无量纲</w:t>
            </w:r>
          </w:p>
        </w:tc>
        <w:tc>
          <w:tcPr>
            <w:tcW w:w="393"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549</w:t>
            </w:r>
          </w:p>
        </w:tc>
        <w:tc>
          <w:tcPr>
            <w:tcW w:w="406"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977</w:t>
            </w:r>
          </w:p>
        </w:tc>
        <w:tc>
          <w:tcPr>
            <w:tcW w:w="406" w:type="pct"/>
            <w:tcBorders>
              <w:top w:val="single" w:color="auto"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1318</w:t>
            </w:r>
          </w:p>
        </w:tc>
        <w:tc>
          <w:tcPr>
            <w:tcW w:w="424" w:type="pct"/>
            <w:tcBorders>
              <w:top w:val="single" w:color="auto"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1318（最大值）</w:t>
            </w:r>
          </w:p>
        </w:tc>
        <w:tc>
          <w:tcPr>
            <w:tcW w:w="397"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1318</w:t>
            </w:r>
          </w:p>
        </w:tc>
        <w:tc>
          <w:tcPr>
            <w:tcW w:w="406"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724</w:t>
            </w:r>
          </w:p>
        </w:tc>
        <w:tc>
          <w:tcPr>
            <w:tcW w:w="406" w:type="pct"/>
            <w:tcBorders>
              <w:top w:val="single" w:color="auto"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724</w:t>
            </w:r>
          </w:p>
        </w:tc>
        <w:tc>
          <w:tcPr>
            <w:tcW w:w="430" w:type="pct"/>
            <w:tcBorders>
              <w:top w:val="single" w:color="auto"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1318（最大值）</w:t>
            </w:r>
          </w:p>
        </w:tc>
        <w:tc>
          <w:tcPr>
            <w:tcW w:w="410" w:type="pct"/>
            <w:tcBorders>
              <w:top w:val="single" w:color="auto"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1500</w:t>
            </w:r>
          </w:p>
        </w:tc>
        <w:tc>
          <w:tcPr>
            <w:tcW w:w="332" w:type="pct"/>
            <w:tcBorders>
              <w:top w:val="single" w:color="auto"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986" w:type="pct"/>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监测点位</w:t>
            </w:r>
          </w:p>
        </w:tc>
        <w:tc>
          <w:tcPr>
            <w:tcW w:w="4013" w:type="pct"/>
            <w:gridSpan w:val="10"/>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投料粉尘14#排气筒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4" w:hRule="atLeast"/>
        </w:trPr>
        <w:tc>
          <w:tcPr>
            <w:tcW w:w="9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项目</w:t>
            </w:r>
          </w:p>
        </w:tc>
        <w:tc>
          <w:tcPr>
            <w:tcW w:w="163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第一次</w:t>
            </w:r>
          </w:p>
        </w:tc>
        <w:tc>
          <w:tcPr>
            <w:tcW w:w="1639" w:type="pct"/>
            <w:gridSpan w:val="4"/>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第一次</w:t>
            </w:r>
          </w:p>
        </w:tc>
        <w:tc>
          <w:tcPr>
            <w:tcW w:w="41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32"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4" w:hRule="atLeast"/>
        </w:trPr>
        <w:tc>
          <w:tcPr>
            <w:tcW w:w="599"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烟气标干流量</w:t>
            </w:r>
          </w:p>
        </w:tc>
        <w:tc>
          <w:tcPr>
            <w:tcW w:w="386"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163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444</w:t>
            </w:r>
          </w:p>
        </w:tc>
        <w:tc>
          <w:tcPr>
            <w:tcW w:w="1639" w:type="pct"/>
            <w:gridSpan w:val="4"/>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499</w:t>
            </w:r>
          </w:p>
        </w:tc>
        <w:tc>
          <w:tcPr>
            <w:tcW w:w="41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32"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4" w:hRule="atLeast"/>
        </w:trPr>
        <w:tc>
          <w:tcPr>
            <w:tcW w:w="599"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sz w:val="21"/>
                <w:szCs w:val="21"/>
              </w:rPr>
              <w:t>排放浓度</w:t>
            </w:r>
          </w:p>
        </w:tc>
        <w:tc>
          <w:tcPr>
            <w:tcW w:w="386"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rPr>
              <w:t>3</w:t>
            </w:r>
          </w:p>
        </w:tc>
        <w:tc>
          <w:tcPr>
            <w:tcW w:w="163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1.5</w:t>
            </w:r>
          </w:p>
        </w:tc>
        <w:tc>
          <w:tcPr>
            <w:tcW w:w="1639" w:type="pct"/>
            <w:gridSpan w:val="4"/>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1.6</w:t>
            </w:r>
          </w:p>
        </w:tc>
        <w:tc>
          <w:tcPr>
            <w:tcW w:w="41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120</w:t>
            </w:r>
          </w:p>
        </w:tc>
        <w:tc>
          <w:tcPr>
            <w:tcW w:w="332"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4" w:hRule="atLeast"/>
        </w:trPr>
        <w:tc>
          <w:tcPr>
            <w:tcW w:w="599"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sz w:val="21"/>
                <w:szCs w:val="21"/>
              </w:rPr>
              <w:t>排放速率</w:t>
            </w:r>
          </w:p>
        </w:tc>
        <w:tc>
          <w:tcPr>
            <w:tcW w:w="386"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kg/h</w:t>
            </w:r>
          </w:p>
        </w:tc>
        <w:tc>
          <w:tcPr>
            <w:tcW w:w="163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6.66×10</w:t>
            </w:r>
            <w:r>
              <w:rPr>
                <w:rFonts w:hint="default" w:ascii="Times New Roman" w:hAnsi="Times New Roman" w:eastAsia="宋体" w:cs="Times New Roman"/>
                <w:color w:val="auto"/>
                <w:sz w:val="21"/>
                <w:szCs w:val="21"/>
                <w:vertAlign w:val="superscript"/>
                <w:lang w:val="en-US" w:eastAsia="zh-CN"/>
              </w:rPr>
              <w:t>-4</w:t>
            </w:r>
          </w:p>
        </w:tc>
        <w:tc>
          <w:tcPr>
            <w:tcW w:w="1639" w:type="pct"/>
            <w:gridSpan w:val="4"/>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80" w:lineRule="exact"/>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7.98×10</w:t>
            </w:r>
            <w:r>
              <w:rPr>
                <w:rFonts w:hint="default" w:ascii="Times New Roman" w:hAnsi="Times New Roman" w:eastAsia="宋体" w:cs="Times New Roman"/>
                <w:color w:val="auto"/>
                <w:sz w:val="21"/>
                <w:szCs w:val="21"/>
                <w:vertAlign w:val="superscript"/>
                <w:lang w:val="en-US" w:eastAsia="zh-CN"/>
              </w:rPr>
              <w:t>-4</w:t>
            </w:r>
          </w:p>
        </w:tc>
        <w:tc>
          <w:tcPr>
            <w:tcW w:w="41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24</w:t>
            </w:r>
          </w:p>
        </w:tc>
        <w:tc>
          <w:tcPr>
            <w:tcW w:w="332"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bl>
    <w:p>
      <w:pPr>
        <w:pStyle w:val="2"/>
        <w:keepNext w:val="0"/>
        <w:keepLines w:val="0"/>
        <w:pageBreakBefore w:val="0"/>
        <w:widowControl w:val="0"/>
        <w:kinsoku/>
        <w:wordWrap/>
        <w:overflowPunct/>
        <w:topLinePunct w:val="0"/>
        <w:autoSpaceDE w:val="0"/>
        <w:autoSpaceDN w:val="0"/>
        <w:bidi w:val="0"/>
        <w:adjustRightInd w:val="0"/>
        <w:snapToGrid/>
        <w:spacing w:line="312" w:lineRule="auto"/>
        <w:jc w:val="left"/>
        <w:textAlignment w:val="auto"/>
        <w:outlineLvl w:val="9"/>
        <w:rPr>
          <w:rFonts w:hint="default" w:ascii="Times New Roman" w:hAnsi="Times New Roman" w:eastAsia="宋体" w:cs="Times New Roman"/>
          <w:b w:val="0"/>
          <w:bCs w:val="0"/>
          <w:color w:val="auto"/>
          <w:sz w:val="18"/>
          <w:szCs w:val="18"/>
          <w:lang w:val="en-US" w:eastAsia="zh-CN"/>
        </w:rPr>
        <w:sectPr>
          <w:pgSz w:w="16838" w:h="11911" w:orient="landscape"/>
          <w:pgMar w:top="1678" w:right="1463" w:bottom="1678" w:left="1463" w:header="907" w:footer="884" w:gutter="0"/>
          <w:pgBorders>
            <w:top w:val="none" w:sz="0" w:space="0"/>
            <w:left w:val="none" w:sz="0" w:space="0"/>
            <w:bottom w:val="none" w:sz="0" w:space="0"/>
            <w:right w:val="none" w:sz="0" w:space="0"/>
          </w:pgBorders>
          <w:pgNumType w:fmt="decimal"/>
          <w:cols w:space="0" w:num="1"/>
          <w:rtlGutter w:val="0"/>
          <w:docGrid w:type="lines" w:linePitch="0" w:charSpace="0"/>
        </w:sectPr>
      </w:pPr>
    </w:p>
    <w:p>
      <w:pPr>
        <w:pStyle w:val="2"/>
        <w:keepNext w:val="0"/>
        <w:keepLines w:val="0"/>
        <w:pageBreakBefore w:val="0"/>
        <w:widowControl w:val="0"/>
        <w:kinsoku/>
        <w:wordWrap/>
        <w:overflowPunct/>
        <w:topLinePunct w:val="0"/>
        <w:autoSpaceDE w:val="0"/>
        <w:autoSpaceDN w:val="0"/>
        <w:bidi w:val="0"/>
        <w:adjustRightInd w:val="0"/>
        <w:snapToGrid/>
        <w:spacing w:line="312" w:lineRule="auto"/>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表10.2-5  异辛醇系列产品工况废气监测结果表</w:t>
      </w:r>
    </w:p>
    <w:tbl>
      <w:tblPr>
        <w:tblStyle w:val="23"/>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649"/>
        <w:gridCol w:w="35"/>
        <w:gridCol w:w="1079"/>
        <w:gridCol w:w="1132"/>
        <w:gridCol w:w="1132"/>
        <w:gridCol w:w="1132"/>
        <w:gridCol w:w="1154"/>
        <w:gridCol w:w="1107"/>
        <w:gridCol w:w="1132"/>
        <w:gridCol w:w="1132"/>
        <w:gridCol w:w="1199"/>
        <w:gridCol w:w="1187"/>
        <w:gridCol w:w="8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4" w:hRule="atLeast"/>
        </w:trPr>
        <w:tc>
          <w:tcPr>
            <w:tcW w:w="992" w:type="pct"/>
            <w:gridSpan w:val="3"/>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时间</w:t>
            </w:r>
          </w:p>
        </w:tc>
        <w:tc>
          <w:tcPr>
            <w:tcW w:w="1632" w:type="pct"/>
            <w:gridSpan w:val="4"/>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2021年7月28日</w:t>
            </w:r>
          </w:p>
        </w:tc>
        <w:tc>
          <w:tcPr>
            <w:tcW w:w="1639" w:type="pct"/>
            <w:gridSpan w:val="4"/>
            <w:tcBorders>
              <w:top w:val="single" w:color="000000" w:sz="4" w:space="0"/>
              <w:left w:val="single" w:color="000000"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2021年7月29日</w:t>
            </w:r>
          </w:p>
        </w:tc>
        <w:tc>
          <w:tcPr>
            <w:tcW w:w="426" w:type="pct"/>
            <w:tcBorders>
              <w:top w:val="single" w:color="000000"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标准值</w:t>
            </w:r>
          </w:p>
        </w:tc>
        <w:tc>
          <w:tcPr>
            <w:tcW w:w="308" w:type="pct"/>
            <w:tcBorders>
              <w:top w:val="single" w:color="000000"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4" w:hRule="atLeast"/>
        </w:trPr>
        <w:tc>
          <w:tcPr>
            <w:tcW w:w="992" w:type="pct"/>
            <w:gridSpan w:val="3"/>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监测点位</w:t>
            </w:r>
          </w:p>
        </w:tc>
        <w:tc>
          <w:tcPr>
            <w:tcW w:w="4007" w:type="pct"/>
            <w:gridSpan w:val="10"/>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lang w:val="en-US" w:eastAsia="zh-CN"/>
              </w:rPr>
              <w:t>甲类装置区工艺废气15#排气筒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4" w:hRule="atLeast"/>
        </w:trPr>
        <w:tc>
          <w:tcPr>
            <w:tcW w:w="99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项目</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第一次</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第二次</w:t>
            </w:r>
          </w:p>
        </w:tc>
        <w:tc>
          <w:tcPr>
            <w:tcW w:w="406"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第三次</w:t>
            </w:r>
          </w:p>
        </w:tc>
        <w:tc>
          <w:tcPr>
            <w:tcW w:w="414"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均值</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第一次</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第二次</w:t>
            </w:r>
          </w:p>
        </w:tc>
        <w:tc>
          <w:tcPr>
            <w:tcW w:w="406"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第三次</w:t>
            </w:r>
          </w:p>
        </w:tc>
        <w:tc>
          <w:tcPr>
            <w:tcW w:w="430" w:type="pct"/>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均值</w:t>
            </w:r>
          </w:p>
        </w:tc>
        <w:tc>
          <w:tcPr>
            <w:tcW w:w="426"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08"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4" w:hRule="atLeast"/>
        </w:trPr>
        <w:tc>
          <w:tcPr>
            <w:tcW w:w="605"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烟气标干流量</w:t>
            </w:r>
          </w:p>
        </w:tc>
        <w:tc>
          <w:tcPr>
            <w:tcW w:w="386"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336</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344</w:t>
            </w:r>
          </w:p>
        </w:tc>
        <w:tc>
          <w:tcPr>
            <w:tcW w:w="406"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356</w:t>
            </w:r>
          </w:p>
        </w:tc>
        <w:tc>
          <w:tcPr>
            <w:tcW w:w="414"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345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352</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366</w:t>
            </w:r>
          </w:p>
        </w:tc>
        <w:tc>
          <w:tcPr>
            <w:tcW w:w="406"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411</w:t>
            </w:r>
          </w:p>
        </w:tc>
        <w:tc>
          <w:tcPr>
            <w:tcW w:w="430" w:type="pct"/>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376</w:t>
            </w:r>
          </w:p>
        </w:tc>
        <w:tc>
          <w:tcPr>
            <w:tcW w:w="426"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08"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4" w:hRule="atLeast"/>
        </w:trPr>
        <w:tc>
          <w:tcPr>
            <w:tcW w:w="605"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lang w:val="en-US" w:eastAsia="zh-CN"/>
              </w:rPr>
              <w:t>非甲烷总烃</w:t>
            </w:r>
            <w:r>
              <w:rPr>
                <w:rFonts w:hint="default" w:ascii="Times New Roman" w:hAnsi="Times New Roman" w:eastAsia="宋体" w:cs="Times New Roman"/>
                <w:color w:val="auto"/>
                <w:sz w:val="21"/>
                <w:szCs w:val="21"/>
              </w:rPr>
              <w:t>排放浓度</w:t>
            </w:r>
          </w:p>
        </w:tc>
        <w:tc>
          <w:tcPr>
            <w:tcW w:w="386"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rPr>
              <w:t>3</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50.8</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48.2</w:t>
            </w:r>
          </w:p>
        </w:tc>
        <w:tc>
          <w:tcPr>
            <w:tcW w:w="406"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54.8</w:t>
            </w:r>
          </w:p>
        </w:tc>
        <w:tc>
          <w:tcPr>
            <w:tcW w:w="414"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51.3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45.8</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34.6</w:t>
            </w:r>
          </w:p>
        </w:tc>
        <w:tc>
          <w:tcPr>
            <w:tcW w:w="406"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35.1</w:t>
            </w:r>
          </w:p>
        </w:tc>
        <w:tc>
          <w:tcPr>
            <w:tcW w:w="430" w:type="pct"/>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38.5</w:t>
            </w:r>
          </w:p>
        </w:tc>
        <w:tc>
          <w:tcPr>
            <w:tcW w:w="426"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308"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4" w:hRule="atLeast"/>
        </w:trPr>
        <w:tc>
          <w:tcPr>
            <w:tcW w:w="605"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非甲烷总烃</w:t>
            </w:r>
            <w:r>
              <w:rPr>
                <w:rFonts w:hint="default" w:ascii="Times New Roman" w:hAnsi="Times New Roman" w:eastAsia="宋体" w:cs="Times New Roman"/>
                <w:color w:val="auto"/>
                <w:sz w:val="21"/>
                <w:szCs w:val="21"/>
              </w:rPr>
              <w:t>排放速率</w:t>
            </w:r>
          </w:p>
        </w:tc>
        <w:tc>
          <w:tcPr>
            <w:tcW w:w="386"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kg/h</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1.71×10</w:t>
            </w:r>
            <w:r>
              <w:rPr>
                <w:rFonts w:hint="default" w:ascii="Times New Roman" w:hAnsi="Times New Roman" w:eastAsia="宋体" w:cs="Times New Roman"/>
                <w:color w:val="auto"/>
                <w:sz w:val="21"/>
                <w:szCs w:val="21"/>
                <w:vertAlign w:val="superscript"/>
                <w:lang w:val="en-US" w:eastAsia="zh-CN"/>
              </w:rPr>
              <w:t>-2</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1.66×10</w:t>
            </w:r>
            <w:r>
              <w:rPr>
                <w:rFonts w:hint="default" w:ascii="Times New Roman" w:hAnsi="Times New Roman" w:eastAsia="宋体" w:cs="Times New Roman"/>
                <w:color w:val="auto"/>
                <w:sz w:val="21"/>
                <w:szCs w:val="21"/>
                <w:vertAlign w:val="superscript"/>
                <w:lang w:val="en-US" w:eastAsia="zh-CN"/>
              </w:rPr>
              <w:t>-2</w:t>
            </w:r>
          </w:p>
        </w:tc>
        <w:tc>
          <w:tcPr>
            <w:tcW w:w="406"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1.95×10</w:t>
            </w:r>
            <w:r>
              <w:rPr>
                <w:rFonts w:hint="default" w:ascii="Times New Roman" w:hAnsi="Times New Roman" w:eastAsia="宋体" w:cs="Times New Roman"/>
                <w:color w:val="auto"/>
                <w:sz w:val="21"/>
                <w:szCs w:val="21"/>
                <w:vertAlign w:val="superscript"/>
                <w:lang w:val="en-US" w:eastAsia="zh-CN"/>
              </w:rPr>
              <w:t>-2</w:t>
            </w:r>
          </w:p>
        </w:tc>
        <w:tc>
          <w:tcPr>
            <w:tcW w:w="414"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1.77×10</w:t>
            </w:r>
            <w:r>
              <w:rPr>
                <w:rFonts w:hint="default" w:ascii="Times New Roman" w:hAnsi="Times New Roman" w:eastAsia="宋体" w:cs="Times New Roman"/>
                <w:color w:val="auto"/>
                <w:sz w:val="21"/>
                <w:szCs w:val="21"/>
                <w:vertAlign w:val="superscript"/>
                <w:lang w:val="en-US" w:eastAsia="zh-CN"/>
              </w:rPr>
              <w:t>-2</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1.61×10</w:t>
            </w:r>
            <w:r>
              <w:rPr>
                <w:rFonts w:hint="default" w:ascii="Times New Roman" w:hAnsi="Times New Roman" w:eastAsia="宋体" w:cs="Times New Roman"/>
                <w:color w:val="auto"/>
                <w:sz w:val="21"/>
                <w:szCs w:val="21"/>
                <w:vertAlign w:val="superscript"/>
                <w:lang w:val="en-US" w:eastAsia="zh-CN"/>
              </w:rPr>
              <w:t>-2</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1.27×10</w:t>
            </w:r>
            <w:r>
              <w:rPr>
                <w:rFonts w:hint="default" w:ascii="Times New Roman" w:hAnsi="Times New Roman" w:eastAsia="宋体" w:cs="Times New Roman"/>
                <w:color w:val="auto"/>
                <w:sz w:val="21"/>
                <w:szCs w:val="21"/>
                <w:vertAlign w:val="superscript"/>
                <w:lang w:val="en-US" w:eastAsia="zh-CN"/>
              </w:rPr>
              <w:t>-2</w:t>
            </w:r>
          </w:p>
        </w:tc>
        <w:tc>
          <w:tcPr>
            <w:tcW w:w="406"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1.44×10</w:t>
            </w:r>
            <w:r>
              <w:rPr>
                <w:rFonts w:hint="default" w:ascii="Times New Roman" w:hAnsi="Times New Roman" w:eastAsia="宋体" w:cs="Times New Roman"/>
                <w:color w:val="auto"/>
                <w:sz w:val="21"/>
                <w:szCs w:val="21"/>
                <w:vertAlign w:val="superscript"/>
                <w:lang w:val="en-US" w:eastAsia="zh-CN"/>
              </w:rPr>
              <w:t>-2</w:t>
            </w:r>
          </w:p>
        </w:tc>
        <w:tc>
          <w:tcPr>
            <w:tcW w:w="430" w:type="pct"/>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1.44×10</w:t>
            </w:r>
            <w:r>
              <w:rPr>
                <w:rFonts w:hint="default" w:ascii="Times New Roman" w:hAnsi="Times New Roman" w:eastAsia="宋体" w:cs="Times New Roman"/>
                <w:color w:val="auto"/>
                <w:sz w:val="21"/>
                <w:szCs w:val="21"/>
                <w:vertAlign w:val="superscript"/>
                <w:lang w:val="en-US" w:eastAsia="zh-CN"/>
              </w:rPr>
              <w:t>-2</w:t>
            </w:r>
          </w:p>
        </w:tc>
        <w:tc>
          <w:tcPr>
            <w:tcW w:w="426"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308"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4" w:hRule="atLeast"/>
        </w:trPr>
        <w:tc>
          <w:tcPr>
            <w:tcW w:w="605"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异丙醇</w:t>
            </w:r>
            <w:r>
              <w:rPr>
                <w:rFonts w:hint="default" w:ascii="Times New Roman" w:hAnsi="Times New Roman" w:eastAsia="宋体" w:cs="Times New Roman"/>
                <w:color w:val="auto"/>
                <w:sz w:val="21"/>
                <w:szCs w:val="21"/>
              </w:rPr>
              <w:t>排放浓度</w:t>
            </w:r>
          </w:p>
        </w:tc>
        <w:tc>
          <w:tcPr>
            <w:tcW w:w="386"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rPr>
              <w:t>3</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0.204</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4.45</w:t>
            </w:r>
          </w:p>
        </w:tc>
        <w:tc>
          <w:tcPr>
            <w:tcW w:w="406"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1.18</w:t>
            </w:r>
          </w:p>
        </w:tc>
        <w:tc>
          <w:tcPr>
            <w:tcW w:w="414"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1.94</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1.61</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0.520</w:t>
            </w:r>
          </w:p>
        </w:tc>
        <w:tc>
          <w:tcPr>
            <w:tcW w:w="406"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6.47</w:t>
            </w:r>
          </w:p>
        </w:tc>
        <w:tc>
          <w:tcPr>
            <w:tcW w:w="430" w:type="pct"/>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2.87</w:t>
            </w:r>
          </w:p>
        </w:tc>
        <w:tc>
          <w:tcPr>
            <w:tcW w:w="426"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08"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4" w:hRule="atLeast"/>
        </w:trPr>
        <w:tc>
          <w:tcPr>
            <w:tcW w:w="605" w:type="pct"/>
            <w:gridSpan w:val="2"/>
            <w:tcBorders>
              <w:top w:val="single" w:color="000000" w:sz="4" w:space="0"/>
              <w:left w:val="single" w:color="000000"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异丙醇</w:t>
            </w:r>
            <w:r>
              <w:rPr>
                <w:rFonts w:hint="default" w:ascii="Times New Roman" w:hAnsi="Times New Roman" w:eastAsia="宋体" w:cs="Times New Roman"/>
                <w:color w:val="auto"/>
                <w:sz w:val="21"/>
                <w:szCs w:val="21"/>
              </w:rPr>
              <w:t>排放速率</w:t>
            </w:r>
          </w:p>
        </w:tc>
        <w:tc>
          <w:tcPr>
            <w:tcW w:w="386" w:type="pct"/>
            <w:tcBorders>
              <w:top w:val="single" w:color="000000"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kg/h</w:t>
            </w:r>
          </w:p>
        </w:tc>
        <w:tc>
          <w:tcPr>
            <w:tcW w:w="406"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6.85×10</w:t>
            </w:r>
            <w:r>
              <w:rPr>
                <w:rFonts w:hint="default" w:ascii="Times New Roman" w:hAnsi="Times New Roman" w:eastAsia="宋体" w:cs="Times New Roman"/>
                <w:color w:val="auto"/>
                <w:sz w:val="21"/>
                <w:szCs w:val="21"/>
                <w:vertAlign w:val="superscript"/>
                <w:lang w:val="en-US" w:eastAsia="zh-CN"/>
              </w:rPr>
              <w:t>-5</w:t>
            </w:r>
          </w:p>
        </w:tc>
        <w:tc>
          <w:tcPr>
            <w:tcW w:w="406"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1.53×10</w:t>
            </w:r>
            <w:r>
              <w:rPr>
                <w:rFonts w:hint="default" w:ascii="Times New Roman" w:hAnsi="Times New Roman" w:eastAsia="宋体" w:cs="Times New Roman"/>
                <w:color w:val="auto"/>
                <w:sz w:val="21"/>
                <w:szCs w:val="21"/>
                <w:vertAlign w:val="superscript"/>
                <w:lang w:val="en-US" w:eastAsia="zh-CN"/>
              </w:rPr>
              <w:t>-3</w:t>
            </w:r>
          </w:p>
        </w:tc>
        <w:tc>
          <w:tcPr>
            <w:tcW w:w="406" w:type="pct"/>
            <w:tcBorders>
              <w:top w:val="single" w:color="000000" w:sz="4" w:space="0"/>
              <w:left w:val="single" w:color="000000"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4.20×10</w:t>
            </w:r>
            <w:r>
              <w:rPr>
                <w:rFonts w:hint="default" w:ascii="Times New Roman" w:hAnsi="Times New Roman" w:eastAsia="宋体" w:cs="Times New Roman"/>
                <w:color w:val="auto"/>
                <w:sz w:val="21"/>
                <w:szCs w:val="21"/>
                <w:vertAlign w:val="superscript"/>
                <w:lang w:val="en-US" w:eastAsia="zh-CN"/>
              </w:rPr>
              <w:t>-4</w:t>
            </w:r>
          </w:p>
        </w:tc>
        <w:tc>
          <w:tcPr>
            <w:tcW w:w="414" w:type="pct"/>
            <w:tcBorders>
              <w:top w:val="single" w:color="000000"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6.73×10</w:t>
            </w:r>
            <w:r>
              <w:rPr>
                <w:rFonts w:hint="default" w:ascii="Times New Roman" w:hAnsi="Times New Roman" w:eastAsia="宋体" w:cs="Times New Roman"/>
                <w:color w:val="auto"/>
                <w:sz w:val="21"/>
                <w:szCs w:val="21"/>
                <w:vertAlign w:val="superscript"/>
                <w:lang w:val="en-US" w:eastAsia="zh-CN"/>
              </w:rPr>
              <w:t>-4</w:t>
            </w:r>
          </w:p>
        </w:tc>
        <w:tc>
          <w:tcPr>
            <w:tcW w:w="397"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5.67×10</w:t>
            </w:r>
            <w:r>
              <w:rPr>
                <w:rFonts w:hint="default" w:ascii="Times New Roman" w:hAnsi="Times New Roman" w:eastAsia="宋体" w:cs="Times New Roman"/>
                <w:color w:val="auto"/>
                <w:sz w:val="21"/>
                <w:szCs w:val="21"/>
                <w:vertAlign w:val="superscript"/>
                <w:lang w:val="en-US" w:eastAsia="zh-CN"/>
              </w:rPr>
              <w:t>-4</w:t>
            </w:r>
          </w:p>
        </w:tc>
        <w:tc>
          <w:tcPr>
            <w:tcW w:w="406"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1.90×10</w:t>
            </w:r>
            <w:r>
              <w:rPr>
                <w:rFonts w:hint="default" w:ascii="Times New Roman" w:hAnsi="Times New Roman" w:eastAsia="宋体" w:cs="Times New Roman"/>
                <w:color w:val="auto"/>
                <w:sz w:val="21"/>
                <w:szCs w:val="21"/>
                <w:vertAlign w:val="superscript"/>
                <w:lang w:val="en-US" w:eastAsia="zh-CN"/>
              </w:rPr>
              <w:t>-4</w:t>
            </w:r>
          </w:p>
        </w:tc>
        <w:tc>
          <w:tcPr>
            <w:tcW w:w="406" w:type="pct"/>
            <w:tcBorders>
              <w:top w:val="single" w:color="000000" w:sz="4" w:space="0"/>
              <w:left w:val="single" w:color="000000"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2.66×10</w:t>
            </w:r>
            <w:r>
              <w:rPr>
                <w:rFonts w:hint="default" w:ascii="Times New Roman" w:hAnsi="Times New Roman" w:eastAsia="宋体" w:cs="Times New Roman"/>
                <w:color w:val="auto"/>
                <w:sz w:val="21"/>
                <w:szCs w:val="21"/>
                <w:vertAlign w:val="superscript"/>
                <w:lang w:val="en-US" w:eastAsia="zh-CN"/>
              </w:rPr>
              <w:t>-3</w:t>
            </w:r>
          </w:p>
        </w:tc>
        <w:tc>
          <w:tcPr>
            <w:tcW w:w="430" w:type="pct"/>
            <w:tcBorders>
              <w:top w:val="single" w:color="000000"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1.14×10</w:t>
            </w:r>
            <w:r>
              <w:rPr>
                <w:rFonts w:hint="default" w:ascii="Times New Roman" w:hAnsi="Times New Roman" w:eastAsia="宋体" w:cs="Times New Roman"/>
                <w:color w:val="auto"/>
                <w:sz w:val="21"/>
                <w:szCs w:val="21"/>
                <w:vertAlign w:val="superscript"/>
                <w:lang w:val="en-US" w:eastAsia="zh-CN"/>
              </w:rPr>
              <w:t>-3</w:t>
            </w:r>
          </w:p>
        </w:tc>
        <w:tc>
          <w:tcPr>
            <w:tcW w:w="426" w:type="pct"/>
            <w:tcBorders>
              <w:top w:val="single" w:color="000000"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0.45</w:t>
            </w:r>
          </w:p>
        </w:tc>
        <w:tc>
          <w:tcPr>
            <w:tcW w:w="308" w:type="pct"/>
            <w:tcBorders>
              <w:top w:val="single" w:color="000000"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4" w:hRule="atLeast"/>
        </w:trPr>
        <w:tc>
          <w:tcPr>
            <w:tcW w:w="605" w:type="pct"/>
            <w:gridSpan w:val="2"/>
            <w:tcBorders>
              <w:top w:val="single" w:color="auto"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臭气浓度</w:t>
            </w:r>
          </w:p>
        </w:tc>
        <w:tc>
          <w:tcPr>
            <w:tcW w:w="386" w:type="pct"/>
            <w:tcBorders>
              <w:top w:val="single" w:color="auto"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无量纲</w:t>
            </w:r>
          </w:p>
        </w:tc>
        <w:tc>
          <w:tcPr>
            <w:tcW w:w="406"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724</w:t>
            </w:r>
          </w:p>
        </w:tc>
        <w:tc>
          <w:tcPr>
            <w:tcW w:w="406"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549</w:t>
            </w:r>
          </w:p>
        </w:tc>
        <w:tc>
          <w:tcPr>
            <w:tcW w:w="406" w:type="pct"/>
            <w:tcBorders>
              <w:top w:val="single" w:color="auto"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1318</w:t>
            </w:r>
          </w:p>
        </w:tc>
        <w:tc>
          <w:tcPr>
            <w:tcW w:w="414" w:type="pct"/>
            <w:tcBorders>
              <w:top w:val="single" w:color="auto"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1318（最大值）</w:t>
            </w:r>
          </w:p>
        </w:tc>
        <w:tc>
          <w:tcPr>
            <w:tcW w:w="397"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549</w:t>
            </w:r>
          </w:p>
        </w:tc>
        <w:tc>
          <w:tcPr>
            <w:tcW w:w="406"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724</w:t>
            </w:r>
          </w:p>
        </w:tc>
        <w:tc>
          <w:tcPr>
            <w:tcW w:w="406" w:type="pct"/>
            <w:tcBorders>
              <w:top w:val="single" w:color="auto"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416</w:t>
            </w:r>
          </w:p>
        </w:tc>
        <w:tc>
          <w:tcPr>
            <w:tcW w:w="430" w:type="pct"/>
            <w:tcBorders>
              <w:top w:val="single" w:color="auto"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724（最大值）</w:t>
            </w:r>
          </w:p>
        </w:tc>
        <w:tc>
          <w:tcPr>
            <w:tcW w:w="426" w:type="pct"/>
            <w:tcBorders>
              <w:top w:val="single" w:color="auto"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1500</w:t>
            </w:r>
          </w:p>
        </w:tc>
        <w:tc>
          <w:tcPr>
            <w:tcW w:w="308" w:type="pct"/>
            <w:tcBorders>
              <w:top w:val="single" w:color="auto"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992" w:type="pct"/>
            <w:gridSpan w:val="3"/>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监测点位</w:t>
            </w:r>
          </w:p>
        </w:tc>
        <w:tc>
          <w:tcPr>
            <w:tcW w:w="4007" w:type="pct"/>
            <w:gridSpan w:val="10"/>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投料粉尘14#排气筒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99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项目</w:t>
            </w:r>
          </w:p>
        </w:tc>
        <w:tc>
          <w:tcPr>
            <w:tcW w:w="16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第一次</w:t>
            </w:r>
          </w:p>
        </w:tc>
        <w:tc>
          <w:tcPr>
            <w:tcW w:w="1639" w:type="pct"/>
            <w:gridSpan w:val="4"/>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第一次</w:t>
            </w:r>
          </w:p>
        </w:tc>
        <w:tc>
          <w:tcPr>
            <w:tcW w:w="426"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08"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592"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烟气标干流量</w:t>
            </w:r>
          </w:p>
        </w:tc>
        <w:tc>
          <w:tcPr>
            <w:tcW w:w="399" w:type="pct"/>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16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434</w:t>
            </w:r>
          </w:p>
        </w:tc>
        <w:tc>
          <w:tcPr>
            <w:tcW w:w="1639" w:type="pct"/>
            <w:gridSpan w:val="4"/>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531</w:t>
            </w:r>
          </w:p>
        </w:tc>
        <w:tc>
          <w:tcPr>
            <w:tcW w:w="426"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08"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4" w:hRule="atLeast"/>
        </w:trPr>
        <w:tc>
          <w:tcPr>
            <w:tcW w:w="592"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sz w:val="21"/>
                <w:szCs w:val="21"/>
              </w:rPr>
              <w:t>排放浓度</w:t>
            </w:r>
          </w:p>
        </w:tc>
        <w:tc>
          <w:tcPr>
            <w:tcW w:w="399" w:type="pct"/>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rPr>
              <w:t>3</w:t>
            </w:r>
          </w:p>
        </w:tc>
        <w:tc>
          <w:tcPr>
            <w:tcW w:w="16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1.7</w:t>
            </w:r>
          </w:p>
        </w:tc>
        <w:tc>
          <w:tcPr>
            <w:tcW w:w="1639" w:type="pct"/>
            <w:gridSpan w:val="4"/>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1.6</w:t>
            </w:r>
          </w:p>
        </w:tc>
        <w:tc>
          <w:tcPr>
            <w:tcW w:w="426"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120</w:t>
            </w:r>
          </w:p>
        </w:tc>
        <w:tc>
          <w:tcPr>
            <w:tcW w:w="308"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4" w:hRule="atLeast"/>
        </w:trPr>
        <w:tc>
          <w:tcPr>
            <w:tcW w:w="592"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sz w:val="21"/>
                <w:szCs w:val="21"/>
              </w:rPr>
              <w:t>排放速率</w:t>
            </w:r>
          </w:p>
        </w:tc>
        <w:tc>
          <w:tcPr>
            <w:tcW w:w="399" w:type="pct"/>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kg/h</w:t>
            </w:r>
          </w:p>
        </w:tc>
        <w:tc>
          <w:tcPr>
            <w:tcW w:w="163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7.38×10</w:t>
            </w:r>
            <w:r>
              <w:rPr>
                <w:rFonts w:hint="default" w:ascii="Times New Roman" w:hAnsi="Times New Roman" w:eastAsia="宋体" w:cs="Times New Roman"/>
                <w:color w:val="auto"/>
                <w:sz w:val="21"/>
                <w:szCs w:val="21"/>
                <w:vertAlign w:val="superscript"/>
                <w:lang w:val="en-US" w:eastAsia="zh-CN"/>
              </w:rPr>
              <w:t>-4</w:t>
            </w:r>
          </w:p>
        </w:tc>
        <w:tc>
          <w:tcPr>
            <w:tcW w:w="1639" w:type="pct"/>
            <w:gridSpan w:val="4"/>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8.50×10</w:t>
            </w:r>
            <w:r>
              <w:rPr>
                <w:rFonts w:hint="default" w:ascii="Times New Roman" w:hAnsi="Times New Roman" w:eastAsia="宋体" w:cs="Times New Roman"/>
                <w:color w:val="auto"/>
                <w:sz w:val="21"/>
                <w:szCs w:val="21"/>
                <w:vertAlign w:val="superscript"/>
                <w:lang w:val="en-US" w:eastAsia="zh-CN"/>
              </w:rPr>
              <w:t>-4</w:t>
            </w:r>
          </w:p>
        </w:tc>
        <w:tc>
          <w:tcPr>
            <w:tcW w:w="426"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24</w:t>
            </w:r>
          </w:p>
        </w:tc>
        <w:tc>
          <w:tcPr>
            <w:tcW w:w="308"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bl>
    <w:p>
      <w:pP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br w:type="page"/>
      </w:r>
    </w:p>
    <w:p>
      <w:pPr>
        <w:pStyle w:val="2"/>
        <w:keepNext w:val="0"/>
        <w:keepLines w:val="0"/>
        <w:pageBreakBefore w:val="0"/>
        <w:widowControl w:val="0"/>
        <w:kinsoku/>
        <w:wordWrap/>
        <w:overflowPunct/>
        <w:topLinePunct w:val="0"/>
        <w:autoSpaceDE w:val="0"/>
        <w:autoSpaceDN w:val="0"/>
        <w:bidi w:val="0"/>
        <w:adjustRightInd w:val="0"/>
        <w:snapToGrid/>
        <w:spacing w:line="312" w:lineRule="auto"/>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表10.2-6  三羟甲基丙烷系列产品工况废气监测结果表</w:t>
      </w:r>
    </w:p>
    <w:tbl>
      <w:tblPr>
        <w:tblStyle w:val="23"/>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646"/>
        <w:gridCol w:w="49"/>
        <w:gridCol w:w="1068"/>
        <w:gridCol w:w="11"/>
        <w:gridCol w:w="1132"/>
        <w:gridCol w:w="1132"/>
        <w:gridCol w:w="1132"/>
        <w:gridCol w:w="1143"/>
        <w:gridCol w:w="11"/>
        <w:gridCol w:w="1107"/>
        <w:gridCol w:w="1132"/>
        <w:gridCol w:w="1132"/>
        <w:gridCol w:w="1187"/>
        <w:gridCol w:w="11"/>
        <w:gridCol w:w="1054"/>
        <w:gridCol w:w="9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4" w:hRule="atLeast"/>
        </w:trPr>
        <w:tc>
          <w:tcPr>
            <w:tcW w:w="996" w:type="pct"/>
            <w:gridSpan w:val="4"/>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时间</w:t>
            </w:r>
          </w:p>
        </w:tc>
        <w:tc>
          <w:tcPr>
            <w:tcW w:w="1632" w:type="pct"/>
            <w:gridSpan w:val="5"/>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2021年8月20日</w:t>
            </w:r>
          </w:p>
        </w:tc>
        <w:tc>
          <w:tcPr>
            <w:tcW w:w="1639" w:type="pct"/>
            <w:gridSpan w:val="5"/>
            <w:tcBorders>
              <w:top w:val="single" w:color="000000" w:sz="4" w:space="0"/>
              <w:left w:val="single" w:color="000000"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2021年8月21日</w:t>
            </w:r>
          </w:p>
        </w:tc>
        <w:tc>
          <w:tcPr>
            <w:tcW w:w="378" w:type="pct"/>
            <w:tcBorders>
              <w:top w:val="single" w:color="000000"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标准值</w:t>
            </w:r>
          </w:p>
        </w:tc>
        <w:tc>
          <w:tcPr>
            <w:tcW w:w="352" w:type="pct"/>
            <w:tcBorders>
              <w:top w:val="single" w:color="000000"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4" w:hRule="atLeast"/>
        </w:trPr>
        <w:tc>
          <w:tcPr>
            <w:tcW w:w="996" w:type="pct"/>
            <w:gridSpan w:val="4"/>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监测点位</w:t>
            </w:r>
          </w:p>
        </w:tc>
        <w:tc>
          <w:tcPr>
            <w:tcW w:w="4003" w:type="pct"/>
            <w:gridSpan w:val="12"/>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甲类装置区工艺废气15#排气筒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4" w:hRule="atLeast"/>
        </w:trPr>
        <w:tc>
          <w:tcPr>
            <w:tcW w:w="99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项目</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第一次</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第二次</w:t>
            </w:r>
          </w:p>
        </w:tc>
        <w:tc>
          <w:tcPr>
            <w:tcW w:w="406"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第三次</w:t>
            </w:r>
          </w:p>
        </w:tc>
        <w:tc>
          <w:tcPr>
            <w:tcW w:w="414" w:type="pct"/>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均值</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第一次</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第二次</w:t>
            </w:r>
          </w:p>
        </w:tc>
        <w:tc>
          <w:tcPr>
            <w:tcW w:w="406"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第三次</w:t>
            </w:r>
          </w:p>
        </w:tc>
        <w:tc>
          <w:tcPr>
            <w:tcW w:w="429" w:type="pct"/>
            <w:gridSpan w:val="2"/>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均值</w:t>
            </w:r>
          </w:p>
        </w:tc>
        <w:tc>
          <w:tcPr>
            <w:tcW w:w="378"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52"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4" w:hRule="atLeast"/>
        </w:trPr>
        <w:tc>
          <w:tcPr>
            <w:tcW w:w="609"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烟气标干流量</w:t>
            </w:r>
          </w:p>
        </w:tc>
        <w:tc>
          <w:tcPr>
            <w:tcW w:w="387" w:type="pct"/>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348</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367</w:t>
            </w:r>
          </w:p>
        </w:tc>
        <w:tc>
          <w:tcPr>
            <w:tcW w:w="406"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349</w:t>
            </w:r>
          </w:p>
        </w:tc>
        <w:tc>
          <w:tcPr>
            <w:tcW w:w="414" w:type="pct"/>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355</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356</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362</w:t>
            </w:r>
          </w:p>
        </w:tc>
        <w:tc>
          <w:tcPr>
            <w:tcW w:w="406"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366</w:t>
            </w:r>
          </w:p>
        </w:tc>
        <w:tc>
          <w:tcPr>
            <w:tcW w:w="429" w:type="pct"/>
            <w:gridSpan w:val="2"/>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361</w:t>
            </w:r>
          </w:p>
        </w:tc>
        <w:tc>
          <w:tcPr>
            <w:tcW w:w="378"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52"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4" w:hRule="atLeast"/>
        </w:trPr>
        <w:tc>
          <w:tcPr>
            <w:tcW w:w="609"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lang w:val="en-US" w:eastAsia="zh-CN"/>
              </w:rPr>
              <w:t>非甲烷总烃</w:t>
            </w:r>
            <w:r>
              <w:rPr>
                <w:rFonts w:hint="default" w:ascii="Times New Roman" w:hAnsi="Times New Roman" w:eastAsia="宋体" w:cs="Times New Roman"/>
                <w:color w:val="auto"/>
                <w:sz w:val="21"/>
                <w:szCs w:val="21"/>
              </w:rPr>
              <w:t>排放浓度</w:t>
            </w:r>
          </w:p>
        </w:tc>
        <w:tc>
          <w:tcPr>
            <w:tcW w:w="387" w:type="pct"/>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rPr>
              <w:t>3</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41.0</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10.7</w:t>
            </w:r>
          </w:p>
        </w:tc>
        <w:tc>
          <w:tcPr>
            <w:tcW w:w="406"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13.6</w:t>
            </w:r>
          </w:p>
        </w:tc>
        <w:tc>
          <w:tcPr>
            <w:tcW w:w="414" w:type="pct"/>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21.8</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24.8</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26.1</w:t>
            </w:r>
          </w:p>
        </w:tc>
        <w:tc>
          <w:tcPr>
            <w:tcW w:w="406"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26.9</w:t>
            </w:r>
          </w:p>
        </w:tc>
        <w:tc>
          <w:tcPr>
            <w:tcW w:w="429" w:type="pct"/>
            <w:gridSpan w:val="2"/>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25.9</w:t>
            </w:r>
          </w:p>
        </w:tc>
        <w:tc>
          <w:tcPr>
            <w:tcW w:w="378"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352"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4" w:hRule="atLeast"/>
        </w:trPr>
        <w:tc>
          <w:tcPr>
            <w:tcW w:w="609"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非甲烷总烃</w:t>
            </w:r>
            <w:r>
              <w:rPr>
                <w:rFonts w:hint="default" w:ascii="Times New Roman" w:hAnsi="Times New Roman" w:eastAsia="宋体" w:cs="Times New Roman"/>
                <w:color w:val="auto"/>
                <w:sz w:val="21"/>
                <w:szCs w:val="21"/>
              </w:rPr>
              <w:t>排放速率</w:t>
            </w:r>
          </w:p>
        </w:tc>
        <w:tc>
          <w:tcPr>
            <w:tcW w:w="387" w:type="pct"/>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kg/h</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1.43×10</w:t>
            </w:r>
            <w:r>
              <w:rPr>
                <w:rFonts w:hint="default" w:ascii="Times New Roman" w:hAnsi="Times New Roman" w:eastAsia="宋体" w:cs="Times New Roman"/>
                <w:color w:val="auto"/>
                <w:sz w:val="21"/>
                <w:szCs w:val="21"/>
                <w:vertAlign w:val="superscript"/>
                <w:lang w:val="en-US" w:eastAsia="zh-CN"/>
              </w:rPr>
              <w:t>-2</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3.93×10</w:t>
            </w:r>
            <w:r>
              <w:rPr>
                <w:rFonts w:hint="default" w:ascii="Times New Roman" w:hAnsi="Times New Roman" w:eastAsia="宋体" w:cs="Times New Roman"/>
                <w:color w:val="auto"/>
                <w:sz w:val="21"/>
                <w:szCs w:val="21"/>
                <w:vertAlign w:val="superscript"/>
                <w:lang w:val="en-US" w:eastAsia="zh-CN"/>
              </w:rPr>
              <w:t>-3</w:t>
            </w:r>
          </w:p>
        </w:tc>
        <w:tc>
          <w:tcPr>
            <w:tcW w:w="406"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4.75×10</w:t>
            </w:r>
            <w:r>
              <w:rPr>
                <w:rFonts w:hint="default" w:ascii="Times New Roman" w:hAnsi="Times New Roman" w:eastAsia="宋体" w:cs="Times New Roman"/>
                <w:color w:val="auto"/>
                <w:sz w:val="21"/>
                <w:szCs w:val="21"/>
                <w:vertAlign w:val="superscript"/>
                <w:lang w:val="en-US" w:eastAsia="zh-CN"/>
              </w:rPr>
              <w:t>-3</w:t>
            </w:r>
          </w:p>
        </w:tc>
        <w:tc>
          <w:tcPr>
            <w:tcW w:w="414" w:type="pct"/>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7.66×10</w:t>
            </w:r>
            <w:r>
              <w:rPr>
                <w:rFonts w:hint="default" w:ascii="Times New Roman" w:hAnsi="Times New Roman" w:eastAsia="宋体" w:cs="Times New Roman"/>
                <w:color w:val="auto"/>
                <w:sz w:val="21"/>
                <w:szCs w:val="21"/>
                <w:vertAlign w:val="superscript"/>
                <w:lang w:val="en-US" w:eastAsia="zh-CN"/>
              </w:rPr>
              <w:t>-3</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8.83×10</w:t>
            </w:r>
            <w:r>
              <w:rPr>
                <w:rFonts w:hint="default" w:ascii="Times New Roman" w:hAnsi="Times New Roman" w:eastAsia="宋体" w:cs="Times New Roman"/>
                <w:color w:val="auto"/>
                <w:sz w:val="21"/>
                <w:szCs w:val="21"/>
                <w:vertAlign w:val="superscript"/>
                <w:lang w:val="en-US" w:eastAsia="zh-CN"/>
              </w:rPr>
              <w:t>-3</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9.45×10</w:t>
            </w:r>
            <w:r>
              <w:rPr>
                <w:rFonts w:hint="default" w:ascii="Times New Roman" w:hAnsi="Times New Roman" w:eastAsia="宋体" w:cs="Times New Roman"/>
                <w:color w:val="auto"/>
                <w:sz w:val="21"/>
                <w:szCs w:val="21"/>
                <w:vertAlign w:val="superscript"/>
                <w:lang w:val="en-US" w:eastAsia="zh-CN"/>
              </w:rPr>
              <w:t>-3</w:t>
            </w:r>
          </w:p>
        </w:tc>
        <w:tc>
          <w:tcPr>
            <w:tcW w:w="406"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9.85×10</w:t>
            </w:r>
            <w:r>
              <w:rPr>
                <w:rFonts w:hint="default" w:ascii="Times New Roman" w:hAnsi="Times New Roman" w:eastAsia="宋体" w:cs="Times New Roman"/>
                <w:color w:val="auto"/>
                <w:sz w:val="21"/>
                <w:szCs w:val="21"/>
                <w:vertAlign w:val="superscript"/>
                <w:lang w:val="en-US" w:eastAsia="zh-CN"/>
              </w:rPr>
              <w:t>-3</w:t>
            </w:r>
          </w:p>
        </w:tc>
        <w:tc>
          <w:tcPr>
            <w:tcW w:w="429" w:type="pct"/>
            <w:gridSpan w:val="2"/>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9.38×10</w:t>
            </w:r>
            <w:r>
              <w:rPr>
                <w:rFonts w:hint="default" w:ascii="Times New Roman" w:hAnsi="Times New Roman" w:eastAsia="宋体" w:cs="Times New Roman"/>
                <w:color w:val="auto"/>
                <w:sz w:val="21"/>
                <w:szCs w:val="21"/>
                <w:vertAlign w:val="superscript"/>
                <w:lang w:val="en-US" w:eastAsia="zh-CN"/>
              </w:rPr>
              <w:t>-3</w:t>
            </w:r>
          </w:p>
        </w:tc>
        <w:tc>
          <w:tcPr>
            <w:tcW w:w="378"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352"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4" w:hRule="atLeast"/>
        </w:trPr>
        <w:tc>
          <w:tcPr>
            <w:tcW w:w="609"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异丙醇</w:t>
            </w:r>
            <w:r>
              <w:rPr>
                <w:rFonts w:hint="default" w:ascii="Times New Roman" w:hAnsi="Times New Roman" w:eastAsia="宋体" w:cs="Times New Roman"/>
                <w:color w:val="auto"/>
                <w:sz w:val="21"/>
                <w:szCs w:val="21"/>
              </w:rPr>
              <w:t>排放浓度</w:t>
            </w:r>
          </w:p>
        </w:tc>
        <w:tc>
          <w:tcPr>
            <w:tcW w:w="387" w:type="pct"/>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rPr>
              <w:t>3</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2.50</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4.87</w:t>
            </w:r>
          </w:p>
        </w:tc>
        <w:tc>
          <w:tcPr>
            <w:tcW w:w="406"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3.65</w:t>
            </w:r>
          </w:p>
        </w:tc>
        <w:tc>
          <w:tcPr>
            <w:tcW w:w="414" w:type="pct"/>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3.67</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1.91</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2.19</w:t>
            </w:r>
          </w:p>
        </w:tc>
        <w:tc>
          <w:tcPr>
            <w:tcW w:w="406"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2.01</w:t>
            </w:r>
          </w:p>
        </w:tc>
        <w:tc>
          <w:tcPr>
            <w:tcW w:w="429" w:type="pct"/>
            <w:gridSpan w:val="2"/>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2.04</w:t>
            </w:r>
          </w:p>
        </w:tc>
        <w:tc>
          <w:tcPr>
            <w:tcW w:w="378"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52"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4" w:hRule="atLeast"/>
        </w:trPr>
        <w:tc>
          <w:tcPr>
            <w:tcW w:w="609" w:type="pct"/>
            <w:gridSpan w:val="2"/>
            <w:tcBorders>
              <w:top w:val="single" w:color="000000" w:sz="4" w:space="0"/>
              <w:left w:val="single" w:color="000000"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异丙醇</w:t>
            </w:r>
            <w:r>
              <w:rPr>
                <w:rFonts w:hint="default" w:ascii="Times New Roman" w:hAnsi="Times New Roman" w:eastAsia="宋体" w:cs="Times New Roman"/>
                <w:color w:val="auto"/>
                <w:sz w:val="21"/>
                <w:szCs w:val="21"/>
              </w:rPr>
              <w:t>排放速率</w:t>
            </w:r>
          </w:p>
        </w:tc>
        <w:tc>
          <w:tcPr>
            <w:tcW w:w="387" w:type="pct"/>
            <w:gridSpan w:val="2"/>
            <w:tcBorders>
              <w:top w:val="single" w:color="000000"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kg/h</w:t>
            </w:r>
          </w:p>
        </w:tc>
        <w:tc>
          <w:tcPr>
            <w:tcW w:w="406"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8.70×10</w:t>
            </w:r>
            <w:r>
              <w:rPr>
                <w:rFonts w:hint="default" w:ascii="Times New Roman" w:hAnsi="Times New Roman" w:eastAsia="宋体" w:cs="Times New Roman"/>
                <w:color w:val="auto"/>
                <w:sz w:val="21"/>
                <w:szCs w:val="21"/>
                <w:vertAlign w:val="superscript"/>
                <w:lang w:val="en-US" w:eastAsia="zh-CN"/>
              </w:rPr>
              <w:t>-4</w:t>
            </w:r>
          </w:p>
        </w:tc>
        <w:tc>
          <w:tcPr>
            <w:tcW w:w="406"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1.79×10</w:t>
            </w:r>
            <w:r>
              <w:rPr>
                <w:rFonts w:hint="default" w:ascii="Times New Roman" w:hAnsi="Times New Roman" w:eastAsia="宋体" w:cs="Times New Roman"/>
                <w:color w:val="auto"/>
                <w:sz w:val="21"/>
                <w:szCs w:val="21"/>
                <w:vertAlign w:val="superscript"/>
                <w:lang w:val="en-US" w:eastAsia="zh-CN"/>
              </w:rPr>
              <w:t>-3</w:t>
            </w:r>
          </w:p>
        </w:tc>
        <w:tc>
          <w:tcPr>
            <w:tcW w:w="406" w:type="pct"/>
            <w:tcBorders>
              <w:top w:val="single" w:color="000000" w:sz="4" w:space="0"/>
              <w:left w:val="single" w:color="000000"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1.27×10</w:t>
            </w:r>
            <w:r>
              <w:rPr>
                <w:rFonts w:hint="default" w:ascii="Times New Roman" w:hAnsi="Times New Roman" w:eastAsia="宋体" w:cs="Times New Roman"/>
                <w:color w:val="auto"/>
                <w:sz w:val="21"/>
                <w:szCs w:val="21"/>
                <w:vertAlign w:val="superscript"/>
                <w:lang w:val="en-US" w:eastAsia="zh-CN"/>
              </w:rPr>
              <w:t>-3</w:t>
            </w:r>
          </w:p>
        </w:tc>
        <w:tc>
          <w:tcPr>
            <w:tcW w:w="414" w:type="pct"/>
            <w:gridSpan w:val="2"/>
            <w:tcBorders>
              <w:top w:val="single" w:color="000000"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1.31×10</w:t>
            </w:r>
            <w:r>
              <w:rPr>
                <w:rFonts w:hint="default" w:ascii="Times New Roman" w:hAnsi="Times New Roman" w:eastAsia="宋体" w:cs="Times New Roman"/>
                <w:color w:val="auto"/>
                <w:sz w:val="21"/>
                <w:szCs w:val="21"/>
                <w:vertAlign w:val="superscript"/>
                <w:lang w:val="en-US" w:eastAsia="zh-CN"/>
              </w:rPr>
              <w:t>-3</w:t>
            </w:r>
          </w:p>
        </w:tc>
        <w:tc>
          <w:tcPr>
            <w:tcW w:w="397"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6.80×10</w:t>
            </w:r>
            <w:r>
              <w:rPr>
                <w:rFonts w:hint="default" w:ascii="Times New Roman" w:hAnsi="Times New Roman" w:eastAsia="宋体" w:cs="Times New Roman"/>
                <w:color w:val="auto"/>
                <w:sz w:val="21"/>
                <w:szCs w:val="21"/>
                <w:vertAlign w:val="superscript"/>
                <w:lang w:val="en-US" w:eastAsia="zh-CN"/>
              </w:rPr>
              <w:t>-4</w:t>
            </w:r>
          </w:p>
        </w:tc>
        <w:tc>
          <w:tcPr>
            <w:tcW w:w="406"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7.93×10</w:t>
            </w:r>
            <w:r>
              <w:rPr>
                <w:rFonts w:hint="default" w:ascii="Times New Roman" w:hAnsi="Times New Roman" w:eastAsia="宋体" w:cs="Times New Roman"/>
                <w:color w:val="auto"/>
                <w:sz w:val="21"/>
                <w:szCs w:val="21"/>
                <w:vertAlign w:val="superscript"/>
                <w:lang w:val="en-US" w:eastAsia="zh-CN"/>
              </w:rPr>
              <w:t>-4</w:t>
            </w:r>
          </w:p>
        </w:tc>
        <w:tc>
          <w:tcPr>
            <w:tcW w:w="406" w:type="pct"/>
            <w:tcBorders>
              <w:top w:val="single" w:color="000000" w:sz="4" w:space="0"/>
              <w:left w:val="single" w:color="000000"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7.36×10</w:t>
            </w:r>
            <w:r>
              <w:rPr>
                <w:rFonts w:hint="default" w:ascii="Times New Roman" w:hAnsi="Times New Roman" w:eastAsia="宋体" w:cs="Times New Roman"/>
                <w:color w:val="auto"/>
                <w:sz w:val="21"/>
                <w:szCs w:val="21"/>
                <w:vertAlign w:val="superscript"/>
                <w:lang w:val="en-US" w:eastAsia="zh-CN"/>
              </w:rPr>
              <w:t>-4</w:t>
            </w:r>
          </w:p>
        </w:tc>
        <w:tc>
          <w:tcPr>
            <w:tcW w:w="429" w:type="pct"/>
            <w:gridSpan w:val="2"/>
            <w:tcBorders>
              <w:top w:val="single" w:color="000000"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7.36×10</w:t>
            </w:r>
            <w:r>
              <w:rPr>
                <w:rFonts w:hint="default" w:ascii="Times New Roman" w:hAnsi="Times New Roman" w:eastAsia="宋体" w:cs="Times New Roman"/>
                <w:color w:val="auto"/>
                <w:sz w:val="21"/>
                <w:szCs w:val="21"/>
                <w:vertAlign w:val="superscript"/>
                <w:lang w:val="en-US" w:eastAsia="zh-CN"/>
              </w:rPr>
              <w:t>-4</w:t>
            </w:r>
          </w:p>
        </w:tc>
        <w:tc>
          <w:tcPr>
            <w:tcW w:w="378" w:type="pct"/>
            <w:tcBorders>
              <w:top w:val="single" w:color="000000"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0.45</w:t>
            </w:r>
          </w:p>
        </w:tc>
        <w:tc>
          <w:tcPr>
            <w:tcW w:w="352" w:type="pct"/>
            <w:tcBorders>
              <w:top w:val="single" w:color="000000"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4" w:hRule="atLeast"/>
        </w:trPr>
        <w:tc>
          <w:tcPr>
            <w:tcW w:w="609" w:type="pct"/>
            <w:gridSpan w:val="2"/>
            <w:tcBorders>
              <w:top w:val="single" w:color="auto"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臭气浓度</w:t>
            </w:r>
          </w:p>
        </w:tc>
        <w:tc>
          <w:tcPr>
            <w:tcW w:w="387" w:type="pct"/>
            <w:gridSpan w:val="2"/>
            <w:tcBorders>
              <w:top w:val="single" w:color="auto"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无量纲</w:t>
            </w:r>
          </w:p>
        </w:tc>
        <w:tc>
          <w:tcPr>
            <w:tcW w:w="406"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724</w:t>
            </w:r>
          </w:p>
        </w:tc>
        <w:tc>
          <w:tcPr>
            <w:tcW w:w="406"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549</w:t>
            </w:r>
          </w:p>
        </w:tc>
        <w:tc>
          <w:tcPr>
            <w:tcW w:w="406" w:type="pct"/>
            <w:tcBorders>
              <w:top w:val="single" w:color="auto"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724</w:t>
            </w:r>
          </w:p>
        </w:tc>
        <w:tc>
          <w:tcPr>
            <w:tcW w:w="414" w:type="pct"/>
            <w:gridSpan w:val="2"/>
            <w:tcBorders>
              <w:top w:val="single" w:color="auto"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724（最大值）</w:t>
            </w:r>
          </w:p>
        </w:tc>
        <w:tc>
          <w:tcPr>
            <w:tcW w:w="397"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1318</w:t>
            </w:r>
          </w:p>
        </w:tc>
        <w:tc>
          <w:tcPr>
            <w:tcW w:w="406"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977</w:t>
            </w:r>
          </w:p>
        </w:tc>
        <w:tc>
          <w:tcPr>
            <w:tcW w:w="406" w:type="pct"/>
            <w:tcBorders>
              <w:top w:val="single" w:color="auto"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977</w:t>
            </w:r>
          </w:p>
        </w:tc>
        <w:tc>
          <w:tcPr>
            <w:tcW w:w="429" w:type="pct"/>
            <w:gridSpan w:val="2"/>
            <w:tcBorders>
              <w:top w:val="single" w:color="auto"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1318（最大值）</w:t>
            </w:r>
          </w:p>
        </w:tc>
        <w:tc>
          <w:tcPr>
            <w:tcW w:w="378" w:type="pct"/>
            <w:tcBorders>
              <w:top w:val="single" w:color="auto"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1500</w:t>
            </w:r>
          </w:p>
        </w:tc>
        <w:tc>
          <w:tcPr>
            <w:tcW w:w="352" w:type="pct"/>
            <w:tcBorders>
              <w:top w:val="single" w:color="auto"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992" w:type="pct"/>
            <w:gridSpan w:val="3"/>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监测点位</w:t>
            </w:r>
          </w:p>
        </w:tc>
        <w:tc>
          <w:tcPr>
            <w:tcW w:w="4007" w:type="pct"/>
            <w:gridSpan w:val="13"/>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投料粉尘14#排气筒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99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项目</w:t>
            </w:r>
          </w:p>
        </w:tc>
        <w:tc>
          <w:tcPr>
            <w:tcW w:w="163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第一次</w:t>
            </w:r>
          </w:p>
        </w:tc>
        <w:tc>
          <w:tcPr>
            <w:tcW w:w="1639" w:type="pct"/>
            <w:gridSpan w:val="5"/>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第一次</w:t>
            </w:r>
          </w:p>
        </w:tc>
        <w:tc>
          <w:tcPr>
            <w:tcW w:w="382" w:type="pct"/>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52"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4" w:hRule="atLeast"/>
        </w:trPr>
        <w:tc>
          <w:tcPr>
            <w:tcW w:w="591"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烟气标干流量</w:t>
            </w:r>
          </w:p>
        </w:tc>
        <w:tc>
          <w:tcPr>
            <w:tcW w:w="401" w:type="pct"/>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163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483</w:t>
            </w:r>
          </w:p>
        </w:tc>
        <w:tc>
          <w:tcPr>
            <w:tcW w:w="1639" w:type="pct"/>
            <w:gridSpan w:val="5"/>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451</w:t>
            </w:r>
          </w:p>
        </w:tc>
        <w:tc>
          <w:tcPr>
            <w:tcW w:w="382" w:type="pct"/>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52"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591"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en-US" w:bidi="ar-SA"/>
              </w:rPr>
            </w:pPr>
            <w:r>
              <w:rPr>
                <w:rFonts w:hint="default"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sz w:val="21"/>
                <w:szCs w:val="21"/>
              </w:rPr>
              <w:t>排放浓度</w:t>
            </w:r>
          </w:p>
        </w:tc>
        <w:tc>
          <w:tcPr>
            <w:tcW w:w="401" w:type="pct"/>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rPr>
              <w:t>3</w:t>
            </w:r>
          </w:p>
        </w:tc>
        <w:tc>
          <w:tcPr>
            <w:tcW w:w="163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1.7</w:t>
            </w:r>
          </w:p>
        </w:tc>
        <w:tc>
          <w:tcPr>
            <w:tcW w:w="1639" w:type="pct"/>
            <w:gridSpan w:val="5"/>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1.4</w:t>
            </w:r>
          </w:p>
        </w:tc>
        <w:tc>
          <w:tcPr>
            <w:tcW w:w="382" w:type="pct"/>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120</w:t>
            </w:r>
          </w:p>
        </w:tc>
        <w:tc>
          <w:tcPr>
            <w:tcW w:w="352"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591"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sz w:val="21"/>
                <w:szCs w:val="21"/>
              </w:rPr>
              <w:t>排放速率</w:t>
            </w:r>
          </w:p>
        </w:tc>
        <w:tc>
          <w:tcPr>
            <w:tcW w:w="401" w:type="pct"/>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kg/h</w:t>
            </w:r>
          </w:p>
        </w:tc>
        <w:tc>
          <w:tcPr>
            <w:tcW w:w="163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8.21×10</w:t>
            </w:r>
            <w:r>
              <w:rPr>
                <w:rFonts w:hint="default" w:ascii="Times New Roman" w:hAnsi="Times New Roman" w:eastAsia="宋体" w:cs="Times New Roman"/>
                <w:color w:val="auto"/>
                <w:sz w:val="21"/>
                <w:szCs w:val="21"/>
                <w:vertAlign w:val="superscript"/>
                <w:lang w:val="en-US" w:eastAsia="zh-CN"/>
              </w:rPr>
              <w:t>-4</w:t>
            </w:r>
          </w:p>
        </w:tc>
        <w:tc>
          <w:tcPr>
            <w:tcW w:w="1639" w:type="pct"/>
            <w:gridSpan w:val="5"/>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6.31×10</w:t>
            </w:r>
            <w:r>
              <w:rPr>
                <w:rFonts w:hint="default" w:ascii="Times New Roman" w:hAnsi="Times New Roman" w:eastAsia="宋体" w:cs="Times New Roman"/>
                <w:color w:val="auto"/>
                <w:sz w:val="21"/>
                <w:szCs w:val="21"/>
                <w:vertAlign w:val="superscript"/>
                <w:lang w:val="en-US" w:eastAsia="zh-CN"/>
              </w:rPr>
              <w:t>-4</w:t>
            </w:r>
          </w:p>
        </w:tc>
        <w:tc>
          <w:tcPr>
            <w:tcW w:w="382" w:type="pct"/>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24</w:t>
            </w:r>
          </w:p>
        </w:tc>
        <w:tc>
          <w:tcPr>
            <w:tcW w:w="352"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bl>
    <w:p>
      <w:pPr>
        <w:pStyle w:val="2"/>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b w:val="0"/>
          <w:bCs/>
          <w:color w:val="auto"/>
          <w:sz w:val="18"/>
          <w:szCs w:val="18"/>
          <w:lang w:val="en-US" w:eastAsia="zh-CN"/>
        </w:rPr>
        <w:sectPr>
          <w:pgSz w:w="16838" w:h="11911" w:orient="landscape"/>
          <w:pgMar w:top="1678" w:right="1463" w:bottom="1678" w:left="1463" w:header="907" w:footer="884" w:gutter="0"/>
          <w:pgBorders>
            <w:top w:val="none" w:sz="0" w:space="0"/>
            <w:left w:val="none" w:sz="0" w:space="0"/>
            <w:bottom w:val="none" w:sz="0" w:space="0"/>
            <w:right w:val="none" w:sz="0" w:space="0"/>
          </w:pgBorders>
          <w:pgNumType w:fmt="decimal"/>
          <w:cols w:space="0" w:num="1"/>
          <w:rtlGutter w:val="0"/>
          <w:docGrid w:type="lines" w:linePitch="0" w:charSpace="0"/>
        </w:sectPr>
      </w:pPr>
    </w:p>
    <w:p>
      <w:pPr>
        <w:keepNext w:val="0"/>
        <w:keepLines w:val="0"/>
        <w:pageBreakBefore w:val="0"/>
        <w:widowControl w:val="0"/>
        <w:kinsoku/>
        <w:wordWrap/>
        <w:overflowPunct/>
        <w:topLinePunct w:val="0"/>
        <w:autoSpaceDE w:val="0"/>
        <w:autoSpaceDN w:val="0"/>
        <w:bidi w:val="0"/>
        <w:adjustRightInd/>
        <w:snapToGrid/>
        <w:spacing w:after="0" w:line="384" w:lineRule="auto"/>
        <w:ind w:left="0" w:leftChars="0" w:right="0" w:rightChars="0" w:firstLine="0" w:firstLineChars="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10.</w:t>
      </w: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3 有组织废气监测</w:t>
      </w:r>
      <w:r>
        <w:rPr>
          <w:rFonts w:hint="default" w:ascii="Times New Roman" w:hAnsi="Times New Roman" w:eastAsia="宋体" w:cs="Times New Roman"/>
          <w:b/>
          <w:bCs/>
          <w:color w:val="auto"/>
          <w:sz w:val="24"/>
          <w:szCs w:val="24"/>
        </w:rPr>
        <w:t>结果评价</w:t>
      </w:r>
    </w:p>
    <w:p>
      <w:pPr>
        <w:keepNext w:val="0"/>
        <w:keepLines w:val="0"/>
        <w:pageBreakBefore w:val="0"/>
        <w:widowControl w:val="0"/>
        <w:kinsoku/>
        <w:wordWrap/>
        <w:overflowPunct/>
        <w:topLinePunct w:val="0"/>
        <w:autoSpaceDE w:val="0"/>
        <w:autoSpaceDN w:val="0"/>
        <w:bidi w:val="0"/>
        <w:adjustRightInd/>
        <w:snapToGrid/>
        <w:spacing w:after="0" w:line="384" w:lineRule="auto"/>
        <w:ind w:left="0" w:leftChars="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监测结果表明：</w:t>
      </w:r>
      <w:r>
        <w:rPr>
          <w:rFonts w:hint="default" w:ascii="Times New Roman" w:hAnsi="Times New Roman" w:eastAsia="宋体" w:cs="Times New Roman"/>
          <w:color w:val="auto"/>
          <w:sz w:val="24"/>
          <w:szCs w:val="24"/>
          <w:lang w:val="en-US" w:eastAsia="zh-CN"/>
        </w:rPr>
        <w:t>验收监测期间，</w:t>
      </w:r>
      <w:r>
        <w:rPr>
          <w:rFonts w:hint="default" w:ascii="Times New Roman" w:hAnsi="Times New Roman" w:eastAsia="宋体" w:cs="Times New Roman"/>
          <w:color w:val="auto"/>
          <w:sz w:val="24"/>
          <w:szCs w:val="24"/>
          <w:lang w:eastAsia="zh-CN"/>
        </w:rPr>
        <w:t>本项目在异丙醇系列、异辛醇系列、三羟甲基丙烷系列</w:t>
      </w:r>
      <w:r>
        <w:rPr>
          <w:rFonts w:hint="default" w:ascii="Times New Roman" w:hAnsi="Times New Roman" w:eastAsia="宋体" w:cs="Times New Roman"/>
          <w:color w:val="auto"/>
          <w:sz w:val="24"/>
          <w:szCs w:val="24"/>
          <w:lang w:val="en-US" w:eastAsia="zh-CN"/>
        </w:rPr>
        <w:t>三种产品生产工况下，甲类装置区工艺废气15#排气筒排放废气中非甲烷总烃排放浓度及排放速率满足</w:t>
      </w:r>
      <w:r>
        <w:rPr>
          <w:rFonts w:hint="default" w:ascii="Times New Roman" w:hAnsi="Times New Roman" w:eastAsia="宋体" w:cs="Times New Roman"/>
          <w:color w:val="auto"/>
          <w:sz w:val="24"/>
          <w:szCs w:val="24"/>
        </w:rPr>
        <w:t>江苏省地方标准《化学工业挥发性有机物排放标准》（DB32/3151-2016）</w:t>
      </w:r>
      <w:r>
        <w:rPr>
          <w:rFonts w:hint="default" w:ascii="Times New Roman" w:hAnsi="Times New Roman" w:eastAsia="宋体" w:cs="Times New Roman"/>
          <w:color w:val="auto"/>
          <w:sz w:val="24"/>
          <w:szCs w:val="24"/>
          <w:lang w:eastAsia="zh-CN"/>
        </w:rPr>
        <w:t>表</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中限值要求，臭气浓度</w:t>
      </w:r>
      <w:r>
        <w:rPr>
          <w:rFonts w:hint="default" w:ascii="Times New Roman" w:hAnsi="Times New Roman" w:eastAsia="宋体" w:cs="Times New Roman"/>
          <w:color w:val="auto"/>
          <w:sz w:val="24"/>
          <w:szCs w:val="24"/>
          <w:lang w:val="en-US" w:eastAsia="zh-CN"/>
        </w:rPr>
        <w:t>排放浓度最大值满足</w:t>
      </w:r>
      <w:r>
        <w:rPr>
          <w:rFonts w:hint="default" w:ascii="Times New Roman" w:hAnsi="Times New Roman" w:eastAsia="宋体" w:cs="Times New Roman"/>
          <w:color w:val="auto"/>
          <w:sz w:val="24"/>
          <w:szCs w:val="24"/>
        </w:rPr>
        <w:t>《化学工业挥发性有机物排放标准》（DB32/3151-2016）</w:t>
      </w:r>
      <w:r>
        <w:rPr>
          <w:rFonts w:hint="default" w:ascii="Times New Roman" w:hAnsi="Times New Roman" w:eastAsia="宋体" w:cs="Times New Roman"/>
          <w:color w:val="auto"/>
          <w:sz w:val="24"/>
          <w:szCs w:val="24"/>
          <w:lang w:eastAsia="zh-CN"/>
        </w:rPr>
        <w:t>表</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中限值要求，</w:t>
      </w:r>
      <w:r>
        <w:rPr>
          <w:rFonts w:hint="default" w:ascii="Times New Roman" w:hAnsi="Times New Roman" w:eastAsia="宋体" w:cs="Times New Roman"/>
          <w:color w:val="auto"/>
          <w:sz w:val="24"/>
          <w:szCs w:val="24"/>
          <w:lang w:val="en-US" w:eastAsia="zh-CN"/>
        </w:rPr>
        <w:t>异丙醇排放速率满足环评制定标准限值要求；投料粉尘14#排气筒排放废气中颗粒物排放浓度值及排放速率均满足</w:t>
      </w:r>
      <w:r>
        <w:rPr>
          <w:rFonts w:hint="default" w:ascii="Times New Roman" w:hAnsi="Times New Roman" w:eastAsia="宋体" w:cs="Times New Roman"/>
          <w:color w:val="auto"/>
          <w:sz w:val="24"/>
          <w:szCs w:val="24"/>
        </w:rPr>
        <w:t>《大气污染物综合排放标准》（GB16297-1996）表2二级标准</w:t>
      </w:r>
      <w:r>
        <w:rPr>
          <w:rFonts w:hint="default" w:ascii="Times New Roman" w:hAnsi="Times New Roman" w:eastAsia="宋体" w:cs="Times New Roman"/>
          <w:color w:val="auto"/>
          <w:sz w:val="24"/>
          <w:szCs w:val="24"/>
          <w:lang w:eastAsia="zh-CN"/>
        </w:rPr>
        <w:t>限值要求。</w:t>
      </w:r>
    </w:p>
    <w:p>
      <w:pPr>
        <w:pStyle w:val="2"/>
        <w:rPr>
          <w:rFonts w:hint="default" w:ascii="Times New Roman" w:hAnsi="Times New Roman" w:eastAsia="宋体" w:cs="Times New Roman"/>
          <w:color w:val="auto"/>
          <w:lang w:val="en-US" w:eastAsia="zh-CN"/>
        </w:rPr>
      </w:pPr>
    </w:p>
    <w:p>
      <w:pPr>
        <w:pStyle w:val="2"/>
        <w:rPr>
          <w:rFonts w:hint="default" w:ascii="Times New Roman" w:hAnsi="Times New Roman" w:eastAsia="宋体" w:cs="Times New Roman"/>
          <w:color w:val="auto"/>
          <w:lang w:val="en-US" w:eastAsia="zh-CN"/>
        </w:rPr>
        <w:sectPr>
          <w:pgSz w:w="11911" w:h="16838"/>
          <w:pgMar w:top="1463" w:right="1678" w:bottom="1463" w:left="1678" w:header="907" w:footer="884" w:gutter="0"/>
          <w:pgBorders>
            <w:top w:val="none" w:sz="0" w:space="0"/>
            <w:left w:val="none" w:sz="0" w:space="0"/>
            <w:bottom w:val="none" w:sz="0" w:space="0"/>
            <w:right w:val="none" w:sz="0" w:space="0"/>
          </w:pgBorders>
          <w:pgNumType w:fmt="decimal"/>
          <w:cols w:space="0" w:num="1"/>
          <w:rtlGutter w:val="0"/>
          <w:docGrid w:type="lines" w:linePitch="0" w:charSpace="0"/>
        </w:sectPr>
      </w:pPr>
    </w:p>
    <w:p>
      <w:pPr>
        <w:pStyle w:val="4"/>
        <w:keepNext w:val="0"/>
        <w:keepLines w:val="0"/>
        <w:pageBreakBefore w:val="0"/>
        <w:widowControl w:val="0"/>
        <w:kinsoku/>
        <w:wordWrap/>
        <w:overflowPunct/>
        <w:topLinePunct w:val="0"/>
        <w:bidi w:val="0"/>
        <w:adjustRightInd/>
        <w:snapToGrid/>
        <w:spacing w:before="0" w:after="0" w:line="360" w:lineRule="auto"/>
        <w:ind w:left="0" w:leftChars="0" w:right="0" w:rightChars="0" w:firstLine="0" w:firstLineChars="0"/>
        <w:textAlignment w:val="auto"/>
        <w:rPr>
          <w:rFonts w:hint="default" w:ascii="Times New Roman" w:hAnsi="Times New Roman" w:eastAsia="宋体" w:cs="Times New Roman"/>
          <w:color w:val="auto"/>
          <w:sz w:val="28"/>
          <w:szCs w:val="28"/>
        </w:rPr>
      </w:pPr>
      <w:bookmarkStart w:id="95" w:name="_Toc22595"/>
      <w:bookmarkStart w:id="96" w:name="_Toc21521"/>
      <w:bookmarkStart w:id="97" w:name="_Toc6525"/>
      <w:r>
        <w:rPr>
          <w:rFonts w:hint="default" w:ascii="Times New Roman" w:hAnsi="Times New Roman" w:eastAsia="宋体" w:cs="Times New Roman"/>
          <w:color w:val="auto"/>
          <w:sz w:val="28"/>
          <w:szCs w:val="28"/>
        </w:rPr>
        <w:t>10.3</w:t>
      </w:r>
      <w:r>
        <w:rPr>
          <w:rFonts w:hint="default" w:ascii="Times New Roman" w:hAnsi="Times New Roman" w:eastAsia="宋体" w:cs="Times New Roman"/>
          <w:color w:val="auto"/>
          <w:sz w:val="28"/>
          <w:szCs w:val="28"/>
          <w:lang w:val="en-US" w:eastAsia="zh-CN"/>
        </w:rPr>
        <w:t xml:space="preserve"> </w:t>
      </w:r>
      <w:r>
        <w:rPr>
          <w:rFonts w:hint="default" w:ascii="Times New Roman" w:hAnsi="Times New Roman" w:eastAsia="宋体" w:cs="Times New Roman"/>
          <w:color w:val="auto"/>
          <w:sz w:val="28"/>
          <w:szCs w:val="28"/>
        </w:rPr>
        <w:t>噪声监测结果及分析评价</w:t>
      </w:r>
      <w:bookmarkEnd w:id="95"/>
      <w:bookmarkEnd w:id="96"/>
      <w:bookmarkEnd w:id="97"/>
    </w:p>
    <w:p>
      <w:pPr>
        <w:keepNext w:val="0"/>
        <w:keepLines w:val="0"/>
        <w:pageBreakBefore w:val="0"/>
        <w:widowControl w:val="0"/>
        <w:kinsoku/>
        <w:wordWrap/>
        <w:overflowPunct/>
        <w:topLinePunct w:val="0"/>
        <w:bidi w:val="0"/>
        <w:adjustRightInd/>
        <w:snapToGrid/>
        <w:spacing w:after="0" w:line="360" w:lineRule="auto"/>
        <w:ind w:left="0" w:leftChars="0" w:right="0" w:rightChars="0" w:firstLine="0" w:firstLineChars="0"/>
        <w:textAlignment w:val="auto"/>
        <w:rPr>
          <w:rFonts w:hint="default" w:ascii="Times New Roman" w:hAnsi="Times New Roman" w:eastAsia="宋体" w:cs="Times New Roman"/>
          <w:b/>
          <w:bCs/>
          <w:color w:val="auto"/>
          <w:sz w:val="24"/>
          <w:szCs w:val="24"/>
        </w:rPr>
      </w:pPr>
      <w:bookmarkStart w:id="98" w:name="_Toc10025"/>
      <w:bookmarkStart w:id="99" w:name="_Toc18269"/>
      <w:bookmarkStart w:id="100" w:name="_Toc27410"/>
      <w:bookmarkStart w:id="101" w:name="_Toc7445"/>
      <w:r>
        <w:rPr>
          <w:rFonts w:hint="default" w:ascii="Times New Roman" w:hAnsi="Times New Roman" w:eastAsia="宋体" w:cs="Times New Roman"/>
          <w:b/>
          <w:bCs/>
          <w:color w:val="auto"/>
          <w:sz w:val="24"/>
          <w:szCs w:val="24"/>
        </w:rPr>
        <w:t>10.</w:t>
      </w: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 xml:space="preserve">1 </w:t>
      </w:r>
      <w:r>
        <w:rPr>
          <w:rFonts w:hint="default" w:ascii="Times New Roman" w:hAnsi="Times New Roman" w:eastAsia="宋体" w:cs="Times New Roman"/>
          <w:b/>
          <w:bCs/>
          <w:color w:val="auto"/>
          <w:sz w:val="24"/>
          <w:szCs w:val="24"/>
          <w:lang w:eastAsia="zh-CN"/>
        </w:rPr>
        <w:t>噪声</w:t>
      </w:r>
      <w:r>
        <w:rPr>
          <w:rFonts w:hint="default" w:ascii="Times New Roman" w:hAnsi="Times New Roman" w:eastAsia="宋体" w:cs="Times New Roman"/>
          <w:b/>
          <w:bCs/>
          <w:color w:val="auto"/>
          <w:sz w:val="24"/>
          <w:szCs w:val="24"/>
        </w:rPr>
        <w:t>监测结果</w:t>
      </w:r>
    </w:p>
    <w:p>
      <w:pPr>
        <w:pStyle w:val="2"/>
        <w:keepNext w:val="0"/>
        <w:keepLines w:val="0"/>
        <w:pageBreakBefore w:val="0"/>
        <w:widowControl w:val="0"/>
        <w:kinsoku/>
        <w:wordWrap/>
        <w:overflowPunct/>
        <w:topLinePunct w:val="0"/>
        <w:autoSpaceDE w:val="0"/>
        <w:autoSpaceDN w:val="0"/>
        <w:bidi w:val="0"/>
        <w:adjustRightInd w:val="0"/>
        <w:snapToGrid/>
        <w:spacing w:line="312" w:lineRule="auto"/>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表10.3-1  异丙醇系列产品工况噪声监测结果表</w:t>
      </w:r>
    </w:p>
    <w:tbl>
      <w:tblPr>
        <w:tblStyle w:val="23"/>
        <w:tblW w:w="4997"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188"/>
        <w:gridCol w:w="1403"/>
        <w:gridCol w:w="1395"/>
        <w:gridCol w:w="1193"/>
        <w:gridCol w:w="1196"/>
        <w:gridCol w:w="1193"/>
        <w:gridCol w:w="119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77"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测点编号</w:t>
            </w:r>
          </w:p>
        </w:tc>
        <w:tc>
          <w:tcPr>
            <w:tcW w:w="800"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测点位置</w:t>
            </w:r>
          </w:p>
        </w:tc>
        <w:tc>
          <w:tcPr>
            <w:tcW w:w="795"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测量时间</w:t>
            </w:r>
          </w:p>
        </w:tc>
        <w:tc>
          <w:tcPr>
            <w:tcW w:w="136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等 效 声 级dB（A）</w:t>
            </w:r>
          </w:p>
        </w:tc>
        <w:tc>
          <w:tcPr>
            <w:tcW w:w="1363"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风速m/s</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77"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rFonts w:hint="default" w:ascii="Times New Roman" w:hAnsi="Times New Roman" w:eastAsia="宋体" w:cs="Times New Roman"/>
                <w:b/>
                <w:bCs/>
                <w:color w:val="auto"/>
                <w:kern w:val="0"/>
                <w:sz w:val="21"/>
                <w:szCs w:val="21"/>
              </w:rPr>
            </w:pPr>
          </w:p>
        </w:tc>
        <w:tc>
          <w:tcPr>
            <w:tcW w:w="800"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b/>
                <w:bCs/>
                <w:color w:val="auto"/>
                <w:kern w:val="0"/>
                <w:sz w:val="21"/>
                <w:szCs w:val="21"/>
              </w:rPr>
            </w:pPr>
          </w:p>
        </w:tc>
        <w:tc>
          <w:tcPr>
            <w:tcW w:w="795"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b/>
                <w:bCs/>
                <w:color w:val="auto"/>
                <w:kern w:val="0"/>
                <w:sz w:val="21"/>
                <w:szCs w:val="21"/>
              </w:rPr>
            </w:pPr>
          </w:p>
        </w:tc>
        <w:tc>
          <w:tcPr>
            <w:tcW w:w="6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昼间</w:t>
            </w:r>
          </w:p>
        </w:tc>
        <w:tc>
          <w:tcPr>
            <w:tcW w:w="6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夜间</w:t>
            </w:r>
          </w:p>
        </w:tc>
        <w:tc>
          <w:tcPr>
            <w:tcW w:w="6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昼间</w:t>
            </w:r>
          </w:p>
        </w:tc>
        <w:tc>
          <w:tcPr>
            <w:tcW w:w="68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夜间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77"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N1</w:t>
            </w:r>
          </w:p>
        </w:tc>
        <w:tc>
          <w:tcPr>
            <w:tcW w:w="80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lang w:val="en-US" w:eastAsia="zh-CN"/>
              </w:rPr>
              <w:t>北侧厂外1m</w:t>
            </w:r>
          </w:p>
        </w:tc>
        <w:tc>
          <w:tcPr>
            <w:tcW w:w="795"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2021.7.21</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53.4</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49.0</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2.3</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77"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rPr>
              <w:t>N</w:t>
            </w:r>
            <w:r>
              <w:rPr>
                <w:rFonts w:hint="default" w:ascii="Times New Roman" w:hAnsi="Times New Roman" w:eastAsia="宋体" w:cs="Times New Roman"/>
                <w:color w:val="auto"/>
                <w:spacing w:val="20"/>
                <w:kern w:val="0"/>
                <w:sz w:val="21"/>
                <w:szCs w:val="21"/>
                <w:lang w:val="en-US" w:eastAsia="zh-CN"/>
              </w:rPr>
              <w:t>2</w:t>
            </w:r>
          </w:p>
        </w:tc>
        <w:tc>
          <w:tcPr>
            <w:tcW w:w="80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lang w:val="en-US" w:eastAsia="zh-CN"/>
              </w:rPr>
              <w:t>北侧厂外1m</w:t>
            </w:r>
          </w:p>
        </w:tc>
        <w:tc>
          <w:tcPr>
            <w:tcW w:w="795"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z w:val="21"/>
                <w:szCs w:val="21"/>
              </w:rPr>
            </w:pP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54.6</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50.7</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2.3</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77"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rPr>
              <w:t>N</w:t>
            </w:r>
            <w:r>
              <w:rPr>
                <w:rFonts w:hint="default" w:ascii="Times New Roman" w:hAnsi="Times New Roman" w:eastAsia="宋体" w:cs="Times New Roman"/>
                <w:color w:val="auto"/>
                <w:spacing w:val="20"/>
                <w:kern w:val="0"/>
                <w:sz w:val="21"/>
                <w:szCs w:val="21"/>
                <w:lang w:val="en-US" w:eastAsia="zh-CN"/>
              </w:rPr>
              <w:t>3</w:t>
            </w:r>
          </w:p>
        </w:tc>
        <w:tc>
          <w:tcPr>
            <w:tcW w:w="80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lang w:val="en-US" w:eastAsia="zh-CN"/>
              </w:rPr>
              <w:t>东侧厂外1m</w:t>
            </w:r>
          </w:p>
        </w:tc>
        <w:tc>
          <w:tcPr>
            <w:tcW w:w="795"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z w:val="21"/>
                <w:szCs w:val="21"/>
              </w:rPr>
            </w:pP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56.2</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52.4</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2.3</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77"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rPr>
              <w:t>N</w:t>
            </w:r>
            <w:r>
              <w:rPr>
                <w:rFonts w:hint="default" w:ascii="Times New Roman" w:hAnsi="Times New Roman" w:eastAsia="宋体" w:cs="Times New Roman"/>
                <w:color w:val="auto"/>
                <w:spacing w:val="20"/>
                <w:kern w:val="0"/>
                <w:sz w:val="21"/>
                <w:szCs w:val="21"/>
                <w:lang w:val="en-US" w:eastAsia="zh-CN"/>
              </w:rPr>
              <w:t>4</w:t>
            </w:r>
          </w:p>
        </w:tc>
        <w:tc>
          <w:tcPr>
            <w:tcW w:w="80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lang w:val="en-US" w:eastAsia="zh-CN"/>
              </w:rPr>
              <w:t>东侧厂外1m</w:t>
            </w:r>
          </w:p>
        </w:tc>
        <w:tc>
          <w:tcPr>
            <w:tcW w:w="795"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z w:val="21"/>
                <w:szCs w:val="21"/>
              </w:rPr>
            </w:pP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56.2</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52.6</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2.3</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77"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rPr>
              <w:t>N</w:t>
            </w:r>
            <w:r>
              <w:rPr>
                <w:rFonts w:hint="default" w:ascii="Times New Roman" w:hAnsi="Times New Roman" w:eastAsia="宋体" w:cs="Times New Roman"/>
                <w:color w:val="auto"/>
                <w:spacing w:val="20"/>
                <w:kern w:val="0"/>
                <w:sz w:val="21"/>
                <w:szCs w:val="21"/>
                <w:lang w:val="en-US" w:eastAsia="zh-CN"/>
              </w:rPr>
              <w:t>5</w:t>
            </w:r>
          </w:p>
        </w:tc>
        <w:tc>
          <w:tcPr>
            <w:tcW w:w="80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lang w:val="en-US" w:eastAsia="zh-CN"/>
              </w:rPr>
              <w:t>南侧厂外1m</w:t>
            </w:r>
          </w:p>
        </w:tc>
        <w:tc>
          <w:tcPr>
            <w:tcW w:w="795"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z w:val="21"/>
                <w:szCs w:val="21"/>
              </w:rPr>
            </w:pP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57.7</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53.3</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2.4</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77"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rPr>
              <w:t>N</w:t>
            </w:r>
            <w:r>
              <w:rPr>
                <w:rFonts w:hint="default" w:ascii="Times New Roman" w:hAnsi="Times New Roman" w:eastAsia="宋体" w:cs="Times New Roman"/>
                <w:color w:val="auto"/>
                <w:spacing w:val="20"/>
                <w:kern w:val="0"/>
                <w:sz w:val="21"/>
                <w:szCs w:val="21"/>
                <w:lang w:val="en-US" w:eastAsia="zh-CN"/>
              </w:rPr>
              <w:t>6</w:t>
            </w:r>
          </w:p>
        </w:tc>
        <w:tc>
          <w:tcPr>
            <w:tcW w:w="80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lang w:val="en-US" w:eastAsia="zh-CN"/>
              </w:rPr>
              <w:t>南侧厂外1m</w:t>
            </w:r>
          </w:p>
        </w:tc>
        <w:tc>
          <w:tcPr>
            <w:tcW w:w="795"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z w:val="21"/>
                <w:szCs w:val="21"/>
              </w:rPr>
            </w:pP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56.1</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52.2</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2.4</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77"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rPr>
              <w:t>N</w:t>
            </w:r>
            <w:r>
              <w:rPr>
                <w:rFonts w:hint="default" w:ascii="Times New Roman" w:hAnsi="Times New Roman" w:eastAsia="宋体" w:cs="Times New Roman"/>
                <w:color w:val="auto"/>
                <w:spacing w:val="20"/>
                <w:kern w:val="0"/>
                <w:sz w:val="21"/>
                <w:szCs w:val="21"/>
                <w:lang w:val="en-US" w:eastAsia="zh-CN"/>
              </w:rPr>
              <w:t>7</w:t>
            </w:r>
          </w:p>
        </w:tc>
        <w:tc>
          <w:tcPr>
            <w:tcW w:w="80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lang w:val="en-US" w:eastAsia="zh-CN"/>
              </w:rPr>
              <w:t>西侧厂外1m</w:t>
            </w:r>
          </w:p>
        </w:tc>
        <w:tc>
          <w:tcPr>
            <w:tcW w:w="795"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z w:val="21"/>
                <w:szCs w:val="21"/>
              </w:rPr>
            </w:pP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53.9</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48.5</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2.4</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77"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rPr>
              <w:t>N</w:t>
            </w:r>
            <w:r>
              <w:rPr>
                <w:rFonts w:hint="default" w:ascii="Times New Roman" w:hAnsi="Times New Roman" w:eastAsia="宋体" w:cs="Times New Roman"/>
                <w:color w:val="auto"/>
                <w:spacing w:val="20"/>
                <w:kern w:val="0"/>
                <w:sz w:val="21"/>
                <w:szCs w:val="21"/>
                <w:lang w:val="en-US" w:eastAsia="zh-CN"/>
              </w:rPr>
              <w:t>8</w:t>
            </w:r>
          </w:p>
        </w:tc>
        <w:tc>
          <w:tcPr>
            <w:tcW w:w="80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lang w:val="en-US" w:eastAsia="zh-CN"/>
              </w:rPr>
              <w:t>西侧厂外1m</w:t>
            </w:r>
          </w:p>
        </w:tc>
        <w:tc>
          <w:tcPr>
            <w:tcW w:w="795"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z w:val="21"/>
                <w:szCs w:val="21"/>
              </w:rPr>
            </w:pP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54.4</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50.6</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2.4</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77"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N1</w:t>
            </w:r>
          </w:p>
        </w:tc>
        <w:tc>
          <w:tcPr>
            <w:tcW w:w="80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lang w:val="en-US" w:eastAsia="zh-CN"/>
              </w:rPr>
              <w:t>北侧厂外1m</w:t>
            </w:r>
          </w:p>
        </w:tc>
        <w:tc>
          <w:tcPr>
            <w:tcW w:w="795"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2021.7.22</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53.4</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49.2</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2.1</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77"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rPr>
              <w:t>N</w:t>
            </w:r>
            <w:r>
              <w:rPr>
                <w:rFonts w:hint="default" w:ascii="Times New Roman" w:hAnsi="Times New Roman" w:eastAsia="宋体" w:cs="Times New Roman"/>
                <w:color w:val="auto"/>
                <w:spacing w:val="20"/>
                <w:kern w:val="0"/>
                <w:sz w:val="21"/>
                <w:szCs w:val="21"/>
                <w:lang w:val="en-US" w:eastAsia="zh-CN"/>
              </w:rPr>
              <w:t>2</w:t>
            </w:r>
          </w:p>
        </w:tc>
        <w:tc>
          <w:tcPr>
            <w:tcW w:w="80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lang w:val="en-US" w:eastAsia="zh-CN"/>
              </w:rPr>
              <w:t>北侧厂外1m</w:t>
            </w:r>
          </w:p>
        </w:tc>
        <w:tc>
          <w:tcPr>
            <w:tcW w:w="795"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z w:val="21"/>
                <w:szCs w:val="21"/>
              </w:rPr>
            </w:pP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54.5</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50.6</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2.1</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77"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rPr>
              <w:t>N</w:t>
            </w:r>
            <w:r>
              <w:rPr>
                <w:rFonts w:hint="default" w:ascii="Times New Roman" w:hAnsi="Times New Roman" w:eastAsia="宋体" w:cs="Times New Roman"/>
                <w:color w:val="auto"/>
                <w:spacing w:val="20"/>
                <w:kern w:val="0"/>
                <w:sz w:val="21"/>
                <w:szCs w:val="21"/>
                <w:lang w:val="en-US" w:eastAsia="zh-CN"/>
              </w:rPr>
              <w:t>3</w:t>
            </w:r>
          </w:p>
        </w:tc>
        <w:tc>
          <w:tcPr>
            <w:tcW w:w="80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lang w:val="en-US" w:eastAsia="zh-CN"/>
              </w:rPr>
              <w:t>东侧厂外1m</w:t>
            </w:r>
          </w:p>
        </w:tc>
        <w:tc>
          <w:tcPr>
            <w:tcW w:w="795"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z w:val="21"/>
                <w:szCs w:val="21"/>
              </w:rPr>
            </w:pP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56.6</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52.2</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2.1</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77"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rPr>
              <w:t>N</w:t>
            </w:r>
            <w:r>
              <w:rPr>
                <w:rFonts w:hint="default" w:ascii="Times New Roman" w:hAnsi="Times New Roman" w:eastAsia="宋体" w:cs="Times New Roman"/>
                <w:color w:val="auto"/>
                <w:spacing w:val="20"/>
                <w:kern w:val="0"/>
                <w:sz w:val="21"/>
                <w:szCs w:val="21"/>
                <w:lang w:val="en-US" w:eastAsia="zh-CN"/>
              </w:rPr>
              <w:t>4</w:t>
            </w:r>
          </w:p>
        </w:tc>
        <w:tc>
          <w:tcPr>
            <w:tcW w:w="80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lang w:val="en-US" w:eastAsia="zh-CN"/>
              </w:rPr>
              <w:t>东侧厂外1m</w:t>
            </w:r>
          </w:p>
        </w:tc>
        <w:tc>
          <w:tcPr>
            <w:tcW w:w="795"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z w:val="21"/>
                <w:szCs w:val="21"/>
              </w:rPr>
            </w:pP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56.2</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52.3</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2.1</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77"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rPr>
              <w:t>N</w:t>
            </w:r>
            <w:r>
              <w:rPr>
                <w:rFonts w:hint="default" w:ascii="Times New Roman" w:hAnsi="Times New Roman" w:eastAsia="宋体" w:cs="Times New Roman"/>
                <w:color w:val="auto"/>
                <w:spacing w:val="20"/>
                <w:kern w:val="0"/>
                <w:sz w:val="21"/>
                <w:szCs w:val="21"/>
                <w:lang w:val="en-US" w:eastAsia="zh-CN"/>
              </w:rPr>
              <w:t>5</w:t>
            </w:r>
          </w:p>
        </w:tc>
        <w:tc>
          <w:tcPr>
            <w:tcW w:w="80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lang w:val="en-US" w:eastAsia="zh-CN"/>
              </w:rPr>
              <w:t>南侧厂外1m</w:t>
            </w:r>
          </w:p>
        </w:tc>
        <w:tc>
          <w:tcPr>
            <w:tcW w:w="795"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z w:val="21"/>
                <w:szCs w:val="21"/>
              </w:rPr>
            </w:pP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57.2</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53.2</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2.3</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77"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rPr>
              <w:t>N</w:t>
            </w:r>
            <w:r>
              <w:rPr>
                <w:rFonts w:hint="default" w:ascii="Times New Roman" w:hAnsi="Times New Roman" w:eastAsia="宋体" w:cs="Times New Roman"/>
                <w:color w:val="auto"/>
                <w:spacing w:val="20"/>
                <w:kern w:val="0"/>
                <w:sz w:val="21"/>
                <w:szCs w:val="21"/>
                <w:lang w:val="en-US" w:eastAsia="zh-CN"/>
              </w:rPr>
              <w:t>6</w:t>
            </w:r>
          </w:p>
        </w:tc>
        <w:tc>
          <w:tcPr>
            <w:tcW w:w="80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lang w:val="en-US" w:eastAsia="zh-CN"/>
              </w:rPr>
              <w:t>南侧厂外1m</w:t>
            </w:r>
          </w:p>
        </w:tc>
        <w:tc>
          <w:tcPr>
            <w:tcW w:w="795"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z w:val="21"/>
                <w:szCs w:val="21"/>
              </w:rPr>
            </w:pP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56.3</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52.0</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2.3</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77"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rPr>
              <w:t>N</w:t>
            </w:r>
            <w:r>
              <w:rPr>
                <w:rFonts w:hint="default" w:ascii="Times New Roman" w:hAnsi="Times New Roman" w:eastAsia="宋体" w:cs="Times New Roman"/>
                <w:color w:val="auto"/>
                <w:spacing w:val="20"/>
                <w:kern w:val="0"/>
                <w:sz w:val="21"/>
                <w:szCs w:val="21"/>
                <w:lang w:val="en-US" w:eastAsia="zh-CN"/>
              </w:rPr>
              <w:t>7</w:t>
            </w:r>
          </w:p>
        </w:tc>
        <w:tc>
          <w:tcPr>
            <w:tcW w:w="80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lang w:val="en-US" w:eastAsia="zh-CN"/>
              </w:rPr>
              <w:t>西侧厂外1m</w:t>
            </w:r>
          </w:p>
        </w:tc>
        <w:tc>
          <w:tcPr>
            <w:tcW w:w="795"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z w:val="21"/>
                <w:szCs w:val="21"/>
              </w:rPr>
            </w:pP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53.6</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48.2</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2.3</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77"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rPr>
              <w:t>N</w:t>
            </w:r>
            <w:r>
              <w:rPr>
                <w:rFonts w:hint="default" w:ascii="Times New Roman" w:hAnsi="Times New Roman" w:eastAsia="宋体" w:cs="Times New Roman"/>
                <w:color w:val="auto"/>
                <w:spacing w:val="20"/>
                <w:kern w:val="0"/>
                <w:sz w:val="21"/>
                <w:szCs w:val="21"/>
                <w:lang w:val="en-US" w:eastAsia="zh-CN"/>
              </w:rPr>
              <w:t>8</w:t>
            </w:r>
          </w:p>
        </w:tc>
        <w:tc>
          <w:tcPr>
            <w:tcW w:w="80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lang w:val="en-US" w:eastAsia="zh-CN"/>
              </w:rPr>
              <w:t>西侧厂外1m</w:t>
            </w:r>
          </w:p>
        </w:tc>
        <w:tc>
          <w:tcPr>
            <w:tcW w:w="795"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z w:val="21"/>
                <w:szCs w:val="21"/>
              </w:rPr>
            </w:pP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54.8</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50.7</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2.3</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2.8</w:t>
            </w:r>
          </w:p>
        </w:tc>
      </w:tr>
    </w:tbl>
    <w:p>
      <w:pP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br w:type="page"/>
      </w:r>
    </w:p>
    <w:p>
      <w:pPr>
        <w:pStyle w:val="2"/>
        <w:keepNext w:val="0"/>
        <w:keepLines w:val="0"/>
        <w:pageBreakBefore w:val="0"/>
        <w:widowControl w:val="0"/>
        <w:kinsoku/>
        <w:wordWrap/>
        <w:overflowPunct/>
        <w:topLinePunct w:val="0"/>
        <w:autoSpaceDE w:val="0"/>
        <w:autoSpaceDN w:val="0"/>
        <w:bidi w:val="0"/>
        <w:adjustRightInd w:val="0"/>
        <w:snapToGrid/>
        <w:spacing w:line="312" w:lineRule="auto"/>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表10.3-2  异丙醇产品工况噪声监测结果表</w:t>
      </w:r>
    </w:p>
    <w:tbl>
      <w:tblPr>
        <w:tblStyle w:val="23"/>
        <w:tblW w:w="4997"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145"/>
        <w:gridCol w:w="1622"/>
        <w:gridCol w:w="1217"/>
        <w:gridCol w:w="1193"/>
        <w:gridCol w:w="1196"/>
        <w:gridCol w:w="1193"/>
        <w:gridCol w:w="120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53"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测点编号</w:t>
            </w:r>
          </w:p>
        </w:tc>
        <w:tc>
          <w:tcPr>
            <w:tcW w:w="925"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测点位置</w:t>
            </w:r>
          </w:p>
        </w:tc>
        <w:tc>
          <w:tcPr>
            <w:tcW w:w="694"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测量时间</w:t>
            </w:r>
          </w:p>
        </w:tc>
        <w:tc>
          <w:tcPr>
            <w:tcW w:w="136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等 效 声 级dB（A）</w:t>
            </w:r>
          </w:p>
        </w:tc>
        <w:tc>
          <w:tcPr>
            <w:tcW w:w="136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风速m/s</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53"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rFonts w:hint="default" w:ascii="Times New Roman" w:hAnsi="Times New Roman" w:eastAsia="宋体" w:cs="Times New Roman"/>
                <w:b/>
                <w:bCs/>
                <w:color w:val="auto"/>
                <w:kern w:val="0"/>
                <w:sz w:val="21"/>
                <w:szCs w:val="21"/>
              </w:rPr>
            </w:pPr>
          </w:p>
        </w:tc>
        <w:tc>
          <w:tcPr>
            <w:tcW w:w="925"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b/>
                <w:bCs/>
                <w:color w:val="auto"/>
                <w:kern w:val="0"/>
                <w:sz w:val="21"/>
                <w:szCs w:val="21"/>
              </w:rPr>
            </w:pPr>
          </w:p>
        </w:tc>
        <w:tc>
          <w:tcPr>
            <w:tcW w:w="694"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b/>
                <w:bCs/>
                <w:color w:val="auto"/>
                <w:kern w:val="0"/>
                <w:sz w:val="21"/>
                <w:szCs w:val="21"/>
              </w:rPr>
            </w:pPr>
          </w:p>
        </w:tc>
        <w:tc>
          <w:tcPr>
            <w:tcW w:w="6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昼间</w:t>
            </w:r>
          </w:p>
        </w:tc>
        <w:tc>
          <w:tcPr>
            <w:tcW w:w="6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夜间</w:t>
            </w:r>
          </w:p>
        </w:tc>
        <w:tc>
          <w:tcPr>
            <w:tcW w:w="6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昼间</w:t>
            </w:r>
          </w:p>
        </w:tc>
        <w:tc>
          <w:tcPr>
            <w:tcW w:w="68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夜间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5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N1</w:t>
            </w:r>
          </w:p>
        </w:tc>
        <w:tc>
          <w:tcPr>
            <w:tcW w:w="925"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lang w:val="en-US" w:eastAsia="zh-CN"/>
              </w:rPr>
              <w:t>北侧厂外1m</w:t>
            </w:r>
          </w:p>
        </w:tc>
        <w:tc>
          <w:tcPr>
            <w:tcW w:w="694"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2021.7.28</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53.5</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49.4</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2.1</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5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rPr>
              <w:t>N</w:t>
            </w:r>
            <w:r>
              <w:rPr>
                <w:rFonts w:hint="default" w:ascii="Times New Roman" w:hAnsi="Times New Roman" w:eastAsia="宋体" w:cs="Times New Roman"/>
                <w:color w:val="auto"/>
                <w:spacing w:val="20"/>
                <w:kern w:val="0"/>
                <w:sz w:val="21"/>
                <w:szCs w:val="21"/>
                <w:lang w:val="en-US" w:eastAsia="zh-CN"/>
              </w:rPr>
              <w:t>2</w:t>
            </w:r>
          </w:p>
        </w:tc>
        <w:tc>
          <w:tcPr>
            <w:tcW w:w="925"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lang w:val="en-US" w:eastAsia="zh-CN"/>
              </w:rPr>
              <w:t>北侧厂外1m</w:t>
            </w:r>
          </w:p>
        </w:tc>
        <w:tc>
          <w:tcPr>
            <w:tcW w:w="69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z w:val="21"/>
                <w:szCs w:val="21"/>
              </w:rPr>
            </w:pP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53.9</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50.4</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2.1</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5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rPr>
              <w:t>N</w:t>
            </w:r>
            <w:r>
              <w:rPr>
                <w:rFonts w:hint="default" w:ascii="Times New Roman" w:hAnsi="Times New Roman" w:eastAsia="宋体" w:cs="Times New Roman"/>
                <w:color w:val="auto"/>
                <w:spacing w:val="20"/>
                <w:kern w:val="0"/>
                <w:sz w:val="21"/>
                <w:szCs w:val="21"/>
                <w:lang w:val="en-US" w:eastAsia="zh-CN"/>
              </w:rPr>
              <w:t>3</w:t>
            </w:r>
          </w:p>
        </w:tc>
        <w:tc>
          <w:tcPr>
            <w:tcW w:w="925"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lang w:val="en-US" w:eastAsia="zh-CN"/>
              </w:rPr>
              <w:t>东侧厂外1m</w:t>
            </w:r>
          </w:p>
        </w:tc>
        <w:tc>
          <w:tcPr>
            <w:tcW w:w="69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z w:val="21"/>
                <w:szCs w:val="21"/>
              </w:rPr>
            </w:pP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56.4</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52.5</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2.1</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5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rPr>
              <w:t>N</w:t>
            </w:r>
            <w:r>
              <w:rPr>
                <w:rFonts w:hint="default" w:ascii="Times New Roman" w:hAnsi="Times New Roman" w:eastAsia="宋体" w:cs="Times New Roman"/>
                <w:color w:val="auto"/>
                <w:spacing w:val="20"/>
                <w:kern w:val="0"/>
                <w:sz w:val="21"/>
                <w:szCs w:val="21"/>
                <w:lang w:val="en-US" w:eastAsia="zh-CN"/>
              </w:rPr>
              <w:t>4</w:t>
            </w:r>
          </w:p>
        </w:tc>
        <w:tc>
          <w:tcPr>
            <w:tcW w:w="925"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lang w:val="en-US" w:eastAsia="zh-CN"/>
              </w:rPr>
              <w:t>东侧厂外1m</w:t>
            </w:r>
          </w:p>
        </w:tc>
        <w:tc>
          <w:tcPr>
            <w:tcW w:w="69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z w:val="21"/>
                <w:szCs w:val="21"/>
              </w:rPr>
            </w:pP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55.9</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52.7</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2.1</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5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rPr>
              <w:t>N</w:t>
            </w:r>
            <w:r>
              <w:rPr>
                <w:rFonts w:hint="default" w:ascii="Times New Roman" w:hAnsi="Times New Roman" w:eastAsia="宋体" w:cs="Times New Roman"/>
                <w:color w:val="auto"/>
                <w:spacing w:val="20"/>
                <w:kern w:val="0"/>
                <w:sz w:val="21"/>
                <w:szCs w:val="21"/>
                <w:lang w:val="en-US" w:eastAsia="zh-CN"/>
              </w:rPr>
              <w:t>5</w:t>
            </w:r>
          </w:p>
        </w:tc>
        <w:tc>
          <w:tcPr>
            <w:tcW w:w="925"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lang w:val="en-US" w:eastAsia="zh-CN"/>
              </w:rPr>
              <w:t>南侧厂外1m</w:t>
            </w:r>
          </w:p>
        </w:tc>
        <w:tc>
          <w:tcPr>
            <w:tcW w:w="69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z w:val="21"/>
                <w:szCs w:val="21"/>
              </w:rPr>
            </w:pP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56.5</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52.8</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2.2</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5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rPr>
              <w:t>N</w:t>
            </w:r>
            <w:r>
              <w:rPr>
                <w:rFonts w:hint="default" w:ascii="Times New Roman" w:hAnsi="Times New Roman" w:eastAsia="宋体" w:cs="Times New Roman"/>
                <w:color w:val="auto"/>
                <w:spacing w:val="20"/>
                <w:kern w:val="0"/>
                <w:sz w:val="21"/>
                <w:szCs w:val="21"/>
                <w:lang w:val="en-US" w:eastAsia="zh-CN"/>
              </w:rPr>
              <w:t>6</w:t>
            </w:r>
          </w:p>
        </w:tc>
        <w:tc>
          <w:tcPr>
            <w:tcW w:w="925"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lang w:val="en-US" w:eastAsia="zh-CN"/>
              </w:rPr>
              <w:t>南侧厂外1m</w:t>
            </w:r>
          </w:p>
        </w:tc>
        <w:tc>
          <w:tcPr>
            <w:tcW w:w="69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z w:val="21"/>
                <w:szCs w:val="21"/>
              </w:rPr>
            </w:pP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57.4</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52.0</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2.2</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5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rPr>
              <w:t>N</w:t>
            </w:r>
            <w:r>
              <w:rPr>
                <w:rFonts w:hint="default" w:ascii="Times New Roman" w:hAnsi="Times New Roman" w:eastAsia="宋体" w:cs="Times New Roman"/>
                <w:color w:val="auto"/>
                <w:spacing w:val="20"/>
                <w:kern w:val="0"/>
                <w:sz w:val="21"/>
                <w:szCs w:val="21"/>
                <w:lang w:val="en-US" w:eastAsia="zh-CN"/>
              </w:rPr>
              <w:t>7</w:t>
            </w:r>
          </w:p>
        </w:tc>
        <w:tc>
          <w:tcPr>
            <w:tcW w:w="925"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lang w:val="en-US" w:eastAsia="zh-CN"/>
              </w:rPr>
              <w:t>西侧厂外1m</w:t>
            </w:r>
          </w:p>
        </w:tc>
        <w:tc>
          <w:tcPr>
            <w:tcW w:w="69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z w:val="21"/>
                <w:szCs w:val="21"/>
              </w:rPr>
            </w:pP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53.3</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48.0</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2.2</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5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rPr>
              <w:t>N</w:t>
            </w:r>
            <w:r>
              <w:rPr>
                <w:rFonts w:hint="default" w:ascii="Times New Roman" w:hAnsi="Times New Roman" w:eastAsia="宋体" w:cs="Times New Roman"/>
                <w:color w:val="auto"/>
                <w:spacing w:val="20"/>
                <w:kern w:val="0"/>
                <w:sz w:val="21"/>
                <w:szCs w:val="21"/>
                <w:lang w:val="en-US" w:eastAsia="zh-CN"/>
              </w:rPr>
              <w:t>8</w:t>
            </w:r>
          </w:p>
        </w:tc>
        <w:tc>
          <w:tcPr>
            <w:tcW w:w="925"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lang w:val="en-US" w:eastAsia="zh-CN"/>
              </w:rPr>
              <w:t>西侧厂外1m</w:t>
            </w:r>
          </w:p>
        </w:tc>
        <w:tc>
          <w:tcPr>
            <w:tcW w:w="69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z w:val="21"/>
                <w:szCs w:val="21"/>
              </w:rPr>
            </w:pP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54.3</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51.1</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2.2</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5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N1</w:t>
            </w:r>
          </w:p>
        </w:tc>
        <w:tc>
          <w:tcPr>
            <w:tcW w:w="925"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lang w:val="en-US" w:eastAsia="zh-CN"/>
              </w:rPr>
              <w:t>北侧厂外1m</w:t>
            </w:r>
          </w:p>
        </w:tc>
        <w:tc>
          <w:tcPr>
            <w:tcW w:w="694"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2021.7.29</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53.6</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49.5</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2.0</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5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rPr>
              <w:t>N</w:t>
            </w:r>
            <w:r>
              <w:rPr>
                <w:rFonts w:hint="default" w:ascii="Times New Roman" w:hAnsi="Times New Roman" w:eastAsia="宋体" w:cs="Times New Roman"/>
                <w:color w:val="auto"/>
                <w:spacing w:val="20"/>
                <w:kern w:val="0"/>
                <w:sz w:val="21"/>
                <w:szCs w:val="21"/>
                <w:lang w:val="en-US" w:eastAsia="zh-CN"/>
              </w:rPr>
              <w:t>2</w:t>
            </w:r>
          </w:p>
        </w:tc>
        <w:tc>
          <w:tcPr>
            <w:tcW w:w="925"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lang w:val="en-US" w:eastAsia="zh-CN"/>
              </w:rPr>
              <w:t>北侧厂外1m</w:t>
            </w:r>
          </w:p>
        </w:tc>
        <w:tc>
          <w:tcPr>
            <w:tcW w:w="69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z w:val="21"/>
                <w:szCs w:val="21"/>
              </w:rPr>
            </w:pP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54.5</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50.9</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2.0</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5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rPr>
              <w:t>N</w:t>
            </w:r>
            <w:r>
              <w:rPr>
                <w:rFonts w:hint="default" w:ascii="Times New Roman" w:hAnsi="Times New Roman" w:eastAsia="宋体" w:cs="Times New Roman"/>
                <w:color w:val="auto"/>
                <w:spacing w:val="20"/>
                <w:kern w:val="0"/>
                <w:sz w:val="21"/>
                <w:szCs w:val="21"/>
                <w:lang w:val="en-US" w:eastAsia="zh-CN"/>
              </w:rPr>
              <w:t>3</w:t>
            </w:r>
          </w:p>
        </w:tc>
        <w:tc>
          <w:tcPr>
            <w:tcW w:w="925"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lang w:val="en-US" w:eastAsia="zh-CN"/>
              </w:rPr>
              <w:t>东侧厂外1m</w:t>
            </w:r>
          </w:p>
        </w:tc>
        <w:tc>
          <w:tcPr>
            <w:tcW w:w="69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z w:val="21"/>
                <w:szCs w:val="21"/>
              </w:rPr>
            </w:pP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56.3</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52.5</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2.0</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5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rPr>
              <w:t>N</w:t>
            </w:r>
            <w:r>
              <w:rPr>
                <w:rFonts w:hint="default" w:ascii="Times New Roman" w:hAnsi="Times New Roman" w:eastAsia="宋体" w:cs="Times New Roman"/>
                <w:color w:val="auto"/>
                <w:spacing w:val="20"/>
                <w:kern w:val="0"/>
                <w:sz w:val="21"/>
                <w:szCs w:val="21"/>
                <w:lang w:val="en-US" w:eastAsia="zh-CN"/>
              </w:rPr>
              <w:t>4</w:t>
            </w:r>
          </w:p>
        </w:tc>
        <w:tc>
          <w:tcPr>
            <w:tcW w:w="925"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lang w:val="en-US" w:eastAsia="zh-CN"/>
              </w:rPr>
              <w:t>东侧厂外1m</w:t>
            </w:r>
          </w:p>
        </w:tc>
        <w:tc>
          <w:tcPr>
            <w:tcW w:w="69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z w:val="21"/>
                <w:szCs w:val="21"/>
              </w:rPr>
            </w:pP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56.1</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52.1</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2.0</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567" w:hRule="atLeast"/>
          <w:jc w:val="center"/>
        </w:trPr>
        <w:tc>
          <w:tcPr>
            <w:tcW w:w="65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rPr>
              <w:t>N</w:t>
            </w:r>
            <w:r>
              <w:rPr>
                <w:rFonts w:hint="default" w:ascii="Times New Roman" w:hAnsi="Times New Roman" w:eastAsia="宋体" w:cs="Times New Roman"/>
                <w:color w:val="auto"/>
                <w:spacing w:val="20"/>
                <w:kern w:val="0"/>
                <w:sz w:val="21"/>
                <w:szCs w:val="21"/>
                <w:lang w:val="en-US" w:eastAsia="zh-CN"/>
              </w:rPr>
              <w:t>5</w:t>
            </w:r>
          </w:p>
        </w:tc>
        <w:tc>
          <w:tcPr>
            <w:tcW w:w="925"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lang w:val="en-US" w:eastAsia="zh-CN"/>
              </w:rPr>
              <w:t>南侧厂外1m</w:t>
            </w:r>
          </w:p>
        </w:tc>
        <w:tc>
          <w:tcPr>
            <w:tcW w:w="69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z w:val="21"/>
                <w:szCs w:val="21"/>
              </w:rPr>
            </w:pP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57.1</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53.1</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2.1</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5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rPr>
              <w:t>N</w:t>
            </w:r>
            <w:r>
              <w:rPr>
                <w:rFonts w:hint="default" w:ascii="Times New Roman" w:hAnsi="Times New Roman" w:eastAsia="宋体" w:cs="Times New Roman"/>
                <w:color w:val="auto"/>
                <w:spacing w:val="20"/>
                <w:kern w:val="0"/>
                <w:sz w:val="21"/>
                <w:szCs w:val="21"/>
                <w:lang w:val="en-US" w:eastAsia="zh-CN"/>
              </w:rPr>
              <w:t>6</w:t>
            </w:r>
          </w:p>
        </w:tc>
        <w:tc>
          <w:tcPr>
            <w:tcW w:w="925"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lang w:val="en-US" w:eastAsia="zh-CN"/>
              </w:rPr>
              <w:t>南侧厂外1m</w:t>
            </w:r>
          </w:p>
        </w:tc>
        <w:tc>
          <w:tcPr>
            <w:tcW w:w="69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z w:val="21"/>
                <w:szCs w:val="21"/>
              </w:rPr>
            </w:pP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55.4</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52.6</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2.1</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5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rPr>
              <w:t>N</w:t>
            </w:r>
            <w:r>
              <w:rPr>
                <w:rFonts w:hint="default" w:ascii="Times New Roman" w:hAnsi="Times New Roman" w:eastAsia="宋体" w:cs="Times New Roman"/>
                <w:color w:val="auto"/>
                <w:spacing w:val="20"/>
                <w:kern w:val="0"/>
                <w:sz w:val="21"/>
                <w:szCs w:val="21"/>
                <w:lang w:val="en-US" w:eastAsia="zh-CN"/>
              </w:rPr>
              <w:t>7</w:t>
            </w:r>
          </w:p>
        </w:tc>
        <w:tc>
          <w:tcPr>
            <w:tcW w:w="925"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lang w:val="en-US" w:eastAsia="zh-CN"/>
              </w:rPr>
              <w:t>西侧厂外1m</w:t>
            </w:r>
          </w:p>
        </w:tc>
        <w:tc>
          <w:tcPr>
            <w:tcW w:w="69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z w:val="21"/>
                <w:szCs w:val="21"/>
              </w:rPr>
            </w:pP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52.6</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48.5</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2.1</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5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rPr>
              <w:t>N</w:t>
            </w:r>
            <w:r>
              <w:rPr>
                <w:rFonts w:hint="default" w:ascii="Times New Roman" w:hAnsi="Times New Roman" w:eastAsia="宋体" w:cs="Times New Roman"/>
                <w:color w:val="auto"/>
                <w:spacing w:val="20"/>
                <w:kern w:val="0"/>
                <w:sz w:val="21"/>
                <w:szCs w:val="21"/>
                <w:lang w:val="en-US" w:eastAsia="zh-CN"/>
              </w:rPr>
              <w:t>8</w:t>
            </w:r>
          </w:p>
        </w:tc>
        <w:tc>
          <w:tcPr>
            <w:tcW w:w="925"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lang w:val="en-US" w:eastAsia="zh-CN"/>
              </w:rPr>
              <w:t>西侧厂外1m</w:t>
            </w:r>
          </w:p>
        </w:tc>
        <w:tc>
          <w:tcPr>
            <w:tcW w:w="69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z w:val="21"/>
                <w:szCs w:val="21"/>
              </w:rPr>
            </w:pP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54.6</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50.8</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2.1</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2.5</w:t>
            </w:r>
          </w:p>
        </w:tc>
      </w:tr>
    </w:tbl>
    <w:p>
      <w:pP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br w:type="page"/>
      </w:r>
    </w:p>
    <w:p>
      <w:pPr>
        <w:jc w:val="center"/>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4"/>
          <w:szCs w:val="24"/>
          <w:lang w:val="en-US" w:eastAsia="zh-CN"/>
        </w:rPr>
        <w:t>表10.3-3  三羟甲基丙烷系列产品工况</w:t>
      </w:r>
      <w:r>
        <w:rPr>
          <w:rFonts w:hint="default" w:ascii="Times New Roman" w:hAnsi="Times New Roman" w:eastAsia="宋体" w:cs="Times New Roman"/>
          <w:b/>
          <w:color w:val="auto"/>
          <w:sz w:val="24"/>
          <w:szCs w:val="24"/>
          <w:lang w:val="en-US" w:eastAsia="zh-CN"/>
        </w:rPr>
        <w:t>噪声监测结果</w:t>
      </w:r>
      <w:r>
        <w:rPr>
          <w:rFonts w:hint="default" w:ascii="Times New Roman" w:hAnsi="Times New Roman" w:eastAsia="宋体" w:cs="Times New Roman"/>
          <w:b/>
          <w:bCs/>
          <w:color w:val="auto"/>
          <w:sz w:val="24"/>
          <w:szCs w:val="24"/>
          <w:lang w:val="en-US" w:eastAsia="zh-CN"/>
        </w:rPr>
        <w:t>表</w:t>
      </w:r>
    </w:p>
    <w:tbl>
      <w:tblPr>
        <w:tblStyle w:val="23"/>
        <w:tblW w:w="4997"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063"/>
        <w:gridCol w:w="1651"/>
        <w:gridCol w:w="1270"/>
        <w:gridCol w:w="1193"/>
        <w:gridCol w:w="1196"/>
        <w:gridCol w:w="1193"/>
        <w:gridCol w:w="120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06"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测点编号</w:t>
            </w:r>
          </w:p>
        </w:tc>
        <w:tc>
          <w:tcPr>
            <w:tcW w:w="941"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测点位置</w:t>
            </w:r>
          </w:p>
        </w:tc>
        <w:tc>
          <w:tcPr>
            <w:tcW w:w="724"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测量时间</w:t>
            </w:r>
          </w:p>
        </w:tc>
        <w:tc>
          <w:tcPr>
            <w:tcW w:w="1362"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等 效 声 级dB（A）</w:t>
            </w:r>
          </w:p>
        </w:tc>
        <w:tc>
          <w:tcPr>
            <w:tcW w:w="136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风速m/s</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06"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snapToGrid w:val="0"/>
              <w:spacing w:line="240" w:lineRule="auto"/>
              <w:jc w:val="center"/>
              <w:textAlignment w:val="auto"/>
              <w:rPr>
                <w:rFonts w:hint="default" w:ascii="Times New Roman" w:hAnsi="Times New Roman" w:eastAsia="宋体" w:cs="Times New Roman"/>
                <w:b/>
                <w:bCs/>
                <w:color w:val="auto"/>
                <w:kern w:val="0"/>
                <w:sz w:val="21"/>
                <w:szCs w:val="21"/>
              </w:rPr>
            </w:pPr>
          </w:p>
        </w:tc>
        <w:tc>
          <w:tcPr>
            <w:tcW w:w="941"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b/>
                <w:bCs/>
                <w:color w:val="auto"/>
                <w:kern w:val="0"/>
                <w:sz w:val="21"/>
                <w:szCs w:val="21"/>
              </w:rPr>
            </w:pPr>
          </w:p>
        </w:tc>
        <w:tc>
          <w:tcPr>
            <w:tcW w:w="724"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b/>
                <w:bCs/>
                <w:color w:val="auto"/>
                <w:kern w:val="0"/>
                <w:sz w:val="21"/>
                <w:szCs w:val="21"/>
              </w:rPr>
            </w:pPr>
          </w:p>
        </w:tc>
        <w:tc>
          <w:tcPr>
            <w:tcW w:w="6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昼间</w:t>
            </w:r>
          </w:p>
        </w:tc>
        <w:tc>
          <w:tcPr>
            <w:tcW w:w="6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夜间</w:t>
            </w:r>
          </w:p>
        </w:tc>
        <w:tc>
          <w:tcPr>
            <w:tcW w:w="6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昼间</w:t>
            </w:r>
          </w:p>
        </w:tc>
        <w:tc>
          <w:tcPr>
            <w:tcW w:w="68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夜间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0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N1</w:t>
            </w:r>
          </w:p>
        </w:tc>
        <w:tc>
          <w:tcPr>
            <w:tcW w:w="941"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lang w:val="en-US" w:eastAsia="zh-CN"/>
              </w:rPr>
              <w:t>北侧厂外1m</w:t>
            </w:r>
          </w:p>
        </w:tc>
        <w:tc>
          <w:tcPr>
            <w:tcW w:w="724"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2021.8.20</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52.5</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49.8</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2.1</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0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rPr>
              <w:t>N</w:t>
            </w:r>
            <w:r>
              <w:rPr>
                <w:rFonts w:hint="default" w:ascii="Times New Roman" w:hAnsi="Times New Roman" w:eastAsia="宋体" w:cs="Times New Roman"/>
                <w:color w:val="auto"/>
                <w:spacing w:val="20"/>
                <w:kern w:val="0"/>
                <w:sz w:val="21"/>
                <w:szCs w:val="21"/>
                <w:lang w:val="en-US" w:eastAsia="zh-CN"/>
              </w:rPr>
              <w:t>2</w:t>
            </w:r>
          </w:p>
        </w:tc>
        <w:tc>
          <w:tcPr>
            <w:tcW w:w="941"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lang w:val="en-US" w:eastAsia="zh-CN"/>
              </w:rPr>
              <w:t>北侧厂外1m</w:t>
            </w:r>
          </w:p>
        </w:tc>
        <w:tc>
          <w:tcPr>
            <w:tcW w:w="72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z w:val="21"/>
                <w:szCs w:val="21"/>
              </w:rPr>
            </w:pP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54.9</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50.4</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2.1</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0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rPr>
              <w:t>N</w:t>
            </w:r>
            <w:r>
              <w:rPr>
                <w:rFonts w:hint="default" w:ascii="Times New Roman" w:hAnsi="Times New Roman" w:eastAsia="宋体" w:cs="Times New Roman"/>
                <w:color w:val="auto"/>
                <w:spacing w:val="20"/>
                <w:kern w:val="0"/>
                <w:sz w:val="21"/>
                <w:szCs w:val="21"/>
                <w:lang w:val="en-US" w:eastAsia="zh-CN"/>
              </w:rPr>
              <w:t>3</w:t>
            </w:r>
          </w:p>
        </w:tc>
        <w:tc>
          <w:tcPr>
            <w:tcW w:w="941"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lang w:val="en-US" w:eastAsia="zh-CN"/>
              </w:rPr>
              <w:t>东侧厂外1m</w:t>
            </w:r>
          </w:p>
        </w:tc>
        <w:tc>
          <w:tcPr>
            <w:tcW w:w="72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z w:val="21"/>
                <w:szCs w:val="21"/>
              </w:rPr>
            </w:pP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56.5</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51.1</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2.1</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0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rPr>
              <w:t>N</w:t>
            </w:r>
            <w:r>
              <w:rPr>
                <w:rFonts w:hint="default" w:ascii="Times New Roman" w:hAnsi="Times New Roman" w:eastAsia="宋体" w:cs="Times New Roman"/>
                <w:color w:val="auto"/>
                <w:spacing w:val="20"/>
                <w:kern w:val="0"/>
                <w:sz w:val="21"/>
                <w:szCs w:val="21"/>
                <w:lang w:val="en-US" w:eastAsia="zh-CN"/>
              </w:rPr>
              <w:t>4</w:t>
            </w:r>
          </w:p>
        </w:tc>
        <w:tc>
          <w:tcPr>
            <w:tcW w:w="941"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lang w:val="en-US" w:eastAsia="zh-CN"/>
              </w:rPr>
              <w:t>东侧厂外1m</w:t>
            </w:r>
          </w:p>
        </w:tc>
        <w:tc>
          <w:tcPr>
            <w:tcW w:w="72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z w:val="21"/>
                <w:szCs w:val="21"/>
              </w:rPr>
            </w:pP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55.9</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52.6</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2.1</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0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rPr>
              <w:t>N</w:t>
            </w:r>
            <w:r>
              <w:rPr>
                <w:rFonts w:hint="default" w:ascii="Times New Roman" w:hAnsi="Times New Roman" w:eastAsia="宋体" w:cs="Times New Roman"/>
                <w:color w:val="auto"/>
                <w:spacing w:val="20"/>
                <w:kern w:val="0"/>
                <w:sz w:val="21"/>
                <w:szCs w:val="21"/>
                <w:lang w:val="en-US" w:eastAsia="zh-CN"/>
              </w:rPr>
              <w:t>5</w:t>
            </w:r>
          </w:p>
        </w:tc>
        <w:tc>
          <w:tcPr>
            <w:tcW w:w="941"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lang w:val="en-US" w:eastAsia="zh-CN"/>
              </w:rPr>
              <w:t>南侧厂外1m</w:t>
            </w:r>
          </w:p>
        </w:tc>
        <w:tc>
          <w:tcPr>
            <w:tcW w:w="72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z w:val="21"/>
                <w:szCs w:val="21"/>
              </w:rPr>
            </w:pP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57.3</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53.5</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2.2</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0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rPr>
              <w:t>N</w:t>
            </w:r>
            <w:r>
              <w:rPr>
                <w:rFonts w:hint="default" w:ascii="Times New Roman" w:hAnsi="Times New Roman" w:eastAsia="宋体" w:cs="Times New Roman"/>
                <w:color w:val="auto"/>
                <w:spacing w:val="20"/>
                <w:kern w:val="0"/>
                <w:sz w:val="21"/>
                <w:szCs w:val="21"/>
                <w:lang w:val="en-US" w:eastAsia="zh-CN"/>
              </w:rPr>
              <w:t>6</w:t>
            </w:r>
          </w:p>
        </w:tc>
        <w:tc>
          <w:tcPr>
            <w:tcW w:w="941"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lang w:val="en-US" w:eastAsia="zh-CN"/>
              </w:rPr>
              <w:t>南侧厂外1m</w:t>
            </w:r>
          </w:p>
        </w:tc>
        <w:tc>
          <w:tcPr>
            <w:tcW w:w="72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z w:val="21"/>
                <w:szCs w:val="21"/>
              </w:rPr>
            </w:pP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56.0</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52.6</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2.2</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0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rPr>
              <w:t>N</w:t>
            </w:r>
            <w:r>
              <w:rPr>
                <w:rFonts w:hint="default" w:ascii="Times New Roman" w:hAnsi="Times New Roman" w:eastAsia="宋体" w:cs="Times New Roman"/>
                <w:color w:val="auto"/>
                <w:spacing w:val="20"/>
                <w:kern w:val="0"/>
                <w:sz w:val="21"/>
                <w:szCs w:val="21"/>
                <w:lang w:val="en-US" w:eastAsia="zh-CN"/>
              </w:rPr>
              <w:t>7</w:t>
            </w:r>
          </w:p>
        </w:tc>
        <w:tc>
          <w:tcPr>
            <w:tcW w:w="941"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lang w:val="en-US" w:eastAsia="zh-CN"/>
              </w:rPr>
              <w:t>西侧厂外1m</w:t>
            </w:r>
          </w:p>
        </w:tc>
        <w:tc>
          <w:tcPr>
            <w:tcW w:w="72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z w:val="21"/>
                <w:szCs w:val="21"/>
              </w:rPr>
            </w:pP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52.9</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49.3</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2.2</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0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rPr>
              <w:t>N</w:t>
            </w:r>
            <w:r>
              <w:rPr>
                <w:rFonts w:hint="default" w:ascii="Times New Roman" w:hAnsi="Times New Roman" w:eastAsia="宋体" w:cs="Times New Roman"/>
                <w:color w:val="auto"/>
                <w:spacing w:val="20"/>
                <w:kern w:val="0"/>
                <w:sz w:val="21"/>
                <w:szCs w:val="21"/>
                <w:lang w:val="en-US" w:eastAsia="zh-CN"/>
              </w:rPr>
              <w:t>8</w:t>
            </w:r>
          </w:p>
        </w:tc>
        <w:tc>
          <w:tcPr>
            <w:tcW w:w="941"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lang w:val="en-US" w:eastAsia="zh-CN"/>
              </w:rPr>
              <w:t>西侧厂外1m</w:t>
            </w:r>
          </w:p>
        </w:tc>
        <w:tc>
          <w:tcPr>
            <w:tcW w:w="72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z w:val="21"/>
                <w:szCs w:val="21"/>
              </w:rPr>
            </w:pP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55.2</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52.3</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2.2</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0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N1</w:t>
            </w:r>
          </w:p>
        </w:tc>
        <w:tc>
          <w:tcPr>
            <w:tcW w:w="941"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lang w:val="en-US" w:eastAsia="zh-CN"/>
              </w:rPr>
              <w:t>北侧厂外1m</w:t>
            </w:r>
          </w:p>
        </w:tc>
        <w:tc>
          <w:tcPr>
            <w:tcW w:w="724"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2021.8.21</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53.8</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51.1</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2.2</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0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rPr>
              <w:t>N</w:t>
            </w:r>
            <w:r>
              <w:rPr>
                <w:rFonts w:hint="default" w:ascii="Times New Roman" w:hAnsi="Times New Roman" w:eastAsia="宋体" w:cs="Times New Roman"/>
                <w:color w:val="auto"/>
                <w:spacing w:val="20"/>
                <w:kern w:val="0"/>
                <w:sz w:val="21"/>
                <w:szCs w:val="21"/>
                <w:lang w:val="en-US" w:eastAsia="zh-CN"/>
              </w:rPr>
              <w:t>2</w:t>
            </w:r>
          </w:p>
        </w:tc>
        <w:tc>
          <w:tcPr>
            <w:tcW w:w="941"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lang w:val="en-US" w:eastAsia="zh-CN"/>
              </w:rPr>
              <w:t>北侧厂外1m</w:t>
            </w:r>
          </w:p>
        </w:tc>
        <w:tc>
          <w:tcPr>
            <w:tcW w:w="72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z w:val="21"/>
                <w:szCs w:val="21"/>
              </w:rPr>
            </w:pP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53.6</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51.1</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2.2</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0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rPr>
              <w:t>N</w:t>
            </w:r>
            <w:r>
              <w:rPr>
                <w:rFonts w:hint="default" w:ascii="Times New Roman" w:hAnsi="Times New Roman" w:eastAsia="宋体" w:cs="Times New Roman"/>
                <w:color w:val="auto"/>
                <w:spacing w:val="20"/>
                <w:kern w:val="0"/>
                <w:sz w:val="21"/>
                <w:szCs w:val="21"/>
                <w:lang w:val="en-US" w:eastAsia="zh-CN"/>
              </w:rPr>
              <w:t>3</w:t>
            </w:r>
          </w:p>
        </w:tc>
        <w:tc>
          <w:tcPr>
            <w:tcW w:w="941"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lang w:val="en-US" w:eastAsia="zh-CN"/>
              </w:rPr>
              <w:t>东侧厂外1m</w:t>
            </w:r>
          </w:p>
        </w:tc>
        <w:tc>
          <w:tcPr>
            <w:tcW w:w="72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z w:val="21"/>
                <w:szCs w:val="21"/>
              </w:rPr>
            </w:pP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53.8</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50.6</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2.2</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0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rPr>
              <w:t>N</w:t>
            </w:r>
            <w:r>
              <w:rPr>
                <w:rFonts w:hint="default" w:ascii="Times New Roman" w:hAnsi="Times New Roman" w:eastAsia="宋体" w:cs="Times New Roman"/>
                <w:color w:val="auto"/>
                <w:spacing w:val="20"/>
                <w:kern w:val="0"/>
                <w:sz w:val="21"/>
                <w:szCs w:val="21"/>
                <w:lang w:val="en-US" w:eastAsia="zh-CN"/>
              </w:rPr>
              <w:t>4</w:t>
            </w:r>
          </w:p>
        </w:tc>
        <w:tc>
          <w:tcPr>
            <w:tcW w:w="941"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lang w:val="en-US" w:eastAsia="zh-CN"/>
              </w:rPr>
              <w:t>东侧厂外1m</w:t>
            </w:r>
          </w:p>
        </w:tc>
        <w:tc>
          <w:tcPr>
            <w:tcW w:w="72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z w:val="21"/>
                <w:szCs w:val="21"/>
              </w:rPr>
            </w:pP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53.5</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49.1</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2.2</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0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rPr>
              <w:t>N</w:t>
            </w:r>
            <w:r>
              <w:rPr>
                <w:rFonts w:hint="default" w:ascii="Times New Roman" w:hAnsi="Times New Roman" w:eastAsia="宋体" w:cs="Times New Roman"/>
                <w:color w:val="auto"/>
                <w:spacing w:val="20"/>
                <w:kern w:val="0"/>
                <w:sz w:val="21"/>
                <w:szCs w:val="21"/>
                <w:lang w:val="en-US" w:eastAsia="zh-CN"/>
              </w:rPr>
              <w:t>5</w:t>
            </w:r>
          </w:p>
        </w:tc>
        <w:tc>
          <w:tcPr>
            <w:tcW w:w="941"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lang w:val="en-US" w:eastAsia="zh-CN"/>
              </w:rPr>
              <w:t>南侧厂外1m</w:t>
            </w:r>
          </w:p>
        </w:tc>
        <w:tc>
          <w:tcPr>
            <w:tcW w:w="72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z w:val="21"/>
                <w:szCs w:val="21"/>
              </w:rPr>
            </w:pP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56.4</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52.0</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2.3</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0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rPr>
              <w:t>N</w:t>
            </w:r>
            <w:r>
              <w:rPr>
                <w:rFonts w:hint="default" w:ascii="Times New Roman" w:hAnsi="Times New Roman" w:eastAsia="宋体" w:cs="Times New Roman"/>
                <w:color w:val="auto"/>
                <w:spacing w:val="20"/>
                <w:kern w:val="0"/>
                <w:sz w:val="21"/>
                <w:szCs w:val="21"/>
                <w:lang w:val="en-US" w:eastAsia="zh-CN"/>
              </w:rPr>
              <w:t>6</w:t>
            </w:r>
          </w:p>
        </w:tc>
        <w:tc>
          <w:tcPr>
            <w:tcW w:w="941"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lang w:val="en-US" w:eastAsia="zh-CN"/>
              </w:rPr>
              <w:t>南侧厂外1m</w:t>
            </w:r>
          </w:p>
        </w:tc>
        <w:tc>
          <w:tcPr>
            <w:tcW w:w="72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z w:val="21"/>
                <w:szCs w:val="21"/>
              </w:rPr>
            </w:pP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55.9</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51.5</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2.3</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0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rPr>
              <w:t>N</w:t>
            </w:r>
            <w:r>
              <w:rPr>
                <w:rFonts w:hint="default" w:ascii="Times New Roman" w:hAnsi="Times New Roman" w:eastAsia="宋体" w:cs="Times New Roman"/>
                <w:color w:val="auto"/>
                <w:spacing w:val="20"/>
                <w:kern w:val="0"/>
                <w:sz w:val="21"/>
                <w:szCs w:val="21"/>
                <w:lang w:val="en-US" w:eastAsia="zh-CN"/>
              </w:rPr>
              <w:t>7</w:t>
            </w:r>
          </w:p>
        </w:tc>
        <w:tc>
          <w:tcPr>
            <w:tcW w:w="941"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lang w:val="en-US" w:eastAsia="zh-CN"/>
              </w:rPr>
              <w:t>西侧厂外1m</w:t>
            </w:r>
          </w:p>
        </w:tc>
        <w:tc>
          <w:tcPr>
            <w:tcW w:w="72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z w:val="21"/>
                <w:szCs w:val="21"/>
              </w:rPr>
            </w:pP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54.5</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50.8</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2.3</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60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rPr>
              <w:t>N</w:t>
            </w:r>
            <w:r>
              <w:rPr>
                <w:rFonts w:hint="default" w:ascii="Times New Roman" w:hAnsi="Times New Roman" w:eastAsia="宋体" w:cs="Times New Roman"/>
                <w:color w:val="auto"/>
                <w:spacing w:val="20"/>
                <w:kern w:val="0"/>
                <w:sz w:val="21"/>
                <w:szCs w:val="21"/>
                <w:lang w:val="en-US" w:eastAsia="zh-CN"/>
              </w:rPr>
              <w:t>8</w:t>
            </w:r>
          </w:p>
        </w:tc>
        <w:tc>
          <w:tcPr>
            <w:tcW w:w="941"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lang w:val="en-US" w:eastAsia="zh-CN"/>
              </w:rPr>
              <w:t>西侧厂外1m</w:t>
            </w:r>
          </w:p>
        </w:tc>
        <w:tc>
          <w:tcPr>
            <w:tcW w:w="72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before="100" w:after="100" w:line="240" w:lineRule="auto"/>
              <w:jc w:val="center"/>
              <w:textAlignment w:val="auto"/>
              <w:rPr>
                <w:rFonts w:hint="default" w:ascii="Times New Roman" w:hAnsi="Times New Roman" w:eastAsia="宋体" w:cs="Times New Roman"/>
                <w:color w:val="auto"/>
                <w:sz w:val="21"/>
                <w:szCs w:val="21"/>
              </w:rPr>
            </w:pP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53.6</w:t>
            </w:r>
          </w:p>
        </w:tc>
        <w:tc>
          <w:tcPr>
            <w:tcW w:w="68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49.2</w:t>
            </w:r>
          </w:p>
        </w:tc>
        <w:tc>
          <w:tcPr>
            <w:tcW w:w="68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2.3</w:t>
            </w:r>
          </w:p>
        </w:tc>
        <w:tc>
          <w:tcPr>
            <w:tcW w:w="68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2.4</w:t>
            </w:r>
          </w:p>
        </w:tc>
      </w:tr>
    </w:tbl>
    <w:p>
      <w:pPr>
        <w:keepNext w:val="0"/>
        <w:keepLines w:val="0"/>
        <w:pageBreakBefore w:val="0"/>
        <w:widowControl w:val="0"/>
        <w:kinsoku/>
        <w:wordWrap/>
        <w:overflowPunct/>
        <w:topLinePunct w:val="0"/>
        <w:bidi w:val="0"/>
        <w:adjustRightInd/>
        <w:snapToGrid/>
        <w:spacing w:after="0" w:line="360" w:lineRule="auto"/>
        <w:ind w:left="0" w:leftChars="0" w:right="0" w:rightChars="0" w:firstLine="0" w:firstLineChars="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val="en-US" w:eastAsia="zh-CN"/>
        </w:rPr>
        <w:t xml:space="preserve">10.3.2 </w:t>
      </w:r>
      <w:r>
        <w:rPr>
          <w:rFonts w:hint="default" w:ascii="Times New Roman" w:hAnsi="Times New Roman" w:eastAsia="宋体" w:cs="Times New Roman"/>
          <w:b/>
          <w:bCs/>
          <w:color w:val="auto"/>
          <w:sz w:val="24"/>
          <w:szCs w:val="24"/>
          <w:lang w:eastAsia="zh-CN"/>
        </w:rPr>
        <w:t>噪声监测结果评价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监测结果表明：验收监测期间，</w:t>
      </w:r>
      <w:r>
        <w:rPr>
          <w:rFonts w:hint="default" w:ascii="Times New Roman" w:hAnsi="Times New Roman" w:eastAsia="宋体" w:cs="Times New Roman"/>
          <w:color w:val="auto"/>
          <w:sz w:val="24"/>
          <w:szCs w:val="24"/>
          <w:lang w:eastAsia="zh-CN"/>
        </w:rPr>
        <w:t>本项目在异丙醇系列、异辛醇系列、三羟甲基丙烷系列</w:t>
      </w:r>
      <w:r>
        <w:rPr>
          <w:rFonts w:hint="default" w:ascii="Times New Roman" w:hAnsi="Times New Roman" w:eastAsia="宋体" w:cs="Times New Roman"/>
          <w:color w:val="auto"/>
          <w:sz w:val="24"/>
          <w:szCs w:val="24"/>
          <w:lang w:val="en-US" w:eastAsia="zh-CN"/>
        </w:rPr>
        <w:t>三种产品生产工况下，</w:t>
      </w:r>
      <w:r>
        <w:rPr>
          <w:rFonts w:hint="default" w:ascii="Times New Roman" w:hAnsi="Times New Roman" w:eastAsia="宋体" w:cs="Times New Roman"/>
          <w:color w:val="auto"/>
          <w:sz w:val="24"/>
          <w:szCs w:val="24"/>
        </w:rPr>
        <w:t>厂界环境噪声测点昼、夜间等效声级值均达到《工业企业厂界环境噪声排放标准》（GB 12348-2008）3类标准限值要求（昼间≤65dB（A）、夜间≤55dB（A））。</w:t>
      </w:r>
    </w:p>
    <w:p>
      <w:pPr>
        <w:pStyle w:val="4"/>
        <w:keepNext w:val="0"/>
        <w:keepLines w:val="0"/>
        <w:pageBreakBefore w:val="0"/>
        <w:widowControl w:val="0"/>
        <w:kinsoku/>
        <w:wordWrap/>
        <w:overflowPunct/>
        <w:topLinePunct w:val="0"/>
        <w:autoSpaceDE w:val="0"/>
        <w:autoSpaceDN w:val="0"/>
        <w:bidi w:val="0"/>
        <w:adjustRightInd/>
        <w:snapToGrid/>
        <w:spacing w:before="0" w:beforeLines="50" w:after="0" w:line="360" w:lineRule="auto"/>
        <w:ind w:left="0" w:leftChars="0" w:right="0" w:rightChars="0" w:firstLine="0" w:firstLineChars="0"/>
        <w:jc w:val="left"/>
        <w:textAlignment w:val="auto"/>
        <w:outlineLvl w:val="1"/>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br w:type="page"/>
      </w:r>
    </w:p>
    <w:p>
      <w:pPr>
        <w:pStyle w:val="4"/>
        <w:keepNext w:val="0"/>
        <w:keepLines w:val="0"/>
        <w:pageBreakBefore w:val="0"/>
        <w:widowControl w:val="0"/>
        <w:kinsoku/>
        <w:wordWrap/>
        <w:overflowPunct/>
        <w:topLinePunct w:val="0"/>
        <w:autoSpaceDE w:val="0"/>
        <w:autoSpaceDN w:val="0"/>
        <w:bidi w:val="0"/>
        <w:adjustRightInd/>
        <w:snapToGrid/>
        <w:spacing w:before="0" w:beforeLines="50" w:after="0" w:line="360" w:lineRule="auto"/>
        <w:ind w:left="0" w:leftChars="0" w:right="0" w:rightChars="0" w:firstLine="0" w:firstLineChars="0"/>
        <w:jc w:val="left"/>
        <w:textAlignment w:val="auto"/>
        <w:outlineLvl w:val="1"/>
        <w:rPr>
          <w:rFonts w:hint="default" w:ascii="Times New Roman" w:hAnsi="Times New Roman" w:eastAsia="宋体" w:cs="Times New Roman"/>
          <w:b/>
          <w:bCs/>
          <w:color w:val="auto"/>
          <w:sz w:val="28"/>
          <w:szCs w:val="28"/>
          <w:highlight w:val="none"/>
          <w:lang w:eastAsia="zh-CN"/>
        </w:rPr>
      </w:pPr>
      <w:bookmarkStart w:id="102" w:name="_Toc16763"/>
      <w:r>
        <w:rPr>
          <w:rFonts w:hint="default" w:ascii="Times New Roman" w:hAnsi="Times New Roman" w:eastAsia="宋体" w:cs="Times New Roman"/>
          <w:b/>
          <w:bCs/>
          <w:color w:val="auto"/>
          <w:sz w:val="28"/>
          <w:szCs w:val="28"/>
          <w:highlight w:val="none"/>
        </w:rPr>
        <w:t>10.</w:t>
      </w:r>
      <w:r>
        <w:rPr>
          <w:rFonts w:hint="default" w:ascii="Times New Roman" w:hAnsi="Times New Roman" w:eastAsia="宋体" w:cs="Times New Roman"/>
          <w:b/>
          <w:bCs/>
          <w:color w:val="auto"/>
          <w:sz w:val="28"/>
          <w:szCs w:val="28"/>
          <w:highlight w:val="none"/>
          <w:lang w:val="en-US" w:eastAsia="zh-CN"/>
        </w:rPr>
        <w:t xml:space="preserve">4 </w:t>
      </w:r>
      <w:r>
        <w:rPr>
          <w:rFonts w:hint="default" w:ascii="Times New Roman" w:hAnsi="Times New Roman" w:eastAsia="宋体" w:cs="Times New Roman"/>
          <w:b/>
          <w:bCs/>
          <w:color w:val="auto"/>
          <w:sz w:val="28"/>
          <w:szCs w:val="28"/>
          <w:highlight w:val="none"/>
          <w:lang w:eastAsia="zh-CN"/>
        </w:rPr>
        <w:t>污染物排放总量核算</w:t>
      </w:r>
      <w:bookmarkEnd w:id="98"/>
      <w:bookmarkEnd w:id="99"/>
      <w:bookmarkEnd w:id="102"/>
    </w:p>
    <w:p>
      <w:pPr>
        <w:keepNext w:val="0"/>
        <w:keepLines w:val="0"/>
        <w:pageBreakBefore w:val="0"/>
        <w:widowControl w:val="0"/>
        <w:kinsoku/>
        <w:wordWrap/>
        <w:overflowPunct/>
        <w:topLinePunct w:val="0"/>
        <w:autoSpaceDE w:val="0"/>
        <w:autoSpaceDN w:val="0"/>
        <w:bidi w:val="0"/>
        <w:adjustRightInd/>
        <w:snapToGrid/>
        <w:spacing w:after="0" w:line="360" w:lineRule="auto"/>
        <w:ind w:left="0" w:leftChars="0" w:right="0" w:rightChars="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w:t>
      </w:r>
      <w:r>
        <w:rPr>
          <w:rFonts w:hint="default" w:ascii="Times New Roman" w:hAnsi="Times New Roman" w:eastAsia="宋体" w:cs="Times New Roman"/>
          <w:b/>
          <w:bCs/>
          <w:color w:val="auto"/>
          <w:sz w:val="24"/>
          <w:szCs w:val="24"/>
          <w:highlight w:val="none"/>
          <w:lang w:val="en-US" w:eastAsia="zh-CN"/>
        </w:rPr>
        <w:t>0</w:t>
      </w: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 xml:space="preserve">4.1 </w:t>
      </w:r>
      <w:r>
        <w:rPr>
          <w:rFonts w:hint="default" w:ascii="Times New Roman" w:hAnsi="Times New Roman" w:eastAsia="宋体" w:cs="Times New Roman"/>
          <w:b/>
          <w:bCs/>
          <w:color w:val="auto"/>
          <w:sz w:val="24"/>
          <w:szCs w:val="24"/>
          <w:highlight w:val="none"/>
        </w:rPr>
        <w:t>废水污染物排放总量</w:t>
      </w:r>
    </w:p>
    <w:bookmarkEnd w:id="100"/>
    <w:bookmarkEnd w:id="101"/>
    <w:p>
      <w:pPr>
        <w:keepNext w:val="0"/>
        <w:keepLines w:val="0"/>
        <w:pageBreakBefore w:val="0"/>
        <w:widowControl w:val="0"/>
        <w:kinsoku/>
        <w:wordWrap/>
        <w:overflowPunct/>
        <w:topLinePunct w:val="0"/>
        <w:autoSpaceDE w:val="0"/>
        <w:autoSpaceDN w:val="0"/>
        <w:bidi w:val="0"/>
        <w:adjustRightInd/>
        <w:snapToGrid/>
        <w:spacing w:after="0"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highlight w:val="none"/>
          <w:lang w:eastAsia="zh-CN"/>
        </w:rPr>
      </w:pPr>
      <w:bookmarkStart w:id="103" w:name="_Toc8436"/>
      <w:bookmarkStart w:id="104" w:name="_Toc11287"/>
      <w:bookmarkStart w:id="105" w:name="_Toc25717"/>
      <w:bookmarkStart w:id="106" w:name="_Toc13202"/>
      <w:r>
        <w:rPr>
          <w:rFonts w:hint="default" w:ascii="Times New Roman" w:hAnsi="Times New Roman" w:eastAsia="宋体" w:cs="Times New Roman"/>
          <w:color w:val="auto"/>
          <w:sz w:val="24"/>
          <w:szCs w:val="24"/>
          <w:highlight w:val="none"/>
          <w:lang w:eastAsia="zh-CN"/>
        </w:rPr>
        <w:t>本项目产生废水10378t/a，经厂内预处理后接管排放，通过以新带老措施，技改后全厂废水排放量不增加，故不再进行废水污染物排放总量计算。</w:t>
      </w:r>
    </w:p>
    <w:p>
      <w:pPr>
        <w:keepNext w:val="0"/>
        <w:keepLines w:val="0"/>
        <w:pageBreakBefore w:val="0"/>
        <w:widowControl w:val="0"/>
        <w:kinsoku/>
        <w:wordWrap/>
        <w:overflowPunct/>
        <w:topLinePunct w:val="0"/>
        <w:autoSpaceDE w:val="0"/>
        <w:autoSpaceDN w:val="0"/>
        <w:bidi w:val="0"/>
        <w:adjustRightInd/>
        <w:snapToGrid/>
        <w:spacing w:after="0" w:line="360" w:lineRule="auto"/>
        <w:ind w:left="0" w:leftChars="0" w:right="0" w:rightChars="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w:t>
      </w:r>
      <w:r>
        <w:rPr>
          <w:rFonts w:hint="default" w:ascii="Times New Roman" w:hAnsi="Times New Roman" w:eastAsia="宋体" w:cs="Times New Roman"/>
          <w:b/>
          <w:bCs/>
          <w:color w:val="auto"/>
          <w:sz w:val="24"/>
          <w:szCs w:val="24"/>
          <w:highlight w:val="none"/>
          <w:lang w:val="en-US" w:eastAsia="zh-CN"/>
        </w:rPr>
        <w:t>0</w:t>
      </w: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4.2 废气</w:t>
      </w:r>
      <w:r>
        <w:rPr>
          <w:rFonts w:hint="default" w:ascii="Times New Roman" w:hAnsi="Times New Roman" w:eastAsia="宋体" w:cs="Times New Roman"/>
          <w:b/>
          <w:bCs/>
          <w:color w:val="auto"/>
          <w:sz w:val="24"/>
          <w:szCs w:val="24"/>
          <w:highlight w:val="none"/>
        </w:rPr>
        <w:t>污染物排放总量</w:t>
      </w:r>
    </w:p>
    <w:p>
      <w:pPr>
        <w:keepNext w:val="0"/>
        <w:keepLines w:val="0"/>
        <w:pageBreakBefore w:val="0"/>
        <w:widowControl w:val="0"/>
        <w:kinsoku/>
        <w:wordWrap/>
        <w:overflowPunct/>
        <w:topLinePunct w:val="0"/>
        <w:autoSpaceDE w:val="0"/>
        <w:autoSpaceDN w:val="0"/>
        <w:bidi w:val="0"/>
        <w:adjustRightInd/>
        <w:snapToGrid/>
        <w:spacing w:after="0"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zh-CN" w:eastAsia="zh-CN"/>
        </w:rPr>
        <w:t>按照环评设计的产能对每种产品所需生产时间进行计算，异丙醇系列产品</w:t>
      </w:r>
      <w:r>
        <w:rPr>
          <w:rFonts w:hint="eastAsia" w:ascii="Times New Roman" w:hAnsi="Times New Roman" w:eastAsia="宋体" w:cs="Times New Roman"/>
          <w:color w:val="auto"/>
          <w:sz w:val="24"/>
          <w:szCs w:val="24"/>
          <w:highlight w:val="none"/>
          <w:lang w:val="en-US" w:eastAsia="zh-CN"/>
        </w:rPr>
        <w:t>5400t/a的产能需要约2400h生产时间，其他两个系列产品合计产能为7100t/a，需要生产时间为2700h，综上，三种系列产品合计需要5100h年生产时间方能达到12500t/a的总生产产能，本次总量核算，分别按照异丙醇系列生产时间2400h、其他产品生产时间2700h分别进行总量计算后，最后加和得出项目整体污染物排放量，与环评设计的本项目污染物排放总量指标进行评价。本项目生产所需时间计算情况见表10-1，总量核算情况见表10-2、表10-3。</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bCs/>
          <w:color w:val="auto"/>
          <w:sz w:val="24"/>
          <w:szCs w:val="24"/>
          <w:lang w:val="zh-CN" w:eastAsia="zh-CN"/>
        </w:rPr>
      </w:pPr>
      <w:r>
        <w:rPr>
          <w:rFonts w:hint="default" w:ascii="Times New Roman" w:hAnsi="Times New Roman" w:eastAsia="宋体" w:cs="Times New Roman"/>
          <w:b/>
          <w:bCs/>
          <w:color w:val="auto"/>
          <w:sz w:val="24"/>
          <w:szCs w:val="24"/>
          <w:lang w:val="zh-CN"/>
        </w:rPr>
        <w:t>表</w:t>
      </w:r>
      <w:r>
        <w:rPr>
          <w:rFonts w:hint="eastAsia" w:ascii="Times New Roman" w:hAnsi="Times New Roman" w:eastAsia="宋体" w:cs="Times New Roman"/>
          <w:b/>
          <w:bCs/>
          <w:color w:val="auto"/>
          <w:sz w:val="24"/>
          <w:szCs w:val="24"/>
          <w:lang w:val="en-US" w:eastAsia="zh-CN"/>
        </w:rPr>
        <w:t>10-1</w:t>
      </w:r>
      <w:r>
        <w:rPr>
          <w:rFonts w:hint="default" w:ascii="Times New Roman" w:hAnsi="Times New Roman" w:eastAsia="宋体" w:cs="Times New Roman"/>
          <w:b/>
          <w:bCs/>
          <w:color w:val="auto"/>
          <w:sz w:val="24"/>
          <w:szCs w:val="24"/>
          <w:lang w:val="zh-CN"/>
        </w:rPr>
        <w:t xml:space="preserve">  本项目</w:t>
      </w:r>
      <w:r>
        <w:rPr>
          <w:rFonts w:hint="eastAsia" w:ascii="Times New Roman" w:hAnsi="Times New Roman" w:eastAsia="宋体" w:cs="Times New Roman"/>
          <w:b/>
          <w:bCs/>
          <w:color w:val="auto"/>
          <w:sz w:val="24"/>
          <w:szCs w:val="24"/>
          <w:lang w:val="zh-CN"/>
        </w:rPr>
        <w:t>产能</w:t>
      </w:r>
      <w:r>
        <w:rPr>
          <w:rFonts w:hint="eastAsia" w:ascii="Times New Roman" w:hAnsi="Times New Roman" w:eastAsia="宋体" w:cs="Times New Roman"/>
          <w:b/>
          <w:bCs/>
          <w:color w:val="auto"/>
          <w:sz w:val="24"/>
          <w:szCs w:val="24"/>
          <w:lang w:val="zh-CN" w:eastAsia="zh-CN"/>
        </w:rPr>
        <w:t>生产时间统计表</w:t>
      </w:r>
    </w:p>
    <w:tbl>
      <w:tblPr>
        <w:tblStyle w:val="23"/>
        <w:tblW w:w="50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73"/>
        <w:gridCol w:w="1049"/>
        <w:gridCol w:w="1277"/>
        <w:gridCol w:w="1506"/>
        <w:gridCol w:w="2116"/>
        <w:gridCol w:w="774"/>
        <w:gridCol w:w="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24" w:type="pct"/>
            <w:noWrap w:val="0"/>
            <w:vAlign w:val="center"/>
          </w:tcPr>
          <w:p>
            <w:pPr>
              <w:widowControl/>
              <w:snapToGrid w:val="0"/>
              <w:spacing w:line="240" w:lineRule="exact"/>
              <w:jc w:val="center"/>
              <w:rPr>
                <w:b/>
                <w:bCs/>
                <w:kern w:val="0"/>
                <w:sz w:val="21"/>
                <w:szCs w:val="21"/>
              </w:rPr>
            </w:pPr>
            <w:r>
              <w:rPr>
                <w:b/>
                <w:bCs/>
                <w:kern w:val="0"/>
                <w:sz w:val="21"/>
                <w:szCs w:val="21"/>
              </w:rPr>
              <w:t>产品名称</w:t>
            </w:r>
          </w:p>
        </w:tc>
        <w:tc>
          <w:tcPr>
            <w:tcW w:w="610" w:type="pct"/>
            <w:noWrap w:val="0"/>
            <w:vAlign w:val="center"/>
          </w:tcPr>
          <w:p>
            <w:pPr>
              <w:widowControl/>
              <w:snapToGrid w:val="0"/>
              <w:spacing w:line="240" w:lineRule="exact"/>
              <w:jc w:val="center"/>
              <w:rPr>
                <w:b/>
                <w:bCs/>
                <w:kern w:val="0"/>
                <w:sz w:val="21"/>
                <w:szCs w:val="21"/>
              </w:rPr>
            </w:pPr>
            <w:r>
              <w:rPr>
                <w:b/>
                <w:bCs/>
                <w:kern w:val="0"/>
                <w:sz w:val="21"/>
                <w:szCs w:val="21"/>
              </w:rPr>
              <w:t>主要装置（台/套）</w:t>
            </w:r>
          </w:p>
        </w:tc>
        <w:tc>
          <w:tcPr>
            <w:tcW w:w="743" w:type="pct"/>
            <w:noWrap w:val="0"/>
            <w:vAlign w:val="center"/>
          </w:tcPr>
          <w:p>
            <w:pPr>
              <w:widowControl/>
              <w:snapToGrid w:val="0"/>
              <w:spacing w:line="240" w:lineRule="exact"/>
              <w:jc w:val="center"/>
              <w:rPr>
                <w:b/>
                <w:bCs/>
                <w:kern w:val="0"/>
                <w:sz w:val="21"/>
                <w:szCs w:val="21"/>
              </w:rPr>
            </w:pPr>
            <w:r>
              <w:rPr>
                <w:b/>
                <w:bCs/>
                <w:kern w:val="0"/>
                <w:sz w:val="21"/>
                <w:szCs w:val="21"/>
              </w:rPr>
              <w:t>生产批次</w:t>
            </w:r>
          </w:p>
          <w:p>
            <w:pPr>
              <w:widowControl/>
              <w:snapToGrid w:val="0"/>
              <w:spacing w:line="240" w:lineRule="exact"/>
              <w:jc w:val="center"/>
              <w:rPr>
                <w:b/>
                <w:bCs/>
                <w:kern w:val="0"/>
                <w:sz w:val="21"/>
                <w:szCs w:val="21"/>
              </w:rPr>
            </w:pPr>
            <w:r>
              <w:rPr>
                <w:b/>
                <w:bCs/>
                <w:kern w:val="0"/>
                <w:sz w:val="21"/>
                <w:szCs w:val="21"/>
              </w:rPr>
              <w:t>（批</w:t>
            </w:r>
            <w:r>
              <w:rPr>
                <w:rFonts w:hint="eastAsia"/>
                <w:b/>
                <w:bCs/>
                <w:kern w:val="0"/>
                <w:sz w:val="21"/>
                <w:szCs w:val="21"/>
              </w:rPr>
              <w:t>/套/</w:t>
            </w:r>
            <w:r>
              <w:rPr>
                <w:b/>
                <w:bCs/>
                <w:kern w:val="0"/>
                <w:sz w:val="21"/>
                <w:szCs w:val="21"/>
              </w:rPr>
              <w:t>年）</w:t>
            </w:r>
          </w:p>
        </w:tc>
        <w:tc>
          <w:tcPr>
            <w:tcW w:w="876" w:type="pct"/>
            <w:noWrap w:val="0"/>
            <w:vAlign w:val="center"/>
          </w:tcPr>
          <w:p>
            <w:pPr>
              <w:widowControl/>
              <w:snapToGrid w:val="0"/>
              <w:spacing w:line="240" w:lineRule="exact"/>
              <w:jc w:val="center"/>
              <w:rPr>
                <w:b/>
                <w:bCs/>
                <w:kern w:val="0"/>
                <w:sz w:val="21"/>
                <w:szCs w:val="21"/>
              </w:rPr>
            </w:pPr>
            <w:r>
              <w:rPr>
                <w:b/>
                <w:bCs/>
                <w:kern w:val="0"/>
                <w:sz w:val="21"/>
                <w:szCs w:val="21"/>
              </w:rPr>
              <w:t>每批产量</w:t>
            </w:r>
          </w:p>
          <w:p>
            <w:pPr>
              <w:widowControl/>
              <w:snapToGrid w:val="0"/>
              <w:spacing w:line="240" w:lineRule="exact"/>
              <w:jc w:val="center"/>
              <w:rPr>
                <w:b/>
                <w:bCs/>
                <w:kern w:val="0"/>
                <w:sz w:val="21"/>
                <w:szCs w:val="21"/>
              </w:rPr>
            </w:pPr>
            <w:r>
              <w:rPr>
                <w:b/>
                <w:bCs/>
                <w:kern w:val="0"/>
                <w:sz w:val="21"/>
                <w:szCs w:val="21"/>
              </w:rPr>
              <w:t>（t/批）</w:t>
            </w:r>
          </w:p>
        </w:tc>
        <w:tc>
          <w:tcPr>
            <w:tcW w:w="1232" w:type="pct"/>
            <w:noWrap w:val="0"/>
            <w:vAlign w:val="center"/>
          </w:tcPr>
          <w:p>
            <w:pPr>
              <w:widowControl/>
              <w:snapToGrid w:val="0"/>
              <w:spacing w:line="240" w:lineRule="exact"/>
              <w:jc w:val="center"/>
              <w:rPr>
                <w:b/>
                <w:bCs/>
                <w:kern w:val="0"/>
                <w:sz w:val="21"/>
                <w:szCs w:val="21"/>
              </w:rPr>
            </w:pPr>
            <w:r>
              <w:rPr>
                <w:b/>
                <w:bCs/>
                <w:kern w:val="0"/>
                <w:sz w:val="21"/>
                <w:szCs w:val="21"/>
              </w:rPr>
              <w:t>批次生产时间（h）</w:t>
            </w:r>
          </w:p>
        </w:tc>
        <w:tc>
          <w:tcPr>
            <w:tcW w:w="450" w:type="pct"/>
            <w:noWrap w:val="0"/>
            <w:vAlign w:val="center"/>
          </w:tcPr>
          <w:p>
            <w:pPr>
              <w:widowControl/>
              <w:snapToGrid w:val="0"/>
              <w:spacing w:line="240" w:lineRule="exact"/>
              <w:jc w:val="center"/>
              <w:rPr>
                <w:b/>
                <w:bCs/>
                <w:kern w:val="0"/>
                <w:sz w:val="21"/>
                <w:szCs w:val="21"/>
              </w:rPr>
            </w:pPr>
            <w:r>
              <w:rPr>
                <w:b/>
                <w:bCs/>
                <w:kern w:val="0"/>
                <w:sz w:val="21"/>
                <w:szCs w:val="21"/>
              </w:rPr>
              <w:t>年生产时间（h）</w:t>
            </w:r>
          </w:p>
        </w:tc>
        <w:tc>
          <w:tcPr>
            <w:tcW w:w="460" w:type="pct"/>
            <w:noWrap w:val="0"/>
            <w:vAlign w:val="center"/>
          </w:tcPr>
          <w:p>
            <w:pPr>
              <w:widowControl/>
              <w:snapToGrid w:val="0"/>
              <w:spacing w:line="240" w:lineRule="exact"/>
              <w:jc w:val="center"/>
              <w:rPr>
                <w:b/>
                <w:bCs/>
                <w:kern w:val="0"/>
                <w:sz w:val="21"/>
                <w:szCs w:val="21"/>
              </w:rPr>
            </w:pPr>
            <w:r>
              <w:rPr>
                <w:b/>
                <w:bCs/>
                <w:kern w:val="0"/>
                <w:sz w:val="21"/>
                <w:szCs w:val="21"/>
              </w:rPr>
              <w:t>产量（t/a）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24" w:type="pct"/>
            <w:noWrap w:val="0"/>
            <w:vAlign w:val="center"/>
          </w:tcPr>
          <w:p>
            <w:pPr>
              <w:widowControl/>
              <w:snapToGrid w:val="0"/>
              <w:spacing w:line="240" w:lineRule="exact"/>
              <w:jc w:val="center"/>
              <w:rPr>
                <w:kern w:val="0"/>
                <w:sz w:val="21"/>
                <w:szCs w:val="21"/>
              </w:rPr>
            </w:pPr>
            <w:r>
              <w:rPr>
                <w:rFonts w:hint="eastAsia"/>
                <w:kern w:val="0"/>
                <w:sz w:val="21"/>
                <w:szCs w:val="21"/>
              </w:rPr>
              <w:t>异丙醇类脂肪酸酯</w:t>
            </w:r>
          </w:p>
        </w:tc>
        <w:tc>
          <w:tcPr>
            <w:tcW w:w="610" w:type="pct"/>
            <w:vMerge w:val="restart"/>
            <w:noWrap/>
            <w:vAlign w:val="center"/>
          </w:tcPr>
          <w:p>
            <w:pPr>
              <w:widowControl/>
              <w:snapToGrid w:val="0"/>
              <w:spacing w:line="240" w:lineRule="exact"/>
              <w:jc w:val="center"/>
              <w:rPr>
                <w:kern w:val="0"/>
                <w:sz w:val="21"/>
                <w:szCs w:val="21"/>
              </w:rPr>
            </w:pPr>
            <w:r>
              <w:rPr>
                <w:rFonts w:hint="eastAsia"/>
                <w:kern w:val="0"/>
                <w:sz w:val="21"/>
                <w:szCs w:val="21"/>
              </w:rPr>
              <w:t>甲类装置</w:t>
            </w:r>
          </w:p>
          <w:p>
            <w:pPr>
              <w:widowControl/>
              <w:snapToGrid w:val="0"/>
              <w:spacing w:line="240" w:lineRule="exact"/>
              <w:jc w:val="center"/>
              <w:rPr>
                <w:kern w:val="0"/>
                <w:sz w:val="21"/>
                <w:szCs w:val="21"/>
              </w:rPr>
            </w:pPr>
            <w:r>
              <w:rPr>
                <w:rFonts w:hint="eastAsia"/>
                <w:kern w:val="0"/>
                <w:sz w:val="21"/>
                <w:szCs w:val="21"/>
              </w:rPr>
              <w:t>反应釜</w:t>
            </w:r>
          </w:p>
        </w:tc>
        <w:tc>
          <w:tcPr>
            <w:tcW w:w="743" w:type="pct"/>
            <w:noWrap w:val="0"/>
            <w:vAlign w:val="center"/>
          </w:tcPr>
          <w:p>
            <w:pPr>
              <w:widowControl/>
              <w:snapToGrid w:val="0"/>
              <w:spacing w:line="240" w:lineRule="exact"/>
              <w:jc w:val="center"/>
              <w:rPr>
                <w:kern w:val="0"/>
                <w:sz w:val="21"/>
                <w:szCs w:val="21"/>
              </w:rPr>
            </w:pPr>
            <w:r>
              <w:rPr>
                <w:rFonts w:hint="eastAsia"/>
                <w:kern w:val="0"/>
                <w:sz w:val="21"/>
                <w:szCs w:val="21"/>
              </w:rPr>
              <w:t>216</w:t>
            </w:r>
          </w:p>
        </w:tc>
        <w:tc>
          <w:tcPr>
            <w:tcW w:w="876" w:type="pct"/>
            <w:noWrap/>
            <w:vAlign w:val="center"/>
          </w:tcPr>
          <w:p>
            <w:pPr>
              <w:widowControl/>
              <w:snapToGrid w:val="0"/>
              <w:spacing w:line="240" w:lineRule="exact"/>
              <w:jc w:val="center"/>
              <w:rPr>
                <w:kern w:val="0"/>
                <w:sz w:val="21"/>
                <w:szCs w:val="21"/>
              </w:rPr>
            </w:pPr>
            <w:r>
              <w:rPr>
                <w:rFonts w:hint="eastAsia"/>
                <w:kern w:val="0"/>
                <w:sz w:val="21"/>
                <w:szCs w:val="21"/>
              </w:rPr>
              <w:t>25</w:t>
            </w:r>
          </w:p>
          <w:p>
            <w:pPr>
              <w:widowControl/>
              <w:snapToGrid w:val="0"/>
              <w:spacing w:line="240" w:lineRule="exact"/>
              <w:jc w:val="center"/>
              <w:rPr>
                <w:kern w:val="0"/>
                <w:sz w:val="21"/>
                <w:szCs w:val="21"/>
              </w:rPr>
            </w:pPr>
            <w:r>
              <w:rPr>
                <w:rFonts w:hint="eastAsia"/>
                <w:kern w:val="0"/>
                <w:sz w:val="21"/>
                <w:szCs w:val="21"/>
              </w:rPr>
              <w:t>（折算最终产品的量）</w:t>
            </w:r>
          </w:p>
        </w:tc>
        <w:tc>
          <w:tcPr>
            <w:tcW w:w="1232" w:type="pct"/>
            <w:noWrap/>
            <w:vAlign w:val="center"/>
          </w:tcPr>
          <w:p>
            <w:pPr>
              <w:widowControl/>
              <w:snapToGrid w:val="0"/>
              <w:spacing w:line="240" w:lineRule="exact"/>
              <w:jc w:val="center"/>
              <w:rPr>
                <w:kern w:val="0"/>
                <w:sz w:val="21"/>
                <w:szCs w:val="21"/>
              </w:rPr>
            </w:pPr>
            <w:r>
              <w:rPr>
                <w:rFonts w:hint="eastAsia"/>
                <w:kern w:val="0"/>
                <w:sz w:val="21"/>
                <w:szCs w:val="21"/>
              </w:rPr>
              <w:t>0.6（准备）+</w:t>
            </w:r>
          </w:p>
          <w:p>
            <w:pPr>
              <w:widowControl/>
              <w:snapToGrid w:val="0"/>
              <w:spacing w:line="240" w:lineRule="exact"/>
              <w:jc w:val="center"/>
              <w:rPr>
                <w:kern w:val="0"/>
                <w:sz w:val="21"/>
                <w:szCs w:val="21"/>
              </w:rPr>
            </w:pPr>
            <w:r>
              <w:rPr>
                <w:rFonts w:hint="eastAsia"/>
                <w:kern w:val="0"/>
                <w:sz w:val="21"/>
                <w:szCs w:val="21"/>
              </w:rPr>
              <w:t>6（反应）+</w:t>
            </w:r>
          </w:p>
          <w:p>
            <w:pPr>
              <w:widowControl/>
              <w:snapToGrid w:val="0"/>
              <w:spacing w:line="240" w:lineRule="exact"/>
              <w:jc w:val="center"/>
              <w:rPr>
                <w:kern w:val="0"/>
                <w:sz w:val="21"/>
                <w:szCs w:val="21"/>
              </w:rPr>
            </w:pPr>
            <w:r>
              <w:rPr>
                <w:rFonts w:hint="eastAsia"/>
                <w:kern w:val="0"/>
                <w:sz w:val="21"/>
                <w:szCs w:val="21"/>
              </w:rPr>
              <w:t>4</w:t>
            </w:r>
            <w:r>
              <w:rPr>
                <w:rFonts w:hint="eastAsia"/>
                <w:kern w:val="0"/>
                <w:sz w:val="21"/>
                <w:szCs w:val="21"/>
                <w:lang w:eastAsia="zh-CN"/>
              </w:rPr>
              <w:t>～</w:t>
            </w:r>
            <w:r>
              <w:rPr>
                <w:rFonts w:hint="eastAsia"/>
                <w:kern w:val="0"/>
                <w:sz w:val="21"/>
                <w:szCs w:val="21"/>
              </w:rPr>
              <w:t>6（间隔取样分析）</w:t>
            </w:r>
          </w:p>
          <w:p>
            <w:pPr>
              <w:widowControl/>
              <w:snapToGrid w:val="0"/>
              <w:spacing w:line="240" w:lineRule="exact"/>
              <w:jc w:val="center"/>
              <w:rPr>
                <w:kern w:val="0"/>
                <w:sz w:val="21"/>
                <w:szCs w:val="21"/>
              </w:rPr>
            </w:pPr>
            <w:r>
              <w:rPr>
                <w:rFonts w:hint="eastAsia"/>
                <w:kern w:val="0"/>
                <w:sz w:val="21"/>
                <w:szCs w:val="21"/>
              </w:rPr>
              <w:t>+0.5（出料）</w:t>
            </w:r>
          </w:p>
        </w:tc>
        <w:tc>
          <w:tcPr>
            <w:tcW w:w="450" w:type="pct"/>
            <w:noWrap/>
            <w:vAlign w:val="center"/>
          </w:tcPr>
          <w:p>
            <w:pPr>
              <w:widowControl/>
              <w:snapToGrid w:val="0"/>
              <w:spacing w:line="240" w:lineRule="exact"/>
              <w:jc w:val="center"/>
              <w:rPr>
                <w:kern w:val="0"/>
                <w:sz w:val="21"/>
                <w:szCs w:val="21"/>
              </w:rPr>
            </w:pPr>
            <w:r>
              <w:rPr>
                <w:rFonts w:hint="eastAsia"/>
                <w:kern w:val="0"/>
                <w:sz w:val="21"/>
                <w:szCs w:val="21"/>
              </w:rPr>
              <w:t>2400</w:t>
            </w:r>
          </w:p>
        </w:tc>
        <w:tc>
          <w:tcPr>
            <w:tcW w:w="460" w:type="pct"/>
            <w:noWrap/>
            <w:vAlign w:val="center"/>
          </w:tcPr>
          <w:p>
            <w:pPr>
              <w:widowControl/>
              <w:snapToGrid w:val="0"/>
              <w:spacing w:line="240" w:lineRule="exact"/>
              <w:jc w:val="center"/>
              <w:rPr>
                <w:kern w:val="0"/>
                <w:sz w:val="21"/>
                <w:szCs w:val="21"/>
              </w:rPr>
            </w:pPr>
            <w:r>
              <w:rPr>
                <w:rFonts w:hint="eastAsia"/>
                <w:kern w:val="0"/>
                <w:sz w:val="21"/>
                <w:szCs w:val="21"/>
              </w:rPr>
              <w:t>5400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24" w:type="pct"/>
            <w:noWrap w:val="0"/>
            <w:vAlign w:val="center"/>
          </w:tcPr>
          <w:p>
            <w:pPr>
              <w:widowControl/>
              <w:snapToGrid w:val="0"/>
              <w:spacing w:line="240" w:lineRule="exact"/>
              <w:jc w:val="center"/>
              <w:rPr>
                <w:kern w:val="0"/>
                <w:sz w:val="21"/>
                <w:szCs w:val="21"/>
              </w:rPr>
            </w:pPr>
            <w:r>
              <w:rPr>
                <w:rFonts w:hint="eastAsia"/>
                <w:kern w:val="0"/>
                <w:sz w:val="21"/>
                <w:szCs w:val="21"/>
              </w:rPr>
              <w:t>其它脂肪酸酯</w:t>
            </w:r>
          </w:p>
        </w:tc>
        <w:tc>
          <w:tcPr>
            <w:tcW w:w="610" w:type="pct"/>
            <w:vMerge w:val="continue"/>
            <w:noWrap/>
            <w:vAlign w:val="center"/>
          </w:tcPr>
          <w:p>
            <w:pPr>
              <w:widowControl/>
              <w:snapToGrid w:val="0"/>
              <w:spacing w:line="240" w:lineRule="exact"/>
              <w:jc w:val="center"/>
              <w:rPr>
                <w:kern w:val="0"/>
                <w:sz w:val="21"/>
                <w:szCs w:val="21"/>
              </w:rPr>
            </w:pPr>
          </w:p>
        </w:tc>
        <w:tc>
          <w:tcPr>
            <w:tcW w:w="743" w:type="pct"/>
            <w:noWrap w:val="0"/>
            <w:vAlign w:val="center"/>
          </w:tcPr>
          <w:p>
            <w:pPr>
              <w:widowControl/>
              <w:snapToGrid w:val="0"/>
              <w:spacing w:line="240" w:lineRule="exact"/>
              <w:jc w:val="center"/>
              <w:rPr>
                <w:rFonts w:hint="default" w:eastAsia="宋体"/>
                <w:kern w:val="0"/>
                <w:sz w:val="21"/>
                <w:szCs w:val="21"/>
                <w:lang w:val="en-US" w:eastAsia="zh-CN"/>
              </w:rPr>
            </w:pPr>
            <w:r>
              <w:rPr>
                <w:rFonts w:hint="eastAsia"/>
                <w:kern w:val="0"/>
                <w:sz w:val="21"/>
                <w:szCs w:val="21"/>
                <w:lang w:val="en-US" w:eastAsia="zh-CN"/>
              </w:rPr>
              <w:t>284</w:t>
            </w:r>
          </w:p>
        </w:tc>
        <w:tc>
          <w:tcPr>
            <w:tcW w:w="876" w:type="pct"/>
            <w:noWrap/>
            <w:vAlign w:val="center"/>
          </w:tcPr>
          <w:p>
            <w:pPr>
              <w:widowControl/>
              <w:snapToGrid w:val="0"/>
              <w:spacing w:line="240" w:lineRule="exact"/>
              <w:jc w:val="center"/>
              <w:rPr>
                <w:kern w:val="0"/>
                <w:sz w:val="21"/>
                <w:szCs w:val="21"/>
              </w:rPr>
            </w:pPr>
            <w:r>
              <w:rPr>
                <w:rFonts w:hint="eastAsia"/>
                <w:kern w:val="0"/>
                <w:sz w:val="21"/>
                <w:szCs w:val="21"/>
              </w:rPr>
              <w:t>25</w:t>
            </w:r>
          </w:p>
          <w:p>
            <w:pPr>
              <w:widowControl/>
              <w:snapToGrid w:val="0"/>
              <w:spacing w:line="240" w:lineRule="exact"/>
              <w:jc w:val="center"/>
              <w:rPr>
                <w:kern w:val="0"/>
                <w:sz w:val="21"/>
                <w:szCs w:val="21"/>
              </w:rPr>
            </w:pPr>
            <w:r>
              <w:rPr>
                <w:rFonts w:hint="eastAsia"/>
                <w:kern w:val="0"/>
                <w:sz w:val="21"/>
                <w:szCs w:val="21"/>
              </w:rPr>
              <w:t>（折算最终产品的量）</w:t>
            </w:r>
          </w:p>
        </w:tc>
        <w:tc>
          <w:tcPr>
            <w:tcW w:w="1232" w:type="pct"/>
            <w:noWrap/>
            <w:vAlign w:val="center"/>
          </w:tcPr>
          <w:p>
            <w:pPr>
              <w:widowControl/>
              <w:snapToGrid w:val="0"/>
              <w:spacing w:line="240" w:lineRule="exact"/>
              <w:jc w:val="center"/>
              <w:rPr>
                <w:kern w:val="0"/>
                <w:sz w:val="21"/>
                <w:szCs w:val="21"/>
              </w:rPr>
            </w:pPr>
            <w:r>
              <w:rPr>
                <w:rFonts w:hint="eastAsia"/>
                <w:kern w:val="0"/>
                <w:sz w:val="21"/>
                <w:szCs w:val="21"/>
              </w:rPr>
              <w:t>0.5（准备）+</w:t>
            </w:r>
          </w:p>
          <w:p>
            <w:pPr>
              <w:widowControl/>
              <w:snapToGrid w:val="0"/>
              <w:spacing w:line="240" w:lineRule="exact"/>
              <w:jc w:val="center"/>
              <w:rPr>
                <w:kern w:val="0"/>
                <w:sz w:val="21"/>
                <w:szCs w:val="21"/>
              </w:rPr>
            </w:pPr>
            <w:r>
              <w:rPr>
                <w:rFonts w:hint="eastAsia"/>
                <w:kern w:val="0"/>
                <w:sz w:val="21"/>
                <w:szCs w:val="21"/>
              </w:rPr>
              <w:t>4.2（反应）+</w:t>
            </w:r>
          </w:p>
          <w:p>
            <w:pPr>
              <w:widowControl/>
              <w:snapToGrid w:val="0"/>
              <w:spacing w:line="240" w:lineRule="exact"/>
              <w:jc w:val="center"/>
              <w:rPr>
                <w:kern w:val="0"/>
                <w:sz w:val="21"/>
                <w:szCs w:val="21"/>
              </w:rPr>
            </w:pPr>
            <w:r>
              <w:rPr>
                <w:rFonts w:hint="eastAsia"/>
                <w:kern w:val="0"/>
                <w:sz w:val="21"/>
                <w:szCs w:val="21"/>
              </w:rPr>
              <w:t>4</w:t>
            </w:r>
            <w:r>
              <w:rPr>
                <w:rFonts w:hint="eastAsia"/>
                <w:kern w:val="0"/>
                <w:sz w:val="21"/>
                <w:szCs w:val="21"/>
                <w:lang w:eastAsia="zh-CN"/>
              </w:rPr>
              <w:t>～</w:t>
            </w:r>
            <w:r>
              <w:rPr>
                <w:rFonts w:hint="eastAsia"/>
                <w:kern w:val="0"/>
                <w:sz w:val="21"/>
                <w:szCs w:val="21"/>
              </w:rPr>
              <w:t>6（间隔取样分析）</w:t>
            </w:r>
          </w:p>
          <w:p>
            <w:pPr>
              <w:widowControl/>
              <w:snapToGrid w:val="0"/>
              <w:spacing w:line="240" w:lineRule="exact"/>
              <w:jc w:val="center"/>
              <w:rPr>
                <w:kern w:val="0"/>
                <w:sz w:val="21"/>
                <w:szCs w:val="21"/>
              </w:rPr>
            </w:pPr>
            <w:r>
              <w:rPr>
                <w:rFonts w:hint="eastAsia"/>
                <w:kern w:val="0"/>
                <w:sz w:val="21"/>
                <w:szCs w:val="21"/>
              </w:rPr>
              <w:t>+0.5（出料）</w:t>
            </w:r>
          </w:p>
        </w:tc>
        <w:tc>
          <w:tcPr>
            <w:tcW w:w="450" w:type="pct"/>
            <w:noWrap/>
            <w:vAlign w:val="center"/>
          </w:tcPr>
          <w:p>
            <w:pPr>
              <w:widowControl/>
              <w:snapToGrid w:val="0"/>
              <w:spacing w:line="240" w:lineRule="exact"/>
              <w:jc w:val="center"/>
              <w:rPr>
                <w:rFonts w:hint="default" w:eastAsia="宋体"/>
                <w:kern w:val="0"/>
                <w:sz w:val="21"/>
                <w:szCs w:val="21"/>
                <w:lang w:val="en-US" w:eastAsia="zh-CN"/>
              </w:rPr>
            </w:pPr>
            <w:r>
              <w:rPr>
                <w:rFonts w:hint="eastAsia"/>
                <w:kern w:val="0"/>
                <w:sz w:val="21"/>
                <w:szCs w:val="21"/>
                <w:lang w:val="en-US" w:eastAsia="zh-CN"/>
              </w:rPr>
              <w:t>2700</w:t>
            </w:r>
          </w:p>
        </w:tc>
        <w:tc>
          <w:tcPr>
            <w:tcW w:w="460" w:type="pct"/>
            <w:noWrap/>
            <w:vAlign w:val="center"/>
          </w:tcPr>
          <w:p>
            <w:pPr>
              <w:widowControl/>
              <w:snapToGrid w:val="0"/>
              <w:spacing w:line="240" w:lineRule="exact"/>
              <w:jc w:val="center"/>
              <w:rPr>
                <w:rFonts w:hint="default" w:eastAsia="宋体"/>
                <w:kern w:val="0"/>
                <w:sz w:val="21"/>
                <w:szCs w:val="21"/>
                <w:lang w:val="en-US" w:eastAsia="zh-CN"/>
              </w:rPr>
            </w:pPr>
            <w:r>
              <w:rPr>
                <w:rFonts w:hint="eastAsia"/>
                <w:kern w:val="0"/>
                <w:sz w:val="21"/>
                <w:szCs w:val="21"/>
                <w:lang w:val="en-US" w:eastAsia="zh-CN"/>
              </w:rPr>
              <w:t>7100</w: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bCs/>
          <w:color w:val="auto"/>
          <w:sz w:val="24"/>
          <w:szCs w:val="24"/>
          <w:lang w:val="zh-CN"/>
        </w:rPr>
      </w:pPr>
      <w:r>
        <w:rPr>
          <w:rFonts w:hint="default" w:ascii="Times New Roman" w:hAnsi="Times New Roman" w:eastAsia="宋体" w:cs="Times New Roman"/>
          <w:b/>
          <w:bCs/>
          <w:color w:val="auto"/>
          <w:sz w:val="24"/>
          <w:szCs w:val="24"/>
          <w:lang w:val="zh-CN"/>
        </w:rPr>
        <w:t>表</w:t>
      </w:r>
      <w:r>
        <w:rPr>
          <w:rFonts w:hint="default" w:ascii="Times New Roman" w:hAnsi="Times New Roman" w:eastAsia="宋体" w:cs="Times New Roman"/>
          <w:b/>
          <w:bCs/>
          <w:color w:val="auto"/>
          <w:sz w:val="24"/>
          <w:szCs w:val="24"/>
          <w:lang w:val="en-US" w:eastAsia="zh-CN"/>
        </w:rPr>
        <w:t>10</w:t>
      </w:r>
      <w:r>
        <w:rPr>
          <w:rFonts w:hint="default" w:ascii="Times New Roman" w:hAnsi="Times New Roman" w:eastAsia="宋体" w:cs="Times New Roman"/>
          <w:b/>
          <w:bCs/>
          <w:color w:val="auto"/>
          <w:sz w:val="24"/>
          <w:szCs w:val="24"/>
          <w:lang w:val="zh-CN"/>
        </w:rPr>
        <w:t>-</w:t>
      </w:r>
      <w:r>
        <w:rPr>
          <w:rFonts w:hint="eastAsia" w:ascii="Times New Roman" w:hAnsi="Times New Roman" w:cs="Times New Roman"/>
          <w:b/>
          <w:bCs/>
          <w:color w:val="auto"/>
          <w:sz w:val="24"/>
          <w:szCs w:val="24"/>
          <w:lang w:val="en-US" w:eastAsia="zh-CN"/>
        </w:rPr>
        <w:t>2</w:t>
      </w:r>
      <w:r>
        <w:rPr>
          <w:rFonts w:hint="default" w:ascii="Times New Roman" w:hAnsi="Times New Roman" w:eastAsia="宋体" w:cs="Times New Roman"/>
          <w:b/>
          <w:bCs/>
          <w:color w:val="auto"/>
          <w:sz w:val="24"/>
          <w:szCs w:val="24"/>
          <w:lang w:val="zh-CN"/>
        </w:rPr>
        <w:t xml:space="preserve"> </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lang w:val="zh-CN"/>
        </w:rPr>
        <w:t>废气污染物排放总量</w:t>
      </w:r>
      <w:r>
        <w:rPr>
          <w:rFonts w:hint="eastAsia" w:ascii="Times New Roman" w:hAnsi="Times New Roman" w:cs="Times New Roman"/>
          <w:b/>
          <w:bCs/>
          <w:color w:val="auto"/>
          <w:sz w:val="24"/>
          <w:szCs w:val="24"/>
          <w:lang w:val="zh-CN"/>
        </w:rPr>
        <w:t>计算</w:t>
      </w:r>
      <w:r>
        <w:rPr>
          <w:rFonts w:hint="eastAsia" w:ascii="Times New Roman" w:hAnsi="Times New Roman" w:eastAsia="宋体" w:cs="Times New Roman"/>
          <w:b/>
          <w:bCs/>
          <w:color w:val="auto"/>
          <w:sz w:val="24"/>
          <w:szCs w:val="24"/>
          <w:lang w:val="zh-CN" w:eastAsia="zh-CN"/>
        </w:rPr>
        <w:t>统计表</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8"/>
        <w:gridCol w:w="1936"/>
        <w:gridCol w:w="1924"/>
        <w:gridCol w:w="1677"/>
        <w:gridCol w:w="1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63" w:type="pct"/>
            <w:vAlign w:val="center"/>
          </w:tcPr>
          <w:p>
            <w:pPr>
              <w:keepNext w:val="0"/>
              <w:keepLines w:val="0"/>
              <w:pageBreakBefore w:val="0"/>
              <w:widowControl/>
              <w:kinsoku/>
              <w:wordWrap/>
              <w:overflowPunct/>
              <w:topLinePunct w:val="0"/>
              <w:autoSpaceDE w:val="0"/>
              <w:autoSpaceDN w:val="0"/>
              <w:bidi w:val="0"/>
              <w:adjustRightInd/>
              <w:snapToGrid w:val="0"/>
              <w:spacing w:line="240" w:lineRule="auto"/>
              <w:jc w:val="center"/>
              <w:textAlignment w:val="auto"/>
              <w:outlineLvl w:val="9"/>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工况</w:t>
            </w:r>
          </w:p>
        </w:tc>
        <w:tc>
          <w:tcPr>
            <w:tcW w:w="1104" w:type="pct"/>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
                <w:bCs/>
                <w:color w:val="auto"/>
                <w:sz w:val="21"/>
                <w:szCs w:val="21"/>
                <w:lang w:val="en-US" w:eastAsia="en-US" w:bidi="ar-SA"/>
              </w:rPr>
            </w:pPr>
            <w:r>
              <w:rPr>
                <w:rFonts w:hint="default" w:ascii="Times New Roman" w:hAnsi="Times New Roman" w:eastAsia="宋体" w:cs="Times New Roman"/>
                <w:b/>
                <w:bCs/>
                <w:color w:val="auto"/>
                <w:sz w:val="21"/>
                <w:szCs w:val="21"/>
              </w:rPr>
              <w:t>污染物</w:t>
            </w:r>
          </w:p>
        </w:tc>
        <w:tc>
          <w:tcPr>
            <w:tcW w:w="1097" w:type="pct"/>
            <w:vAlign w:val="center"/>
          </w:tcPr>
          <w:p>
            <w:pPr>
              <w:keepNext w:val="0"/>
              <w:keepLines w:val="0"/>
              <w:pageBreakBefore w:val="0"/>
              <w:widowControl/>
              <w:kinsoku/>
              <w:wordWrap/>
              <w:overflowPunct/>
              <w:topLinePunct w:val="0"/>
              <w:autoSpaceDE w:val="0"/>
              <w:autoSpaceDN w:val="0"/>
              <w:bidi w:val="0"/>
              <w:adjustRightInd/>
              <w:snapToGrid w:val="0"/>
              <w:spacing w:line="240" w:lineRule="auto"/>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平均排放速率（kg/h）</w:t>
            </w:r>
          </w:p>
        </w:tc>
        <w:tc>
          <w:tcPr>
            <w:tcW w:w="956" w:type="pct"/>
            <w:vAlign w:val="center"/>
          </w:tcPr>
          <w:p>
            <w:pPr>
              <w:keepNext w:val="0"/>
              <w:keepLines w:val="0"/>
              <w:pageBreakBefore w:val="0"/>
              <w:widowControl/>
              <w:kinsoku/>
              <w:wordWrap/>
              <w:overflowPunct/>
              <w:topLinePunct w:val="0"/>
              <w:autoSpaceDE w:val="0"/>
              <w:autoSpaceDN w:val="0"/>
              <w:bidi w:val="0"/>
              <w:adjustRightInd/>
              <w:snapToGrid w:val="0"/>
              <w:spacing w:line="240" w:lineRule="auto"/>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年排放时间</w:t>
            </w:r>
            <w:r>
              <w:rPr>
                <w:rFonts w:hint="default" w:ascii="Times New Roman" w:hAnsi="Times New Roman" w:eastAsia="宋体" w:cs="Times New Roman"/>
                <w:b/>
                <w:bCs/>
                <w:color w:val="auto"/>
                <w:sz w:val="21"/>
                <w:szCs w:val="21"/>
              </w:rPr>
              <w:t>（h）</w:t>
            </w:r>
          </w:p>
        </w:tc>
        <w:tc>
          <w:tcPr>
            <w:tcW w:w="1078" w:type="pct"/>
            <w:vAlign w:val="center"/>
          </w:tcPr>
          <w:p>
            <w:pPr>
              <w:keepNext w:val="0"/>
              <w:keepLines w:val="0"/>
              <w:pageBreakBefore w:val="0"/>
              <w:widowControl/>
              <w:kinsoku/>
              <w:wordWrap/>
              <w:overflowPunct/>
              <w:topLinePunct w:val="0"/>
              <w:autoSpaceDE w:val="0"/>
              <w:autoSpaceDN w:val="0"/>
              <w:bidi w:val="0"/>
              <w:adjustRightInd/>
              <w:snapToGrid w:val="0"/>
              <w:spacing w:line="240" w:lineRule="auto"/>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63" w:type="pct"/>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异丙醇系列</w:t>
            </w:r>
          </w:p>
        </w:tc>
        <w:tc>
          <w:tcPr>
            <w:tcW w:w="1104"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非甲烷总烃</w:t>
            </w:r>
          </w:p>
        </w:tc>
        <w:tc>
          <w:tcPr>
            <w:tcW w:w="1097"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0.012</w:t>
            </w:r>
          </w:p>
        </w:tc>
        <w:tc>
          <w:tcPr>
            <w:tcW w:w="956" w:type="pct"/>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2400</w:t>
            </w:r>
          </w:p>
        </w:tc>
        <w:tc>
          <w:tcPr>
            <w:tcW w:w="1078"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0.0288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63" w:type="pct"/>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p>
        </w:tc>
        <w:tc>
          <w:tcPr>
            <w:tcW w:w="1104"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异丙醇</w:t>
            </w:r>
          </w:p>
        </w:tc>
        <w:tc>
          <w:tcPr>
            <w:tcW w:w="1097"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0.00108</w:t>
            </w:r>
          </w:p>
        </w:tc>
        <w:tc>
          <w:tcPr>
            <w:tcW w:w="956" w:type="pct"/>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p>
        </w:tc>
        <w:tc>
          <w:tcPr>
            <w:tcW w:w="1078"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0.002592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63" w:type="pct"/>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p>
        </w:tc>
        <w:tc>
          <w:tcPr>
            <w:tcW w:w="1104"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颗粒物</w:t>
            </w:r>
          </w:p>
        </w:tc>
        <w:tc>
          <w:tcPr>
            <w:tcW w:w="1097"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0.0007</w:t>
            </w:r>
          </w:p>
        </w:tc>
        <w:tc>
          <w:tcPr>
            <w:tcW w:w="956" w:type="pct"/>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p>
        </w:tc>
        <w:tc>
          <w:tcPr>
            <w:tcW w:w="1078"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0.00168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63" w:type="pct"/>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异辛醇系列</w:t>
            </w:r>
          </w:p>
        </w:tc>
        <w:tc>
          <w:tcPr>
            <w:tcW w:w="1104"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非甲烷总烃</w:t>
            </w:r>
          </w:p>
        </w:tc>
        <w:tc>
          <w:tcPr>
            <w:tcW w:w="1097"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0.016</w:t>
            </w:r>
          </w:p>
        </w:tc>
        <w:tc>
          <w:tcPr>
            <w:tcW w:w="956" w:type="pct"/>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2700</w:t>
            </w:r>
          </w:p>
        </w:tc>
        <w:tc>
          <w:tcPr>
            <w:tcW w:w="1078"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0.0432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63" w:type="pct"/>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p>
        </w:tc>
        <w:tc>
          <w:tcPr>
            <w:tcW w:w="1104"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颗粒物</w:t>
            </w:r>
          </w:p>
        </w:tc>
        <w:tc>
          <w:tcPr>
            <w:tcW w:w="1097"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0.0008</w:t>
            </w:r>
          </w:p>
        </w:tc>
        <w:tc>
          <w:tcPr>
            <w:tcW w:w="956" w:type="pct"/>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p>
        </w:tc>
        <w:tc>
          <w:tcPr>
            <w:tcW w:w="1078"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0.00216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63" w:type="pct"/>
            <w:vMerge w:val="restar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三羟甲基丙烷系列</w:t>
            </w:r>
          </w:p>
        </w:tc>
        <w:tc>
          <w:tcPr>
            <w:tcW w:w="1104"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非甲烷总烃</w:t>
            </w:r>
          </w:p>
        </w:tc>
        <w:tc>
          <w:tcPr>
            <w:tcW w:w="1097"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0.00852</w:t>
            </w:r>
          </w:p>
        </w:tc>
        <w:tc>
          <w:tcPr>
            <w:tcW w:w="956" w:type="pct"/>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p>
        </w:tc>
        <w:tc>
          <w:tcPr>
            <w:tcW w:w="1078"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0.023004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63" w:type="pct"/>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p>
        </w:tc>
        <w:tc>
          <w:tcPr>
            <w:tcW w:w="1104"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颗粒物</w:t>
            </w:r>
          </w:p>
        </w:tc>
        <w:tc>
          <w:tcPr>
            <w:tcW w:w="1097"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0.0007</w:t>
            </w:r>
          </w:p>
        </w:tc>
        <w:tc>
          <w:tcPr>
            <w:tcW w:w="956" w:type="pct"/>
            <w:vMerge w:val="continue"/>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p>
        </w:tc>
        <w:tc>
          <w:tcPr>
            <w:tcW w:w="1078"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0.0050</w: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bCs/>
          <w:color w:val="auto"/>
          <w:sz w:val="24"/>
          <w:szCs w:val="24"/>
          <w:lang w:val="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bCs/>
          <w:color w:val="auto"/>
          <w:sz w:val="24"/>
          <w:szCs w:val="24"/>
          <w:lang w:val="zh-CN"/>
        </w:rPr>
      </w:pPr>
      <w:r>
        <w:rPr>
          <w:rFonts w:hint="default" w:ascii="Times New Roman" w:hAnsi="Times New Roman" w:eastAsia="宋体" w:cs="Times New Roman"/>
          <w:b/>
          <w:bCs/>
          <w:color w:val="auto"/>
          <w:sz w:val="24"/>
          <w:szCs w:val="24"/>
          <w:lang w:val="zh-CN"/>
        </w:rPr>
        <w:t>表</w:t>
      </w:r>
      <w:r>
        <w:rPr>
          <w:rFonts w:hint="default" w:ascii="Times New Roman" w:hAnsi="Times New Roman" w:eastAsia="宋体" w:cs="Times New Roman"/>
          <w:b/>
          <w:bCs/>
          <w:color w:val="auto"/>
          <w:sz w:val="24"/>
          <w:szCs w:val="24"/>
          <w:lang w:val="en-US" w:eastAsia="zh-CN"/>
        </w:rPr>
        <w:t>10</w:t>
      </w:r>
      <w:r>
        <w:rPr>
          <w:rFonts w:hint="default" w:ascii="Times New Roman" w:hAnsi="Times New Roman" w:eastAsia="宋体" w:cs="Times New Roman"/>
          <w:b/>
          <w:bCs/>
          <w:color w:val="auto"/>
          <w:sz w:val="24"/>
          <w:szCs w:val="24"/>
          <w:lang w:val="zh-CN"/>
        </w:rPr>
        <w:t>-</w:t>
      </w:r>
      <w:r>
        <w:rPr>
          <w:rFonts w:hint="eastAsia" w:ascii="Times New Roman" w:hAnsi="Times New Roman" w:cs="Times New Roman"/>
          <w:b/>
          <w:bCs/>
          <w:color w:val="auto"/>
          <w:sz w:val="24"/>
          <w:szCs w:val="24"/>
          <w:lang w:val="en-US" w:eastAsia="zh-CN"/>
        </w:rPr>
        <w:t>3</w:t>
      </w:r>
      <w:r>
        <w:rPr>
          <w:rFonts w:hint="default" w:ascii="Times New Roman" w:hAnsi="Times New Roman" w:eastAsia="宋体" w:cs="Times New Roman"/>
          <w:b/>
          <w:bCs/>
          <w:color w:val="auto"/>
          <w:sz w:val="24"/>
          <w:szCs w:val="24"/>
          <w:lang w:val="zh-CN"/>
        </w:rPr>
        <w:t xml:space="preserve"> </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lang w:val="zh-CN"/>
        </w:rPr>
        <w:t>废气污染物排放总量</w:t>
      </w:r>
      <w:r>
        <w:rPr>
          <w:rFonts w:hint="eastAsia" w:ascii="Times New Roman" w:hAnsi="Times New Roman" w:eastAsia="宋体" w:cs="Times New Roman"/>
          <w:b/>
          <w:bCs/>
          <w:color w:val="auto"/>
          <w:sz w:val="24"/>
          <w:szCs w:val="24"/>
          <w:lang w:val="zh-CN"/>
        </w:rPr>
        <w:t>达标情况</w:t>
      </w:r>
      <w:r>
        <w:rPr>
          <w:rFonts w:hint="eastAsia" w:ascii="Times New Roman" w:hAnsi="Times New Roman" w:eastAsia="宋体" w:cs="Times New Roman"/>
          <w:b/>
          <w:bCs/>
          <w:color w:val="auto"/>
          <w:sz w:val="24"/>
          <w:szCs w:val="24"/>
          <w:lang w:val="zh-CN" w:eastAsia="zh-CN"/>
        </w:rPr>
        <w:t>统计表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0"/>
        <w:gridCol w:w="2187"/>
        <w:gridCol w:w="2170"/>
        <w:gridCol w:w="2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77" w:type="pct"/>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
                <w:bCs/>
                <w:color w:val="auto"/>
                <w:sz w:val="21"/>
                <w:szCs w:val="21"/>
                <w:lang w:val="en-US" w:eastAsia="en-US" w:bidi="ar-SA"/>
              </w:rPr>
            </w:pPr>
            <w:r>
              <w:rPr>
                <w:rFonts w:hint="default" w:ascii="Times New Roman" w:hAnsi="Times New Roman" w:eastAsia="宋体" w:cs="Times New Roman"/>
                <w:b/>
                <w:bCs/>
                <w:color w:val="auto"/>
                <w:sz w:val="21"/>
                <w:szCs w:val="21"/>
              </w:rPr>
              <w:t>污染物</w:t>
            </w:r>
          </w:p>
        </w:tc>
        <w:tc>
          <w:tcPr>
            <w:tcW w:w="1247" w:type="pct"/>
            <w:vAlign w:val="center"/>
          </w:tcPr>
          <w:p>
            <w:pPr>
              <w:keepNext w:val="0"/>
              <w:keepLines w:val="0"/>
              <w:pageBreakBefore w:val="0"/>
              <w:widowControl/>
              <w:kinsoku/>
              <w:wordWrap/>
              <w:overflowPunct/>
              <w:topLinePunct w:val="0"/>
              <w:autoSpaceDE w:val="0"/>
              <w:autoSpaceDN w:val="0"/>
              <w:bidi w:val="0"/>
              <w:adjustRightInd/>
              <w:snapToGrid w:val="0"/>
              <w:spacing w:line="240" w:lineRule="auto"/>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年排放量（t/a）</w:t>
            </w:r>
          </w:p>
        </w:tc>
        <w:tc>
          <w:tcPr>
            <w:tcW w:w="1237" w:type="pct"/>
            <w:vAlign w:val="center"/>
          </w:tcPr>
          <w:p>
            <w:pPr>
              <w:keepNext w:val="0"/>
              <w:keepLines w:val="0"/>
              <w:pageBreakBefore w:val="0"/>
              <w:widowControl/>
              <w:kinsoku/>
              <w:wordWrap/>
              <w:overflowPunct/>
              <w:topLinePunct w:val="0"/>
              <w:autoSpaceDE w:val="0"/>
              <w:autoSpaceDN w:val="0"/>
              <w:bidi w:val="0"/>
              <w:adjustRightInd/>
              <w:snapToGrid w:val="0"/>
              <w:spacing w:line="240" w:lineRule="auto"/>
              <w:jc w:val="center"/>
              <w:textAlignment w:val="auto"/>
              <w:outlineLvl w:val="9"/>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控制指标</w:t>
            </w:r>
            <w:r>
              <w:rPr>
                <w:rFonts w:hint="default" w:ascii="Times New Roman" w:hAnsi="Times New Roman" w:eastAsia="宋体" w:cs="Times New Roman"/>
                <w:b/>
                <w:bCs/>
                <w:color w:val="auto"/>
                <w:sz w:val="21"/>
                <w:szCs w:val="21"/>
              </w:rPr>
              <w:t>（t/a）</w:t>
            </w:r>
          </w:p>
        </w:tc>
        <w:tc>
          <w:tcPr>
            <w:tcW w:w="1237" w:type="pct"/>
            <w:vAlign w:val="center"/>
          </w:tcPr>
          <w:p>
            <w:pPr>
              <w:keepNext w:val="0"/>
              <w:keepLines w:val="0"/>
              <w:pageBreakBefore w:val="0"/>
              <w:widowControl/>
              <w:kinsoku/>
              <w:wordWrap/>
              <w:overflowPunct/>
              <w:topLinePunct w:val="0"/>
              <w:autoSpaceDE w:val="0"/>
              <w:autoSpaceDN w:val="0"/>
              <w:bidi w:val="0"/>
              <w:adjustRightInd/>
              <w:snapToGrid w:val="0"/>
              <w:spacing w:line="240" w:lineRule="auto"/>
              <w:jc w:val="center"/>
              <w:textAlignment w:val="auto"/>
              <w:outlineLvl w:val="9"/>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77"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非甲烷总烃</w:t>
            </w:r>
          </w:p>
        </w:tc>
        <w:tc>
          <w:tcPr>
            <w:tcW w:w="2187" w:type="dxa"/>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0.0950</w:t>
            </w:r>
          </w:p>
        </w:tc>
        <w:tc>
          <w:tcPr>
            <w:tcW w:w="1237"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0.357</w:t>
            </w:r>
          </w:p>
        </w:tc>
        <w:tc>
          <w:tcPr>
            <w:tcW w:w="1237"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77"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异丙醇</w:t>
            </w:r>
          </w:p>
        </w:tc>
        <w:tc>
          <w:tcPr>
            <w:tcW w:w="2187" w:type="dxa"/>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0.00259</w:t>
            </w:r>
          </w:p>
        </w:tc>
        <w:tc>
          <w:tcPr>
            <w:tcW w:w="1237"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0.0043</w:t>
            </w:r>
          </w:p>
        </w:tc>
        <w:tc>
          <w:tcPr>
            <w:tcW w:w="1237"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77"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t>颗粒物</w:t>
            </w:r>
          </w:p>
        </w:tc>
        <w:tc>
          <w:tcPr>
            <w:tcW w:w="2187" w:type="dxa"/>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0.00573</w:t>
            </w:r>
          </w:p>
        </w:tc>
        <w:tc>
          <w:tcPr>
            <w:tcW w:w="1237"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0.0092</w:t>
            </w:r>
          </w:p>
        </w:tc>
        <w:tc>
          <w:tcPr>
            <w:tcW w:w="1237"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达标</w:t>
            </w:r>
          </w:p>
        </w:tc>
      </w:tr>
    </w:tbl>
    <w:p>
      <w:pPr>
        <w:keepNext w:val="0"/>
        <w:keepLines w:val="0"/>
        <w:pageBreakBefore w:val="0"/>
        <w:widowControl w:val="0"/>
        <w:kinsoku/>
        <w:wordWrap/>
        <w:overflowPunct/>
        <w:topLinePunct w:val="0"/>
        <w:autoSpaceDE w:val="0"/>
        <w:autoSpaceDN w:val="0"/>
        <w:bidi w:val="0"/>
        <w:adjustRightInd/>
        <w:snapToGrid/>
        <w:spacing w:after="0" w:line="360" w:lineRule="auto"/>
        <w:ind w:left="0" w:leftChars="0" w:right="0" w:rightChars="0"/>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注：</w:t>
      </w:r>
      <w:r>
        <w:rPr>
          <w:rFonts w:hint="default" w:ascii="Times New Roman" w:hAnsi="Times New Roman" w:eastAsia="宋体" w:cs="Times New Roman"/>
          <w:b w:val="0"/>
          <w:bCs w:val="0"/>
          <w:color w:val="auto"/>
          <w:sz w:val="21"/>
          <w:szCs w:val="21"/>
          <w:lang w:val="en-US" w:eastAsia="zh-CN"/>
        </w:rPr>
        <w:t>1、异辛醇系列及</w:t>
      </w:r>
      <w:r>
        <w:rPr>
          <w:rFonts w:hint="default" w:ascii="Times New Roman" w:hAnsi="Times New Roman" w:eastAsia="宋体" w:cs="Times New Roman"/>
          <w:color w:val="auto"/>
          <w:spacing w:val="0"/>
          <w:sz w:val="21"/>
          <w:szCs w:val="21"/>
          <w:lang w:val="en-US" w:eastAsia="zh-CN"/>
        </w:rPr>
        <w:t>三羟甲基丙烷系列产品所使用的原辅料不涉及异丙醇，故不进行异丙醇总量计算；2、因批复中总量指标为全厂总量，本项目污染工序仅为全厂中一部分，故</w:t>
      </w:r>
      <w:r>
        <w:rPr>
          <w:rFonts w:hint="default" w:ascii="Times New Roman" w:hAnsi="Times New Roman" w:eastAsia="宋体" w:cs="Times New Roman"/>
          <w:b w:val="0"/>
          <w:bCs w:val="0"/>
          <w:color w:val="auto"/>
          <w:sz w:val="21"/>
          <w:szCs w:val="21"/>
          <w:lang w:eastAsia="zh-CN"/>
        </w:rPr>
        <w:t>总量控制指标依据环评对本项目预估新增排放量进行评价。</w:t>
      </w:r>
    </w:p>
    <w:p>
      <w:pPr>
        <w:keepNext w:val="0"/>
        <w:keepLines w:val="0"/>
        <w:pageBreakBefore w:val="0"/>
        <w:widowControl w:val="0"/>
        <w:kinsoku/>
        <w:wordWrap/>
        <w:overflowPunct/>
        <w:topLinePunct w:val="0"/>
        <w:autoSpaceDE w:val="0"/>
        <w:autoSpaceDN w:val="0"/>
        <w:bidi w:val="0"/>
        <w:adjustRightInd/>
        <w:snapToGrid/>
        <w:spacing w:after="0" w:line="360" w:lineRule="auto"/>
        <w:ind w:left="0" w:leftChars="0" w:right="0" w:rightChars="0"/>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w:t>
      </w:r>
      <w:r>
        <w:rPr>
          <w:rFonts w:hint="default" w:ascii="Times New Roman" w:hAnsi="Times New Roman" w:eastAsia="宋体" w:cs="Times New Roman"/>
          <w:b/>
          <w:bCs/>
          <w:color w:val="auto"/>
          <w:sz w:val="24"/>
          <w:szCs w:val="24"/>
          <w:lang w:val="en-US" w:eastAsia="zh-CN"/>
        </w:rPr>
        <w:t>0</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4.3 固体废物</w:t>
      </w:r>
      <w:r>
        <w:rPr>
          <w:rFonts w:hint="default" w:ascii="Times New Roman" w:hAnsi="Times New Roman" w:eastAsia="宋体" w:cs="Times New Roman"/>
          <w:b/>
          <w:bCs/>
          <w:color w:val="auto"/>
          <w:sz w:val="24"/>
          <w:szCs w:val="24"/>
        </w:rPr>
        <w:t>排放总量</w:t>
      </w:r>
    </w:p>
    <w:p>
      <w:pPr>
        <w:keepNext w:val="0"/>
        <w:keepLines w:val="0"/>
        <w:pageBreakBefore w:val="0"/>
        <w:widowControl w:val="0"/>
        <w:kinsoku/>
        <w:wordWrap/>
        <w:overflowPunct/>
        <w:topLinePunct w:val="0"/>
        <w:autoSpaceDE w:val="0"/>
        <w:autoSpaceDN w:val="0"/>
        <w:bidi w:val="0"/>
        <w:adjustRightInd/>
        <w:snapToGrid/>
        <w:spacing w:after="0"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项目产生的固体废物全部安全处置。</w:t>
      </w:r>
    </w:p>
    <w:p>
      <w:pP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br w:type="page"/>
      </w:r>
    </w:p>
    <w:bookmarkEnd w:id="103"/>
    <w:bookmarkEnd w:id="104"/>
    <w:bookmarkEnd w:id="105"/>
    <w:bookmarkEnd w:id="106"/>
    <w:p>
      <w:pPr>
        <w:pStyle w:val="3"/>
        <w:keepNext w:val="0"/>
        <w:keepLines w:val="0"/>
        <w:pageBreakBefore w:val="0"/>
        <w:widowControl w:val="0"/>
        <w:numPr>
          <w:ilvl w:val="0"/>
          <w:numId w:val="8"/>
        </w:numPr>
        <w:kinsoku/>
        <w:wordWrap/>
        <w:overflowPunct/>
        <w:topLinePunct w:val="0"/>
        <w:bidi w:val="0"/>
        <w:snapToGrid/>
        <w:spacing w:line="360" w:lineRule="auto"/>
        <w:ind w:left="0" w:leftChars="0" w:firstLine="0" w:firstLineChars="0"/>
        <w:textAlignment w:val="auto"/>
        <w:rPr>
          <w:rFonts w:hint="default" w:ascii="Times New Roman" w:hAnsi="Times New Roman" w:eastAsia="宋体" w:cs="Times New Roman"/>
          <w:color w:val="auto"/>
          <w:sz w:val="28"/>
          <w:szCs w:val="28"/>
        </w:rPr>
      </w:pPr>
      <w:bookmarkStart w:id="107" w:name="_Toc5951"/>
      <w:bookmarkStart w:id="108" w:name="_Toc18142"/>
      <w:bookmarkStart w:id="109" w:name="_Toc8528"/>
      <w:bookmarkStart w:id="110" w:name="_Toc15932"/>
      <w:r>
        <w:rPr>
          <w:rFonts w:hint="default" w:ascii="Times New Roman" w:hAnsi="Times New Roman" w:eastAsia="宋体" w:cs="Times New Roman"/>
          <w:color w:val="auto"/>
          <w:sz w:val="28"/>
          <w:szCs w:val="28"/>
        </w:rPr>
        <w:t>监测结论和建议</w:t>
      </w:r>
      <w:bookmarkEnd w:id="107"/>
      <w:bookmarkEnd w:id="108"/>
      <w:bookmarkEnd w:id="109"/>
      <w:bookmarkEnd w:id="110"/>
    </w:p>
    <w:p>
      <w:pPr>
        <w:keepNext w:val="0"/>
        <w:keepLines w:val="0"/>
        <w:pageBreakBefore w:val="0"/>
        <w:widowControl w:val="0"/>
        <w:kinsoku/>
        <w:wordWrap/>
        <w:overflowPunct/>
        <w:topLinePunct w:val="0"/>
        <w:autoSpaceDE w:val="0"/>
        <w:autoSpaceDN w:val="0"/>
        <w:bidi w:val="0"/>
        <w:snapToGrid/>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泰柯棕化(张家港)有限公司脂肪酸酯产品结构调整及节能减排技术改造项目于</w:t>
      </w:r>
      <w:r>
        <w:rPr>
          <w:rFonts w:hint="default" w:ascii="Times New Roman" w:hAnsi="Times New Roman" w:eastAsia="宋体" w:cs="Times New Roman"/>
          <w:color w:val="auto"/>
          <w:sz w:val="24"/>
          <w:szCs w:val="24"/>
          <w:lang w:val="en-US" w:eastAsia="zh-CN"/>
        </w:rPr>
        <w:t>2020年1月开工建设，2021年2月建成。</w:t>
      </w:r>
      <w:r>
        <w:rPr>
          <w:rFonts w:hint="eastAsia" w:ascii="Times New Roman" w:hAnsi="Times New Roman" w:cs="Times New Roman"/>
          <w:color w:val="auto"/>
          <w:sz w:val="24"/>
          <w:szCs w:val="24"/>
          <w:lang w:val="en-US" w:eastAsia="zh-CN"/>
        </w:rPr>
        <w:t>建成</w:t>
      </w:r>
      <w:r>
        <w:rPr>
          <w:rFonts w:hint="eastAsia" w:ascii="Times New Roman" w:hAnsi="Times New Roman" w:eastAsia="宋体" w:cs="Times New Roman"/>
          <w:color w:val="auto"/>
          <w:sz w:val="24"/>
          <w:szCs w:val="24"/>
          <w:lang w:val="en-US" w:eastAsia="zh-CN"/>
        </w:rPr>
        <w:t>产能</w:t>
      </w:r>
      <w:r>
        <w:rPr>
          <w:rFonts w:hint="default" w:ascii="Times New Roman" w:hAnsi="Times New Roman" w:eastAsia="宋体" w:cs="Times New Roman"/>
          <w:color w:val="auto"/>
          <w:sz w:val="24"/>
          <w:szCs w:val="24"/>
          <w:lang w:val="en-US" w:eastAsia="zh-CN"/>
        </w:rPr>
        <w:t>为年产脂肪酸酯产品</w:t>
      </w:r>
      <w:r>
        <w:rPr>
          <w:rFonts w:hint="eastAsia" w:ascii="Times New Roman" w:hAnsi="Times New Roman" w:cs="Times New Roman"/>
          <w:color w:val="auto"/>
          <w:sz w:val="24"/>
          <w:szCs w:val="24"/>
          <w:lang w:val="en-US" w:eastAsia="zh-CN"/>
        </w:rPr>
        <w:t>125</w:t>
      </w:r>
      <w:r>
        <w:rPr>
          <w:rFonts w:hint="default" w:ascii="Times New Roman" w:hAnsi="Times New Roman" w:eastAsia="宋体" w:cs="Times New Roman"/>
          <w:color w:val="auto"/>
          <w:sz w:val="24"/>
          <w:szCs w:val="24"/>
          <w:lang w:val="en-US" w:eastAsia="zh-CN"/>
        </w:rPr>
        <w:t>00吨</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主体工程及配套环保工程均已正常投入使用，满足“三同时”竣工环保验收条件。</w:t>
      </w:r>
    </w:p>
    <w:p>
      <w:pPr>
        <w:keepNext w:val="0"/>
        <w:keepLines w:val="0"/>
        <w:pageBreakBefore w:val="0"/>
        <w:widowControl w:val="0"/>
        <w:kinsoku/>
        <w:wordWrap/>
        <w:overflowPunct/>
        <w:topLinePunct w:val="0"/>
        <w:autoSpaceDE w:val="0"/>
        <w:autoSpaceDN w:val="0"/>
        <w:bidi w:val="0"/>
        <w:snapToGrid/>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2021年7月21日-22日、7月28日-29日、8月20日-21日分别</w:t>
      </w:r>
      <w:r>
        <w:rPr>
          <w:rFonts w:hint="default" w:ascii="Times New Roman" w:hAnsi="Times New Roman" w:eastAsia="宋体" w:cs="Times New Roman"/>
          <w:color w:val="auto"/>
          <w:sz w:val="24"/>
          <w:szCs w:val="24"/>
          <w:highlight w:val="none"/>
        </w:rPr>
        <w:t>对该</w:t>
      </w:r>
      <w:r>
        <w:rPr>
          <w:rFonts w:hint="default" w:ascii="Times New Roman" w:hAnsi="Times New Roman" w:eastAsia="宋体" w:cs="Times New Roman"/>
          <w:color w:val="auto"/>
          <w:sz w:val="24"/>
          <w:szCs w:val="24"/>
          <w:highlight w:val="none"/>
          <w:lang w:eastAsia="zh-CN"/>
        </w:rPr>
        <w:t>项目在</w:t>
      </w:r>
      <w:r>
        <w:rPr>
          <w:rFonts w:hint="default" w:ascii="Times New Roman" w:hAnsi="Times New Roman" w:eastAsia="宋体" w:cs="Times New Roman"/>
          <w:color w:val="auto"/>
          <w:sz w:val="24"/>
          <w:szCs w:val="24"/>
          <w:highlight w:val="none"/>
        </w:rPr>
        <w:t>异丙醇系列</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异辛醇系列、</w:t>
      </w:r>
      <w:r>
        <w:rPr>
          <w:rFonts w:hint="default" w:ascii="Times New Roman" w:hAnsi="Times New Roman" w:eastAsia="宋体" w:cs="Times New Roman"/>
          <w:color w:val="auto"/>
          <w:sz w:val="24"/>
          <w:szCs w:val="24"/>
          <w:highlight w:val="none"/>
        </w:rPr>
        <w:t>三羟甲基丙烷系列</w:t>
      </w:r>
      <w:r>
        <w:rPr>
          <w:rFonts w:hint="default" w:ascii="Times New Roman" w:hAnsi="Times New Roman" w:eastAsia="宋体" w:cs="Times New Roman"/>
          <w:color w:val="auto"/>
          <w:sz w:val="24"/>
          <w:szCs w:val="24"/>
          <w:highlight w:val="none"/>
          <w:lang w:val="en-US" w:eastAsia="zh-CN"/>
        </w:rPr>
        <w:t>三种工况</w:t>
      </w:r>
      <w:r>
        <w:rPr>
          <w:rFonts w:hint="default" w:ascii="Times New Roman" w:hAnsi="Times New Roman" w:eastAsia="宋体" w:cs="Times New Roman"/>
          <w:color w:val="auto"/>
          <w:sz w:val="24"/>
          <w:szCs w:val="24"/>
          <w:highlight w:val="none"/>
        </w:rPr>
        <w:t>运行时</w:t>
      </w:r>
      <w:r>
        <w:rPr>
          <w:rFonts w:hint="default" w:ascii="Times New Roman" w:hAnsi="Times New Roman" w:eastAsia="宋体" w:cs="Times New Roman"/>
          <w:color w:val="auto"/>
          <w:sz w:val="24"/>
          <w:szCs w:val="24"/>
          <w:highlight w:val="none"/>
          <w:lang w:eastAsia="zh-CN"/>
        </w:rPr>
        <w:t>的</w:t>
      </w:r>
      <w:r>
        <w:rPr>
          <w:rFonts w:hint="default" w:ascii="Times New Roman" w:hAnsi="Times New Roman" w:eastAsia="宋体" w:cs="Times New Roman"/>
          <w:color w:val="auto"/>
          <w:sz w:val="24"/>
          <w:szCs w:val="24"/>
          <w:highlight w:val="none"/>
        </w:rPr>
        <w:t>废气、废水、噪声、固体废物等污染源排放现状和各类环保治理设施的处理能力进行了现场监测及检查，</w:t>
      </w:r>
      <w:r>
        <w:rPr>
          <w:rFonts w:hint="default" w:ascii="Times New Roman" w:hAnsi="Times New Roman" w:eastAsia="宋体" w:cs="Times New Roman"/>
          <w:color w:val="auto"/>
          <w:sz w:val="24"/>
          <w:szCs w:val="24"/>
          <w:highlight w:val="none"/>
          <w:lang w:eastAsia="zh-CN"/>
        </w:rPr>
        <w:t>监测</w:t>
      </w:r>
      <w:r>
        <w:rPr>
          <w:rFonts w:hint="default" w:ascii="Times New Roman" w:hAnsi="Times New Roman" w:eastAsia="宋体" w:cs="Times New Roman"/>
          <w:color w:val="auto"/>
          <w:sz w:val="24"/>
          <w:szCs w:val="24"/>
          <w:lang w:val="en-US" w:eastAsia="zh-CN"/>
        </w:rPr>
        <w:t>期间该项目生产正常，各项环保治理设施均运转正常，生产负荷为＞75%，监测结果表明，验收监测期间：</w:t>
      </w:r>
    </w:p>
    <w:p>
      <w:pPr>
        <w:pStyle w:val="4"/>
        <w:keepNext w:val="0"/>
        <w:keepLines w:val="0"/>
        <w:pageBreakBefore w:val="0"/>
        <w:widowControl w:val="0"/>
        <w:kinsoku/>
        <w:wordWrap/>
        <w:overflowPunct/>
        <w:topLinePunct w:val="0"/>
        <w:bidi w:val="0"/>
        <w:adjustRightInd/>
        <w:snapToGrid/>
        <w:spacing w:before="0" w:after="0" w:line="360" w:lineRule="auto"/>
        <w:ind w:left="0" w:leftChars="0" w:right="0" w:rightChars="0" w:firstLine="0" w:firstLineChars="0"/>
        <w:textAlignment w:val="auto"/>
        <w:rPr>
          <w:rFonts w:hint="default" w:ascii="Times New Roman" w:hAnsi="Times New Roman" w:eastAsia="宋体" w:cs="Times New Roman"/>
          <w:color w:val="auto"/>
          <w:sz w:val="28"/>
          <w:szCs w:val="28"/>
          <w:lang w:val="en-US" w:eastAsia="zh-CN"/>
        </w:rPr>
      </w:pPr>
      <w:bookmarkStart w:id="111" w:name="_Toc21990"/>
      <w:bookmarkStart w:id="112" w:name="_Toc16179"/>
      <w:bookmarkStart w:id="113" w:name="_Toc25282"/>
      <w:r>
        <w:rPr>
          <w:rFonts w:hint="default" w:ascii="Times New Roman" w:hAnsi="Times New Roman" w:eastAsia="宋体" w:cs="Times New Roman"/>
          <w:color w:val="auto"/>
          <w:sz w:val="28"/>
          <w:szCs w:val="28"/>
          <w:lang w:val="en-US" w:eastAsia="zh-CN"/>
        </w:rPr>
        <w:t>11.1</w:t>
      </w:r>
      <w:bookmarkEnd w:id="111"/>
      <w:bookmarkEnd w:id="112"/>
      <w:bookmarkStart w:id="114" w:name="_Toc27277"/>
      <w:bookmarkStart w:id="115" w:name="_Toc29434"/>
      <w:r>
        <w:rPr>
          <w:rFonts w:hint="default" w:ascii="Times New Roman" w:hAnsi="Times New Roman" w:eastAsia="宋体" w:cs="Times New Roman"/>
          <w:color w:val="auto"/>
          <w:sz w:val="28"/>
          <w:szCs w:val="28"/>
          <w:lang w:val="en-US" w:eastAsia="zh-CN"/>
        </w:rPr>
        <w:t xml:space="preserve"> 污染物排放监测结果及达标情况</w:t>
      </w:r>
      <w:bookmarkEnd w:id="113"/>
    </w:p>
    <w:p>
      <w:pPr>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11.1.1 废水监测结果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本项目厂区污水接管口在异丙醇系列、异辛醇系列、</w:t>
      </w:r>
      <w:r>
        <w:rPr>
          <w:rFonts w:hint="default" w:ascii="Times New Roman" w:hAnsi="Times New Roman" w:eastAsia="宋体" w:cs="Times New Roman"/>
          <w:color w:val="auto"/>
          <w:sz w:val="24"/>
          <w:szCs w:val="24"/>
        </w:rPr>
        <w:t>三羟甲基丙烷系列</w:t>
      </w:r>
      <w:r>
        <w:rPr>
          <w:rFonts w:hint="default" w:ascii="Times New Roman" w:hAnsi="Times New Roman" w:eastAsia="宋体" w:cs="Times New Roman"/>
          <w:color w:val="auto"/>
          <w:sz w:val="24"/>
          <w:szCs w:val="24"/>
          <w:lang w:val="en-US" w:eastAsia="zh-CN"/>
        </w:rPr>
        <w:t>三种产品生产工况下</w:t>
      </w:r>
      <w:r>
        <w:rPr>
          <w:rFonts w:hint="default" w:ascii="Times New Roman" w:hAnsi="Times New Roman" w:eastAsia="宋体" w:cs="Times New Roman"/>
          <w:color w:val="auto"/>
          <w:sz w:val="24"/>
          <w:szCs w:val="24"/>
          <w:lang w:eastAsia="zh-CN"/>
        </w:rPr>
        <w:t>排放的废水中</w:t>
      </w:r>
      <w:r>
        <w:rPr>
          <w:rFonts w:hint="default" w:ascii="Times New Roman" w:hAnsi="Times New Roman" w:eastAsia="宋体" w:cs="Times New Roman"/>
          <w:color w:val="auto"/>
          <w:sz w:val="24"/>
          <w:szCs w:val="24"/>
          <w:lang w:val="en-US" w:eastAsia="zh-CN"/>
        </w:rPr>
        <w:t>pH范围、化学需氧量、氨氮、总磷、悬浮物、动植物油排放浓度日均值均能够满足胜科水务接管限值要求，</w:t>
      </w:r>
      <w:r>
        <w:rPr>
          <w:rFonts w:hint="default" w:ascii="Times New Roman" w:hAnsi="Times New Roman" w:eastAsia="宋体" w:cs="Times New Roman"/>
          <w:color w:val="auto"/>
          <w:sz w:val="24"/>
          <w:szCs w:val="24"/>
          <w:lang w:eastAsia="zh-CN"/>
        </w:rPr>
        <w:t>清下水排口</w:t>
      </w:r>
      <w:r>
        <w:rPr>
          <w:rFonts w:hint="default" w:ascii="Times New Roman" w:hAnsi="Times New Roman" w:eastAsia="宋体" w:cs="Times New Roman"/>
          <w:color w:val="auto"/>
          <w:sz w:val="24"/>
          <w:szCs w:val="24"/>
          <w:lang w:val="en-US" w:eastAsia="zh-CN"/>
        </w:rPr>
        <w:t>化学需氧量排放浓度日均值</w:t>
      </w:r>
      <w:r>
        <w:rPr>
          <w:rFonts w:hint="default" w:ascii="Times New Roman" w:hAnsi="Times New Roman" w:eastAsia="宋体" w:cs="Times New Roman"/>
          <w:color w:val="auto"/>
          <w:sz w:val="24"/>
          <w:szCs w:val="24"/>
          <w:lang w:eastAsia="zh-CN"/>
        </w:rPr>
        <w:t>满足环评批复的</w:t>
      </w:r>
      <w:r>
        <w:rPr>
          <w:rFonts w:hint="default" w:ascii="Times New Roman" w:hAnsi="Times New Roman" w:eastAsia="宋体" w:cs="Times New Roman"/>
          <w:color w:val="auto"/>
          <w:sz w:val="24"/>
          <w:szCs w:val="24"/>
        </w:rPr>
        <w:t>《地表水环境质量标准》（GB3838-2002）IV限值</w:t>
      </w:r>
      <w:r>
        <w:rPr>
          <w:rFonts w:hint="default" w:ascii="Times New Roman" w:hAnsi="Times New Roman" w:eastAsia="宋体" w:cs="Times New Roman"/>
          <w:color w:val="auto"/>
          <w:sz w:val="24"/>
          <w:szCs w:val="24"/>
          <w:lang w:eastAsia="zh-CN"/>
        </w:rPr>
        <w:t>要求</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11.1.2 废气监测结果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无组织：本项目在异丙醇系列、异辛醇系列、三羟甲基丙烷系列</w:t>
      </w:r>
      <w:r>
        <w:rPr>
          <w:rFonts w:hint="default" w:ascii="Times New Roman" w:hAnsi="Times New Roman" w:eastAsia="宋体" w:cs="Times New Roman"/>
          <w:color w:val="auto"/>
          <w:sz w:val="24"/>
          <w:szCs w:val="24"/>
          <w:lang w:val="en-US" w:eastAsia="zh-CN"/>
        </w:rPr>
        <w:t>三种产品生产工况下，厂界无组织废气中非甲烷总烃、臭气浓度排放浓度最大值均</w:t>
      </w:r>
      <w:r>
        <w:rPr>
          <w:rFonts w:hint="default" w:ascii="Times New Roman" w:hAnsi="Times New Roman" w:eastAsia="宋体" w:cs="Times New Roman"/>
          <w:color w:val="auto"/>
          <w:sz w:val="24"/>
          <w:szCs w:val="24"/>
          <w:lang w:eastAsia="zh-CN"/>
        </w:rPr>
        <w:t>满足江苏省地方标准《化学工业挥发性有机物排放标准》（DB32/3151-2016）</w:t>
      </w:r>
      <w:r>
        <w:rPr>
          <w:rFonts w:hint="default" w:ascii="Times New Roman" w:hAnsi="Times New Roman" w:eastAsia="宋体" w:cs="Times New Roman"/>
          <w:color w:val="auto"/>
          <w:sz w:val="24"/>
          <w:szCs w:val="24"/>
          <w:lang w:val="en-US" w:eastAsia="zh-CN"/>
        </w:rPr>
        <w:t>限值要求，颗粒物排放浓度最大值</w:t>
      </w:r>
      <w:r>
        <w:rPr>
          <w:rFonts w:hint="default" w:ascii="Times New Roman" w:hAnsi="Times New Roman" w:eastAsia="宋体" w:cs="Times New Roman"/>
          <w:color w:val="auto"/>
          <w:sz w:val="24"/>
          <w:szCs w:val="24"/>
          <w:lang w:eastAsia="zh-CN"/>
        </w:rPr>
        <w:t>满足《大气污染物综合排放标准》（GB16297-1996）表2二级标准</w:t>
      </w:r>
      <w:r>
        <w:rPr>
          <w:rFonts w:hint="default" w:ascii="Times New Roman" w:hAnsi="Times New Roman" w:eastAsia="宋体" w:cs="Times New Roman"/>
          <w:color w:val="auto"/>
          <w:sz w:val="24"/>
          <w:szCs w:val="24"/>
          <w:lang w:val="en-US" w:eastAsia="zh-CN"/>
        </w:rPr>
        <w:t>限值要求，异丙醇排放浓度最大值满足环评</w:t>
      </w:r>
      <w:r>
        <w:rPr>
          <w:rFonts w:hint="default" w:ascii="Times New Roman" w:hAnsi="Times New Roman" w:eastAsia="宋体" w:cs="Times New Roman"/>
          <w:color w:val="auto"/>
          <w:sz w:val="24"/>
          <w:szCs w:val="24"/>
          <w:lang w:eastAsia="zh-CN"/>
        </w:rPr>
        <w:t>制定标准，</w:t>
      </w:r>
      <w:r>
        <w:rPr>
          <w:rFonts w:hint="default" w:ascii="Times New Roman" w:hAnsi="Times New Roman" w:eastAsia="宋体" w:cs="Times New Roman"/>
          <w:color w:val="auto"/>
          <w:sz w:val="24"/>
          <w:szCs w:val="24"/>
          <w:lang w:val="en-US" w:eastAsia="zh-CN"/>
        </w:rPr>
        <w:t>厂区内无组织废气中非甲烷总烃排放浓度最大值满足《挥发性有机物无组织排放控制标准》（GB 37822—2019）中附录A表A.1厂区内VOCs无组织排放限值要求</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val="0"/>
        <w:autoSpaceDN w:val="0"/>
        <w:bidi w:val="0"/>
        <w:adjustRightInd/>
        <w:snapToGrid/>
        <w:spacing w:after="0" w:line="384" w:lineRule="auto"/>
        <w:ind w:left="0" w:leftChars="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有组织：本项目在异丙醇系列、异辛醇系列、三羟甲基丙烷系列</w:t>
      </w:r>
      <w:r>
        <w:rPr>
          <w:rFonts w:hint="default" w:ascii="Times New Roman" w:hAnsi="Times New Roman" w:eastAsia="宋体" w:cs="Times New Roman"/>
          <w:color w:val="auto"/>
          <w:sz w:val="24"/>
          <w:szCs w:val="24"/>
          <w:lang w:val="en-US" w:eastAsia="zh-CN"/>
        </w:rPr>
        <w:t>三种产品生产工况下，甲类装置区工艺废气15#排气筒排放废气中非甲烷总烃排放浓度及排放速率满足</w:t>
      </w:r>
      <w:r>
        <w:rPr>
          <w:rFonts w:hint="default" w:ascii="Times New Roman" w:hAnsi="Times New Roman" w:eastAsia="宋体" w:cs="Times New Roman"/>
          <w:color w:val="auto"/>
          <w:sz w:val="24"/>
          <w:szCs w:val="24"/>
        </w:rPr>
        <w:t>江苏省地方标准《化学工业挥发性有机物排放标准》（DB32/3151-2016）</w:t>
      </w:r>
      <w:r>
        <w:rPr>
          <w:rFonts w:hint="default" w:ascii="Times New Roman" w:hAnsi="Times New Roman" w:eastAsia="宋体" w:cs="Times New Roman"/>
          <w:color w:val="auto"/>
          <w:sz w:val="24"/>
          <w:szCs w:val="24"/>
          <w:lang w:eastAsia="zh-CN"/>
        </w:rPr>
        <w:t>表</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中限值要求，臭气浓度</w:t>
      </w:r>
      <w:r>
        <w:rPr>
          <w:rFonts w:hint="default" w:ascii="Times New Roman" w:hAnsi="Times New Roman" w:eastAsia="宋体" w:cs="Times New Roman"/>
          <w:color w:val="auto"/>
          <w:sz w:val="24"/>
          <w:szCs w:val="24"/>
          <w:lang w:val="en-US" w:eastAsia="zh-CN"/>
        </w:rPr>
        <w:t>排放浓度最大值满足</w:t>
      </w:r>
      <w:r>
        <w:rPr>
          <w:rFonts w:hint="default" w:ascii="Times New Roman" w:hAnsi="Times New Roman" w:eastAsia="宋体" w:cs="Times New Roman"/>
          <w:color w:val="auto"/>
          <w:sz w:val="24"/>
          <w:szCs w:val="24"/>
        </w:rPr>
        <w:t>《化学工业挥发性有机物排放标准》（DB32/3151-2016）</w:t>
      </w:r>
      <w:r>
        <w:rPr>
          <w:rFonts w:hint="default" w:ascii="Times New Roman" w:hAnsi="Times New Roman" w:eastAsia="宋体" w:cs="Times New Roman"/>
          <w:color w:val="auto"/>
          <w:sz w:val="24"/>
          <w:szCs w:val="24"/>
          <w:lang w:eastAsia="zh-CN"/>
        </w:rPr>
        <w:t>表</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中限值要求，</w:t>
      </w:r>
      <w:r>
        <w:rPr>
          <w:rFonts w:hint="default" w:ascii="Times New Roman" w:hAnsi="Times New Roman" w:eastAsia="宋体" w:cs="Times New Roman"/>
          <w:color w:val="auto"/>
          <w:sz w:val="24"/>
          <w:szCs w:val="24"/>
          <w:lang w:val="en-US" w:eastAsia="zh-CN"/>
        </w:rPr>
        <w:t>异丙醇排放速率满足环评制定标准限值要求；投料粉尘14#排气筒排放废气中颗粒物排放浓度值及排放速率均满足</w:t>
      </w:r>
      <w:r>
        <w:rPr>
          <w:rFonts w:hint="default" w:ascii="Times New Roman" w:hAnsi="Times New Roman" w:eastAsia="宋体" w:cs="Times New Roman"/>
          <w:color w:val="auto"/>
          <w:sz w:val="24"/>
          <w:szCs w:val="24"/>
        </w:rPr>
        <w:t>《大气污染物综合排放标准》（GB16297-1996）表2二级标准</w:t>
      </w:r>
      <w:r>
        <w:rPr>
          <w:rFonts w:hint="default" w:ascii="Times New Roman" w:hAnsi="Times New Roman" w:eastAsia="宋体" w:cs="Times New Roman"/>
          <w:color w:val="auto"/>
          <w:sz w:val="24"/>
          <w:szCs w:val="24"/>
          <w:lang w:eastAsia="zh-CN"/>
        </w:rPr>
        <w:t>限值要求。</w:t>
      </w:r>
    </w:p>
    <w:p>
      <w:pPr>
        <w:pStyle w:val="4"/>
        <w:keepNext w:val="0"/>
        <w:keepLines w:val="0"/>
        <w:pageBreakBefore w:val="0"/>
        <w:widowControl w:val="0"/>
        <w:kinsoku/>
        <w:wordWrap/>
        <w:overflowPunct/>
        <w:topLinePunct w:val="0"/>
        <w:bidi w:val="0"/>
        <w:adjustRightInd/>
        <w:snapToGrid/>
        <w:spacing w:before="0" w:after="0" w:line="360" w:lineRule="auto"/>
        <w:ind w:left="0" w:leftChars="0" w:right="0" w:rightChars="0" w:firstLine="0" w:firstLineChars="0"/>
        <w:textAlignment w:val="auto"/>
        <w:rPr>
          <w:rFonts w:hint="default" w:ascii="Times New Roman" w:hAnsi="Times New Roman" w:eastAsia="宋体" w:cs="Times New Roman"/>
          <w:color w:val="auto"/>
          <w:sz w:val="28"/>
          <w:szCs w:val="28"/>
          <w:lang w:val="en-US" w:eastAsia="zh-CN"/>
        </w:rPr>
      </w:pPr>
      <w:bookmarkStart w:id="116" w:name="_Toc3100"/>
      <w:r>
        <w:rPr>
          <w:rFonts w:hint="default" w:ascii="Times New Roman" w:hAnsi="Times New Roman" w:eastAsia="宋体" w:cs="Times New Roman"/>
          <w:color w:val="auto"/>
          <w:sz w:val="28"/>
          <w:szCs w:val="28"/>
          <w:lang w:val="en-US" w:eastAsia="zh-CN"/>
        </w:rPr>
        <w:t>11.2 环保设施污染物去除效果</w:t>
      </w:r>
      <w:bookmarkEnd w:id="116"/>
    </w:p>
    <w:p>
      <w:pPr>
        <w:keepNext w:val="0"/>
        <w:keepLines w:val="0"/>
        <w:pageBreakBefore w:val="0"/>
        <w:widowControl w:val="0"/>
        <w:kinsoku/>
        <w:wordWrap/>
        <w:overflowPunct/>
        <w:topLinePunct w:val="0"/>
        <w:bidi w:val="0"/>
        <w:adjustRightInd/>
        <w:snapToGrid/>
        <w:spacing w:after="0" w:line="360" w:lineRule="auto"/>
        <w:ind w:left="0" w:leftChars="0" w:right="0" w:righ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本项目污水处理站出水在异丙醇系列、</w:t>
      </w:r>
      <w:r>
        <w:rPr>
          <w:rFonts w:hint="default" w:ascii="Times New Roman" w:hAnsi="Times New Roman" w:eastAsia="宋体" w:cs="Times New Roman"/>
          <w:color w:val="auto"/>
          <w:sz w:val="24"/>
          <w:szCs w:val="24"/>
        </w:rPr>
        <w:t>三羟甲基丙烷系列</w:t>
      </w:r>
      <w:r>
        <w:rPr>
          <w:rFonts w:hint="default" w:ascii="Times New Roman" w:hAnsi="Times New Roman" w:eastAsia="宋体" w:cs="Times New Roman"/>
          <w:color w:val="auto"/>
          <w:sz w:val="24"/>
          <w:szCs w:val="24"/>
          <w:lang w:val="en-US" w:eastAsia="zh-CN"/>
        </w:rPr>
        <w:t>三种产品生产工况下废水处理站化学需氧量、悬浮物出水浓度均能够达到环评设计的出水浓度要求，</w:t>
      </w:r>
      <w:r>
        <w:rPr>
          <w:rFonts w:hint="default" w:ascii="Times New Roman" w:hAnsi="Times New Roman" w:eastAsia="宋体" w:cs="Times New Roman"/>
          <w:color w:val="auto"/>
          <w:sz w:val="24"/>
          <w:szCs w:val="24"/>
          <w:lang w:eastAsia="zh-CN"/>
        </w:rPr>
        <w:t>异辛醇系列</w:t>
      </w:r>
      <w:r>
        <w:rPr>
          <w:rFonts w:hint="default" w:ascii="Times New Roman" w:hAnsi="Times New Roman" w:eastAsia="宋体" w:cs="Times New Roman"/>
          <w:color w:val="auto"/>
          <w:sz w:val="24"/>
          <w:szCs w:val="24"/>
          <w:lang w:val="en-US" w:eastAsia="zh-CN"/>
        </w:rPr>
        <w:t>产品生产工况下废水处理站悬浮物出水浓度能够达到环评设计的出水浓度要求，但化学需氧量出水浓度高于设计出水浓度，但远低于接管标准限值要求。</w:t>
      </w:r>
    </w:p>
    <w:p>
      <w:pPr>
        <w:pStyle w:val="4"/>
        <w:keepNext w:val="0"/>
        <w:keepLines w:val="0"/>
        <w:pageBreakBefore w:val="0"/>
        <w:widowControl w:val="0"/>
        <w:kinsoku/>
        <w:wordWrap/>
        <w:overflowPunct/>
        <w:topLinePunct w:val="0"/>
        <w:bidi w:val="0"/>
        <w:adjustRightInd/>
        <w:snapToGrid/>
        <w:spacing w:before="0" w:after="0" w:line="360" w:lineRule="auto"/>
        <w:ind w:left="0" w:leftChars="0" w:right="0" w:rightChars="0" w:firstLine="0" w:firstLineChars="0"/>
        <w:textAlignment w:val="auto"/>
        <w:rPr>
          <w:rFonts w:hint="default" w:ascii="Times New Roman" w:hAnsi="Times New Roman" w:eastAsia="宋体" w:cs="Times New Roman"/>
          <w:color w:val="auto"/>
          <w:sz w:val="28"/>
          <w:szCs w:val="28"/>
          <w:lang w:val="en-US" w:eastAsia="zh-CN"/>
        </w:rPr>
      </w:pPr>
      <w:bookmarkStart w:id="117" w:name="_Toc21872"/>
      <w:r>
        <w:rPr>
          <w:rFonts w:hint="default" w:ascii="Times New Roman" w:hAnsi="Times New Roman" w:eastAsia="宋体" w:cs="Times New Roman"/>
          <w:color w:val="auto"/>
          <w:sz w:val="28"/>
          <w:szCs w:val="28"/>
          <w:lang w:val="en-US" w:eastAsia="zh-CN"/>
        </w:rPr>
        <w:t>11.3 固废处置检查情况</w:t>
      </w:r>
      <w:bookmarkEnd w:id="117"/>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产生的固体废弃物为工业固废和生活垃圾：①废滤饼（催化剂），产生于中间产品过滤工艺；②废活性炭，产生于有机废气吸附处理装置的定期更换；③除尘灰，产生于布袋除尘环节；④破损布袋，产生于布袋除尘器布袋更换；⑤废包装袋，为白土、活性炭、硅藻土的包装袋；⑥废催化剂桶；⑦污泥，产生于废水处理过程。</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eastAsia="zh-CN"/>
        </w:rPr>
        <w:t>其中废滤饼（催化剂）、废活性炭、废催化剂桶均属于危废，企业与具备资质的固废处置单位签订了处置协议委托处理，污泥、破损布袋、除尘灰和废包装袋为一般固废，委托一般工业固废处置单位处理，厂内目前共建有一个65㎡的危废仓库，一个70㎡的一般工业固废仓库，位于厂区南侧，本项目产生的固废贮存依托现有贮存设施。</w:t>
      </w:r>
    </w:p>
    <w:p>
      <w:pPr>
        <w:pStyle w:val="4"/>
        <w:keepNext w:val="0"/>
        <w:keepLines w:val="0"/>
        <w:pageBreakBefore w:val="0"/>
        <w:widowControl w:val="0"/>
        <w:kinsoku/>
        <w:wordWrap/>
        <w:overflowPunct/>
        <w:topLinePunct w:val="0"/>
        <w:bidi w:val="0"/>
        <w:adjustRightInd/>
        <w:snapToGrid/>
        <w:spacing w:before="0" w:after="0" w:line="360" w:lineRule="auto"/>
        <w:ind w:left="0" w:leftChars="0" w:right="0" w:rightChars="0" w:firstLine="0" w:firstLineChars="0"/>
        <w:textAlignment w:val="auto"/>
        <w:rPr>
          <w:rFonts w:hint="default" w:ascii="Times New Roman" w:hAnsi="Times New Roman" w:eastAsia="宋体" w:cs="Times New Roman"/>
          <w:color w:val="auto"/>
          <w:sz w:val="28"/>
          <w:szCs w:val="28"/>
          <w:lang w:val="en-US" w:eastAsia="zh-CN"/>
        </w:rPr>
      </w:pPr>
      <w:bookmarkStart w:id="118" w:name="_Toc13307"/>
      <w:r>
        <w:rPr>
          <w:rFonts w:hint="default" w:ascii="Times New Roman" w:hAnsi="Times New Roman" w:eastAsia="宋体" w:cs="Times New Roman"/>
          <w:color w:val="auto"/>
          <w:sz w:val="28"/>
          <w:szCs w:val="28"/>
          <w:lang w:val="en-US" w:eastAsia="zh-CN"/>
        </w:rPr>
        <w:t>11.4 污染物排放总量核算结果及达标情况</w:t>
      </w:r>
      <w:bookmarkEnd w:id="118"/>
    </w:p>
    <w:p>
      <w:pPr>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11.4.1 废水排放总量</w:t>
      </w:r>
    </w:p>
    <w:p>
      <w:pPr>
        <w:keepNext w:val="0"/>
        <w:keepLines w:val="0"/>
        <w:pageBreakBefore w:val="0"/>
        <w:widowControl w:val="0"/>
        <w:kinsoku/>
        <w:wordWrap/>
        <w:overflowPunct/>
        <w:topLinePunct w:val="0"/>
        <w:autoSpaceDE w:val="0"/>
        <w:autoSpaceDN w:val="0"/>
        <w:bidi w:val="0"/>
        <w:adjustRightInd/>
        <w:snapToGrid/>
        <w:spacing w:after="0"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本项目产生废水10378t/a，经厂内预处理后接管排放，通过以新带老措施，技改后全厂废水排放量不增加，故不再进行废水污染物排放总量计算。</w:t>
      </w:r>
    </w:p>
    <w:p>
      <w:pPr>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11.4.2 废气排放总量</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outlineLvl w:val="9"/>
        <w:rPr>
          <w:rFonts w:hint="default" w:ascii="Times New Roman" w:hAnsi="Times New Roman" w:eastAsia="宋体" w:cs="Times New Roman"/>
          <w:snapToGrid w:val="0"/>
          <w:color w:val="auto"/>
          <w:kern w:val="0"/>
          <w:sz w:val="24"/>
          <w:szCs w:val="24"/>
          <w:lang w:val="en-US" w:eastAsia="zh-CN"/>
        </w:rPr>
      </w:pPr>
      <w:r>
        <w:rPr>
          <w:rFonts w:hint="default" w:ascii="Times New Roman" w:hAnsi="Times New Roman" w:eastAsia="宋体" w:cs="Times New Roman"/>
          <w:snapToGrid w:val="0"/>
          <w:color w:val="auto"/>
          <w:kern w:val="0"/>
          <w:sz w:val="24"/>
          <w:szCs w:val="24"/>
          <w:lang w:val="en-US" w:eastAsia="zh-CN"/>
        </w:rPr>
        <w:t>本项目在</w:t>
      </w:r>
      <w:r>
        <w:rPr>
          <w:rFonts w:hint="default" w:ascii="Times New Roman" w:hAnsi="Times New Roman" w:eastAsia="宋体" w:cs="Times New Roman"/>
          <w:color w:val="auto"/>
          <w:sz w:val="24"/>
          <w:szCs w:val="24"/>
          <w:lang w:eastAsia="zh-CN"/>
        </w:rPr>
        <w:t>异丙醇系列、异辛醇系列、三羟甲基丙烷系列</w:t>
      </w:r>
      <w:r>
        <w:rPr>
          <w:rFonts w:hint="default" w:ascii="Times New Roman" w:hAnsi="Times New Roman" w:eastAsia="宋体" w:cs="Times New Roman"/>
          <w:color w:val="auto"/>
          <w:sz w:val="24"/>
          <w:szCs w:val="24"/>
          <w:lang w:val="en-US" w:eastAsia="zh-CN"/>
        </w:rPr>
        <w:t>三种产品生产工况下，所排放的污染物排放量均能够满足环评中对本项目预估的新增排放总量指标要求。</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outlineLvl w:val="9"/>
        <w:rPr>
          <w:rFonts w:hint="default" w:ascii="Times New Roman" w:hAnsi="Times New Roman" w:eastAsia="宋体" w:cs="Times New Roman"/>
          <w:snapToGrid w:val="0"/>
          <w:color w:val="auto"/>
          <w:kern w:val="0"/>
          <w:sz w:val="24"/>
          <w:szCs w:val="24"/>
          <w:lang w:val="en-US" w:eastAsia="zh-CN"/>
        </w:rPr>
      </w:pPr>
    </w:p>
    <w:p>
      <w:pPr>
        <w:pStyle w:val="4"/>
        <w:keepNext w:val="0"/>
        <w:keepLines w:val="0"/>
        <w:pageBreakBefore w:val="0"/>
        <w:widowControl w:val="0"/>
        <w:kinsoku/>
        <w:wordWrap/>
        <w:overflowPunct/>
        <w:topLinePunct w:val="0"/>
        <w:bidi w:val="0"/>
        <w:adjustRightInd/>
        <w:snapToGrid/>
        <w:spacing w:before="0" w:after="0" w:line="360" w:lineRule="auto"/>
        <w:ind w:left="0" w:leftChars="0" w:right="0" w:rightChars="0" w:firstLine="0" w:firstLineChars="0"/>
        <w:textAlignment w:val="auto"/>
        <w:rPr>
          <w:rFonts w:hint="default" w:ascii="Times New Roman" w:hAnsi="Times New Roman" w:eastAsia="宋体" w:cs="Times New Roman"/>
          <w:color w:val="auto"/>
          <w:sz w:val="28"/>
          <w:szCs w:val="28"/>
          <w:lang w:val="en-US" w:eastAsia="zh-CN"/>
        </w:rPr>
      </w:pPr>
      <w:bookmarkStart w:id="119" w:name="_Toc2229"/>
      <w:r>
        <w:rPr>
          <w:rFonts w:hint="default" w:ascii="Times New Roman" w:hAnsi="Times New Roman" w:eastAsia="宋体" w:cs="Times New Roman"/>
          <w:color w:val="auto"/>
          <w:sz w:val="28"/>
          <w:szCs w:val="28"/>
          <w:lang w:val="en-US" w:eastAsia="zh-CN"/>
        </w:rPr>
        <w:t>11.5 建议</w:t>
      </w:r>
      <w:bookmarkEnd w:id="119"/>
    </w:p>
    <w:bookmarkEnd w:id="114"/>
    <w:bookmarkEnd w:id="115"/>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0"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（1）严格遵守</w:t>
      </w:r>
      <w:r>
        <w:rPr>
          <w:rFonts w:hint="default" w:ascii="Times New Roman" w:hAnsi="Times New Roman" w:eastAsia="宋体" w:cs="Times New Roman"/>
          <w:color w:val="auto"/>
          <w:sz w:val="24"/>
          <w:szCs w:val="24"/>
          <w:lang w:eastAsia="zh-CN"/>
        </w:rPr>
        <w:t>《排污许可管理条例》，持证、按证排污，按照排污证要求落实</w:t>
      </w:r>
      <w:r>
        <w:rPr>
          <w:rFonts w:hint="default" w:ascii="Times New Roman" w:hAnsi="Times New Roman" w:eastAsia="宋体" w:cs="Times New Roman"/>
          <w:color w:val="auto"/>
          <w:sz w:val="24"/>
          <w:szCs w:val="24"/>
          <w:lang w:val="en-US" w:eastAsia="zh-CN"/>
        </w:rPr>
        <w:t>日常环境监测计划，定期对排放的各类污染物进行监测，确保各类污染物稳定达标排放；</w:t>
      </w:r>
    </w:p>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0"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（2）严格按照环评及批复要求生产，如生产规模、生产工艺、原辅料等发生变化，须按有关规定，向环保部门申报；</w:t>
      </w:r>
    </w:p>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0" w:firstLineChars="200"/>
        <w:jc w:val="left"/>
        <w:textAlignment w:val="auto"/>
        <w:outlineLvl w:val="9"/>
        <w:rPr>
          <w:rFonts w:hint="default" w:ascii="Times New Roman" w:hAnsi="Times New Roman" w:eastAsia="宋体" w:cs="Times New Roman"/>
          <w:color w:val="auto"/>
          <w:kern w:val="2"/>
          <w:sz w:val="24"/>
          <w:szCs w:val="24"/>
          <w:lang w:eastAsia="zh-CN"/>
        </w:rPr>
      </w:pPr>
      <w:r>
        <w:rPr>
          <w:rFonts w:hint="default" w:ascii="Times New Roman" w:hAnsi="Times New Roman" w:eastAsia="宋体" w:cs="Times New Roman"/>
          <w:color w:val="auto"/>
          <w:sz w:val="24"/>
          <w:szCs w:val="24"/>
          <w:lang w:val="en-US" w:eastAsia="zh-CN"/>
        </w:rPr>
        <w:t>（3）定期组织事故应急预案演练</w:t>
      </w:r>
      <w:bookmarkStart w:id="120" w:name="_Toc413742024"/>
      <w:bookmarkEnd w:id="120"/>
      <w:r>
        <w:rPr>
          <w:rFonts w:hint="default" w:ascii="Times New Roman" w:hAnsi="Times New Roman" w:eastAsia="宋体" w:cs="Times New Roman"/>
          <w:color w:val="auto"/>
          <w:sz w:val="24"/>
          <w:szCs w:val="24"/>
          <w:lang w:val="en-US" w:eastAsia="zh-CN"/>
        </w:rPr>
        <w:t>，加强对各类危险品运输、</w:t>
      </w:r>
      <w:r>
        <w:rPr>
          <w:rFonts w:hint="default" w:ascii="Times New Roman" w:hAnsi="Times New Roman" w:eastAsia="宋体" w:cs="Times New Roman"/>
          <w:color w:val="auto"/>
          <w:kern w:val="2"/>
          <w:sz w:val="24"/>
          <w:szCs w:val="24"/>
          <w:lang w:eastAsia="zh-CN"/>
        </w:rPr>
        <w:t>储存、使用等过程的风险防范，杜绝环境风险隐患；</w:t>
      </w:r>
    </w:p>
    <w:p>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0" w:firstLineChars="200"/>
        <w:jc w:val="left"/>
        <w:textAlignment w:val="auto"/>
        <w:outlineLvl w:val="9"/>
        <w:rPr>
          <w:rFonts w:hint="default" w:ascii="Times New Roman" w:hAnsi="Times New Roman" w:eastAsia="宋体" w:cs="Times New Roman"/>
          <w:color w:val="auto"/>
          <w:kern w:val="2"/>
          <w:sz w:val="24"/>
          <w:szCs w:val="24"/>
          <w:lang w:eastAsia="zh-CN"/>
        </w:rPr>
      </w:pPr>
      <w:r>
        <w:rPr>
          <w:rFonts w:hint="default" w:ascii="Times New Roman" w:hAnsi="Times New Roman" w:eastAsia="宋体" w:cs="Times New Roman"/>
          <w:color w:val="auto"/>
          <w:kern w:val="2"/>
          <w:sz w:val="24"/>
          <w:szCs w:val="24"/>
          <w:lang w:eastAsia="zh-CN"/>
        </w:rPr>
        <w:t>（</w:t>
      </w:r>
      <w:r>
        <w:rPr>
          <w:rFonts w:hint="default" w:ascii="Times New Roman" w:hAnsi="Times New Roman" w:eastAsia="宋体" w:cs="Times New Roman"/>
          <w:color w:val="auto"/>
          <w:kern w:val="2"/>
          <w:sz w:val="24"/>
          <w:szCs w:val="24"/>
          <w:lang w:val="en-US" w:eastAsia="zh-CN"/>
        </w:rPr>
        <w:t>4</w:t>
      </w:r>
      <w:r>
        <w:rPr>
          <w:rFonts w:hint="default" w:ascii="Times New Roman" w:hAnsi="Times New Roman" w:eastAsia="宋体" w:cs="Times New Roman"/>
          <w:color w:val="auto"/>
          <w:kern w:val="2"/>
          <w:sz w:val="24"/>
          <w:szCs w:val="24"/>
          <w:lang w:eastAsia="zh-CN"/>
        </w:rPr>
        <w:t>）</w:t>
      </w:r>
      <w:r>
        <w:rPr>
          <w:rFonts w:hint="default" w:ascii="Times New Roman" w:hAnsi="Times New Roman" w:eastAsia="宋体" w:cs="Times New Roman"/>
          <w:color w:val="auto"/>
          <w:sz w:val="24"/>
          <w:szCs w:val="24"/>
          <w:lang w:val="en-US" w:eastAsia="zh-CN"/>
        </w:rPr>
        <w:t>定期对各项环保设施进行检查维护，确保环保设施高效运行，最大程度减少各类污染物排放量</w:t>
      </w:r>
      <w:r>
        <w:rPr>
          <w:rFonts w:hint="default" w:ascii="Times New Roman" w:hAnsi="Times New Roman" w:eastAsia="宋体" w:cs="Times New Roman"/>
          <w:color w:val="auto"/>
          <w:kern w:val="2"/>
          <w:sz w:val="24"/>
          <w:szCs w:val="24"/>
          <w:lang w:eastAsia="zh-CN"/>
        </w:rPr>
        <w:t>。</w:t>
      </w:r>
    </w:p>
    <w:p>
      <w:pPr>
        <w:spacing w:after="0" w:afterLines="0"/>
        <w:rPr>
          <w:rFonts w:hint="default" w:ascii="Times New Roman" w:hAnsi="Times New Roman" w:eastAsia="宋体" w:cs="Times New Roman"/>
          <w:color w:val="auto"/>
          <w:sz w:val="28"/>
          <w:szCs w:val="28"/>
          <w:lang w:val="en-US" w:eastAsia="zh-CN"/>
        </w:rPr>
      </w:pPr>
    </w:p>
    <w:sectPr>
      <w:footerReference r:id="rId10" w:type="default"/>
      <w:pgSz w:w="11911" w:h="16838"/>
      <w:pgMar w:top="1463" w:right="1678" w:bottom="1463" w:left="1678" w:header="907" w:footer="884" w:gutter="0"/>
      <w:pgBorders>
        <w:top w:val="none" w:sz="0" w:space="0"/>
        <w:left w:val="none" w:sz="0" w:space="0"/>
        <w:bottom w:val="none" w:sz="0" w:space="0"/>
        <w:right w:val="none" w:sz="0" w:space="0"/>
      </w:pgBorders>
      <w:pgNumType w:fmt="decimal"/>
      <w:cols w:space="0" w:num="1"/>
      <w:rtlGutter w:val="0"/>
      <w:docGrid w:type="lines"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auto"/>
    <w:pitch w:val="default"/>
    <w:sig w:usb0="E00006FF" w:usb1="420024FF" w:usb2="02000000" w:usb3="00000000" w:csb0="2000019F" w:csb1="00000000"/>
  </w:font>
  <w:font w:name="方正仿宋简体">
    <w:altName w:val="宋体"/>
    <w:panose1 w:val="02010601030101010101"/>
    <w:charset w:val="86"/>
    <w:family w:val="auto"/>
    <w:pitch w:val="default"/>
    <w:sig w:usb0="00000000" w:usb1="00000000" w:usb2="0000001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体">
    <w:altName w:val="宋体"/>
    <w:panose1 w:val="00000000000000000000"/>
    <w:charset w:val="86"/>
    <w:family w:val="auto"/>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font-weight : 400">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_GBK">
    <w:altName w:val="微软雅黑"/>
    <w:panose1 w:val="03000509000000000000"/>
    <w:charset w:val="86"/>
    <w:family w:val="script"/>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hint="eastAsia" w:eastAsia="宋体"/>
        <w:sz w:val="18"/>
        <w:szCs w:val="18"/>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single" w:color="auto" w:sz="4" w:space="0"/>
        <w:left w:val="none" w:color="auto" w:sz="0" w:space="0"/>
        <w:bottom w:val="none" w:color="auto" w:sz="0" w:space="0"/>
        <w:right w:val="none" w:color="auto" w:sz="0" w:space="0"/>
        <w:between w:val="none" w:color="auto" w:sz="0" w:space="0"/>
      </w:pBdr>
      <w:spacing w:line="240" w:lineRule="auto"/>
      <w:rPr>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none" w:color="auto" w:sz="0" w:space="0"/>
        <w:left w:val="none" w:color="auto" w:sz="0" w:space="0"/>
        <w:bottom w:val="none" w:color="auto" w:sz="0" w:space="0"/>
        <w:right w:val="none" w:color="auto" w:sz="0" w:space="0"/>
        <w:between w:val="none" w:color="auto" w:sz="0" w:space="0"/>
      </w:pBdr>
      <w:spacing w:after="0" w:afterLines="0"/>
      <w:rPr>
        <w:rFonts w:hint="eastAsia" w:ascii="宋体" w:hAnsi="宋体" w:eastAsia="宋体"/>
        <w:sz w:val="15"/>
        <w:szCs w:val="15"/>
      </w:rPr>
    </w:pPr>
    <w:r>
      <w:rPr>
        <w:sz w:val="15"/>
        <w:szCs w:val="15"/>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83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83</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none" w:color="auto" w:sz="0" w:space="0"/>
      </w:pBd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18"/>
        <w:szCs w:val="18"/>
        <w:u w:val="no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none" w:color="auto" w:sz="0" w:space="0"/>
      </w:pBd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18"/>
        <w:szCs w:val="18"/>
        <w:u w:val="non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pBdr>
        <w:bottom w:val="single" w:color="auto" w:sz="4" w:space="0"/>
      </w:pBdr>
      <w:adjustRightInd w:val="0"/>
      <w:jc w:val="right"/>
      <w:rPr>
        <w:i/>
        <w:iCs/>
        <w:color w:val="auto"/>
        <w:sz w:val="18"/>
        <w:szCs w:val="18"/>
        <w:u w:val="none"/>
      </w:rPr>
    </w:pPr>
    <w:r>
      <w:rPr>
        <w:rFonts w:hint="eastAsia" w:cs="宋体"/>
        <w:i/>
        <w:iCs/>
        <w:snapToGrid w:val="0"/>
        <w:color w:val="auto"/>
        <w:kern w:val="0"/>
        <w:sz w:val="18"/>
        <w:szCs w:val="18"/>
        <w:u w:val="none"/>
        <w:lang w:eastAsia="zh-CN"/>
      </w:rPr>
      <w:t>脂肪酸酯产品结构调整及节能减排技术改造项目竣工环境保护验收监</w:t>
    </w:r>
    <w:r>
      <w:rPr>
        <w:rFonts w:hint="eastAsia"/>
        <w:i/>
        <w:iCs/>
        <w:color w:val="auto"/>
        <w:sz w:val="18"/>
        <w:szCs w:val="18"/>
        <w:u w:val="none"/>
        <w:lang w:eastAsia="zh-CN"/>
      </w:rPr>
      <w:t>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1CCCC9"/>
    <w:multiLevelType w:val="singleLevel"/>
    <w:tmpl w:val="A41CCCC9"/>
    <w:lvl w:ilvl="0" w:tentative="0">
      <w:start w:val="2"/>
      <w:numFmt w:val="decimal"/>
      <w:suff w:val="nothing"/>
      <w:lvlText w:val="%1、"/>
      <w:lvlJc w:val="left"/>
    </w:lvl>
  </w:abstractNum>
  <w:abstractNum w:abstractNumId="1">
    <w:nsid w:val="C949ECFC"/>
    <w:multiLevelType w:val="singleLevel"/>
    <w:tmpl w:val="C949ECFC"/>
    <w:lvl w:ilvl="0" w:tentative="0">
      <w:start w:val="1"/>
      <w:numFmt w:val="decimal"/>
      <w:suff w:val="nothing"/>
      <w:lvlText w:val="（%1）"/>
      <w:lvlJc w:val="left"/>
    </w:lvl>
  </w:abstractNum>
  <w:abstractNum w:abstractNumId="2">
    <w:nsid w:val="CB2F9E8D"/>
    <w:multiLevelType w:val="singleLevel"/>
    <w:tmpl w:val="CB2F9E8D"/>
    <w:lvl w:ilvl="0" w:tentative="0">
      <w:start w:val="1"/>
      <w:numFmt w:val="decimal"/>
      <w:lvlText w:val="(%1)"/>
      <w:lvlJc w:val="left"/>
      <w:pPr>
        <w:ind w:left="425" w:hanging="425"/>
      </w:pPr>
      <w:rPr>
        <w:rFonts w:hint="default"/>
      </w:rPr>
    </w:lvl>
  </w:abstractNum>
  <w:abstractNum w:abstractNumId="3">
    <w:nsid w:val="ED31230B"/>
    <w:multiLevelType w:val="singleLevel"/>
    <w:tmpl w:val="ED31230B"/>
    <w:lvl w:ilvl="0" w:tentative="0">
      <w:start w:val="11"/>
      <w:numFmt w:val="decimal"/>
      <w:suff w:val="nothing"/>
      <w:lvlText w:val="%1、"/>
      <w:lvlJc w:val="left"/>
    </w:lvl>
  </w:abstractNum>
  <w:abstractNum w:abstractNumId="4">
    <w:nsid w:val="2E466489"/>
    <w:multiLevelType w:val="multilevel"/>
    <w:tmpl w:val="2E466489"/>
    <w:lvl w:ilvl="0" w:tentative="0">
      <w:start w:val="1"/>
      <w:numFmt w:val="decimal"/>
      <w:pStyle w:val="38"/>
      <w:lvlText w:val="%1"/>
      <w:lvlJc w:val="center"/>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F55AFDC"/>
    <w:multiLevelType w:val="singleLevel"/>
    <w:tmpl w:val="3F55AFDC"/>
    <w:lvl w:ilvl="0" w:tentative="0">
      <w:start w:val="1"/>
      <w:numFmt w:val="decimal"/>
      <w:lvlText w:val="%1."/>
      <w:lvlJc w:val="left"/>
      <w:pPr>
        <w:ind w:left="425" w:hanging="425"/>
      </w:pPr>
      <w:rPr>
        <w:rFonts w:hint="default"/>
      </w:rPr>
    </w:lvl>
  </w:abstractNum>
  <w:abstractNum w:abstractNumId="6">
    <w:nsid w:val="5A461613"/>
    <w:multiLevelType w:val="singleLevel"/>
    <w:tmpl w:val="5A461613"/>
    <w:lvl w:ilvl="0" w:tentative="0">
      <w:start w:val="4"/>
      <w:numFmt w:val="decimal"/>
      <w:suff w:val="nothing"/>
      <w:lvlText w:val="%1、"/>
      <w:lvlJc w:val="left"/>
    </w:lvl>
  </w:abstractNum>
  <w:abstractNum w:abstractNumId="7">
    <w:nsid w:val="7D6CF21C"/>
    <w:multiLevelType w:val="singleLevel"/>
    <w:tmpl w:val="7D6CF21C"/>
    <w:lvl w:ilvl="0" w:tentative="0">
      <w:start w:val="3"/>
      <w:numFmt w:val="decimal"/>
      <w:suff w:val="nothing"/>
      <w:lvlText w:val="（%1）"/>
      <w:lvlJc w:val="left"/>
    </w:lvl>
  </w:abstractNum>
  <w:num w:numId="1">
    <w:abstractNumId w:val="4"/>
  </w:num>
  <w:num w:numId="2">
    <w:abstractNumId w:val="5"/>
  </w:num>
  <w:num w:numId="3">
    <w:abstractNumId w:val="2"/>
  </w:num>
  <w:num w:numId="4">
    <w:abstractNumId w:val="1"/>
  </w:num>
  <w:num w:numId="5">
    <w:abstractNumId w:val="6"/>
  </w:num>
  <w:num w:numId="6">
    <w:abstractNumId w:val="7"/>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720"/>
  <w:drawingGridHorizontalSpacing w:val="240"/>
  <w:drawingGridVerticalSpacing w:val="1"/>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67EB"/>
    <w:rsid w:val="000E0D11"/>
    <w:rsid w:val="0010373A"/>
    <w:rsid w:val="00117154"/>
    <w:rsid w:val="001F15B1"/>
    <w:rsid w:val="0023485E"/>
    <w:rsid w:val="002F0183"/>
    <w:rsid w:val="004A2BBF"/>
    <w:rsid w:val="005B328D"/>
    <w:rsid w:val="006B2E5E"/>
    <w:rsid w:val="00767743"/>
    <w:rsid w:val="009224FE"/>
    <w:rsid w:val="00A126AB"/>
    <w:rsid w:val="00A548F3"/>
    <w:rsid w:val="00B10D91"/>
    <w:rsid w:val="00B95667"/>
    <w:rsid w:val="00C87886"/>
    <w:rsid w:val="00C955E8"/>
    <w:rsid w:val="00DB32D0"/>
    <w:rsid w:val="00E579E5"/>
    <w:rsid w:val="00EC5965"/>
    <w:rsid w:val="00F1702D"/>
    <w:rsid w:val="011606FA"/>
    <w:rsid w:val="011C4E2E"/>
    <w:rsid w:val="0124239C"/>
    <w:rsid w:val="012A4B20"/>
    <w:rsid w:val="012C008E"/>
    <w:rsid w:val="013A1CBD"/>
    <w:rsid w:val="013C5A0D"/>
    <w:rsid w:val="0154111B"/>
    <w:rsid w:val="015754F6"/>
    <w:rsid w:val="015C30AB"/>
    <w:rsid w:val="01776201"/>
    <w:rsid w:val="01802C9E"/>
    <w:rsid w:val="019757D3"/>
    <w:rsid w:val="01977D49"/>
    <w:rsid w:val="01A207B2"/>
    <w:rsid w:val="01B93A52"/>
    <w:rsid w:val="01C26672"/>
    <w:rsid w:val="01DD3C4D"/>
    <w:rsid w:val="01EE2B97"/>
    <w:rsid w:val="02016CFD"/>
    <w:rsid w:val="02032BEB"/>
    <w:rsid w:val="02054F52"/>
    <w:rsid w:val="021854AF"/>
    <w:rsid w:val="024241A1"/>
    <w:rsid w:val="024849CB"/>
    <w:rsid w:val="024A4938"/>
    <w:rsid w:val="024D4614"/>
    <w:rsid w:val="024E0736"/>
    <w:rsid w:val="02540599"/>
    <w:rsid w:val="02851A31"/>
    <w:rsid w:val="02883882"/>
    <w:rsid w:val="02945E70"/>
    <w:rsid w:val="02B768ED"/>
    <w:rsid w:val="02B946F7"/>
    <w:rsid w:val="02F42949"/>
    <w:rsid w:val="031D0192"/>
    <w:rsid w:val="03375E1E"/>
    <w:rsid w:val="033A0533"/>
    <w:rsid w:val="034A5ED4"/>
    <w:rsid w:val="03640938"/>
    <w:rsid w:val="03685E77"/>
    <w:rsid w:val="0382149E"/>
    <w:rsid w:val="039361B8"/>
    <w:rsid w:val="03984101"/>
    <w:rsid w:val="03A12CBF"/>
    <w:rsid w:val="03A34BAF"/>
    <w:rsid w:val="03A520DB"/>
    <w:rsid w:val="03B22AA6"/>
    <w:rsid w:val="03CC5D27"/>
    <w:rsid w:val="03EB2E0D"/>
    <w:rsid w:val="04184D0C"/>
    <w:rsid w:val="041E1181"/>
    <w:rsid w:val="041F6000"/>
    <w:rsid w:val="042C0958"/>
    <w:rsid w:val="042C277D"/>
    <w:rsid w:val="04404E04"/>
    <w:rsid w:val="04522063"/>
    <w:rsid w:val="045D69B2"/>
    <w:rsid w:val="046A06E1"/>
    <w:rsid w:val="04733645"/>
    <w:rsid w:val="048341C4"/>
    <w:rsid w:val="04A159C9"/>
    <w:rsid w:val="04B54851"/>
    <w:rsid w:val="04B7082F"/>
    <w:rsid w:val="04BE2CC7"/>
    <w:rsid w:val="04ED19FF"/>
    <w:rsid w:val="04FC2EAE"/>
    <w:rsid w:val="050E641B"/>
    <w:rsid w:val="05132DE9"/>
    <w:rsid w:val="0519093A"/>
    <w:rsid w:val="051F2C80"/>
    <w:rsid w:val="053C2CDA"/>
    <w:rsid w:val="054022DD"/>
    <w:rsid w:val="054C6E63"/>
    <w:rsid w:val="056110D8"/>
    <w:rsid w:val="05673556"/>
    <w:rsid w:val="056F28B5"/>
    <w:rsid w:val="058A1A4F"/>
    <w:rsid w:val="058C2371"/>
    <w:rsid w:val="0590649A"/>
    <w:rsid w:val="0590727F"/>
    <w:rsid w:val="05912E2B"/>
    <w:rsid w:val="05A4395E"/>
    <w:rsid w:val="05C00FDC"/>
    <w:rsid w:val="05D366FB"/>
    <w:rsid w:val="05D719BB"/>
    <w:rsid w:val="05DE7F55"/>
    <w:rsid w:val="05F30827"/>
    <w:rsid w:val="05FC5AC7"/>
    <w:rsid w:val="060509BF"/>
    <w:rsid w:val="06240086"/>
    <w:rsid w:val="0624332B"/>
    <w:rsid w:val="0627361F"/>
    <w:rsid w:val="062C260D"/>
    <w:rsid w:val="062D2348"/>
    <w:rsid w:val="067531D7"/>
    <w:rsid w:val="067A4686"/>
    <w:rsid w:val="067D59FE"/>
    <w:rsid w:val="067F62A6"/>
    <w:rsid w:val="06847AB1"/>
    <w:rsid w:val="06890271"/>
    <w:rsid w:val="06960692"/>
    <w:rsid w:val="06AA338C"/>
    <w:rsid w:val="06BC55A9"/>
    <w:rsid w:val="06BE5E4C"/>
    <w:rsid w:val="06D36FF9"/>
    <w:rsid w:val="06D76FB4"/>
    <w:rsid w:val="06D9025D"/>
    <w:rsid w:val="06DF0467"/>
    <w:rsid w:val="06E029CE"/>
    <w:rsid w:val="06ED1236"/>
    <w:rsid w:val="06FB0889"/>
    <w:rsid w:val="070231B6"/>
    <w:rsid w:val="072460DC"/>
    <w:rsid w:val="07257F47"/>
    <w:rsid w:val="0729720F"/>
    <w:rsid w:val="072A5D65"/>
    <w:rsid w:val="07331589"/>
    <w:rsid w:val="0738412F"/>
    <w:rsid w:val="07514921"/>
    <w:rsid w:val="077A23B5"/>
    <w:rsid w:val="077A6F2D"/>
    <w:rsid w:val="07914154"/>
    <w:rsid w:val="07931ECD"/>
    <w:rsid w:val="079E383B"/>
    <w:rsid w:val="07A53BBE"/>
    <w:rsid w:val="07BE5ED4"/>
    <w:rsid w:val="07C725EB"/>
    <w:rsid w:val="07CE1CAB"/>
    <w:rsid w:val="07EB5F03"/>
    <w:rsid w:val="07F43633"/>
    <w:rsid w:val="08070453"/>
    <w:rsid w:val="080A1072"/>
    <w:rsid w:val="080B3820"/>
    <w:rsid w:val="08201446"/>
    <w:rsid w:val="08224518"/>
    <w:rsid w:val="082936CA"/>
    <w:rsid w:val="082F4F01"/>
    <w:rsid w:val="08413144"/>
    <w:rsid w:val="084951B0"/>
    <w:rsid w:val="085368D1"/>
    <w:rsid w:val="085B1A9B"/>
    <w:rsid w:val="08693976"/>
    <w:rsid w:val="088F1549"/>
    <w:rsid w:val="08AF36F3"/>
    <w:rsid w:val="08BF6F19"/>
    <w:rsid w:val="08C2245F"/>
    <w:rsid w:val="08CE178E"/>
    <w:rsid w:val="08D249A4"/>
    <w:rsid w:val="08D813DD"/>
    <w:rsid w:val="08E07455"/>
    <w:rsid w:val="090B352C"/>
    <w:rsid w:val="095B05BB"/>
    <w:rsid w:val="095F4E39"/>
    <w:rsid w:val="09653945"/>
    <w:rsid w:val="096A644A"/>
    <w:rsid w:val="097A3797"/>
    <w:rsid w:val="097B1BF5"/>
    <w:rsid w:val="09867D58"/>
    <w:rsid w:val="09A3279C"/>
    <w:rsid w:val="09AE2978"/>
    <w:rsid w:val="09B2776D"/>
    <w:rsid w:val="09C87329"/>
    <w:rsid w:val="09CB3AF8"/>
    <w:rsid w:val="09D91E30"/>
    <w:rsid w:val="09D96434"/>
    <w:rsid w:val="09DF67DE"/>
    <w:rsid w:val="09F455A6"/>
    <w:rsid w:val="0A04160A"/>
    <w:rsid w:val="0A083272"/>
    <w:rsid w:val="0A1876DB"/>
    <w:rsid w:val="0A257949"/>
    <w:rsid w:val="0A3F4D25"/>
    <w:rsid w:val="0A4357AA"/>
    <w:rsid w:val="0A543215"/>
    <w:rsid w:val="0A5F0DB0"/>
    <w:rsid w:val="0A616D48"/>
    <w:rsid w:val="0A666E95"/>
    <w:rsid w:val="0A8B678B"/>
    <w:rsid w:val="0A8F1872"/>
    <w:rsid w:val="0A9074BA"/>
    <w:rsid w:val="0AA0237F"/>
    <w:rsid w:val="0AA5149C"/>
    <w:rsid w:val="0AA77126"/>
    <w:rsid w:val="0AAC125A"/>
    <w:rsid w:val="0AC62ADE"/>
    <w:rsid w:val="0ACA3EBC"/>
    <w:rsid w:val="0AFD2196"/>
    <w:rsid w:val="0B022221"/>
    <w:rsid w:val="0B03290B"/>
    <w:rsid w:val="0B1D0978"/>
    <w:rsid w:val="0B277B3B"/>
    <w:rsid w:val="0B2B0997"/>
    <w:rsid w:val="0B306008"/>
    <w:rsid w:val="0B3A788D"/>
    <w:rsid w:val="0B4B736F"/>
    <w:rsid w:val="0B5A6D26"/>
    <w:rsid w:val="0B9800FA"/>
    <w:rsid w:val="0BAC1D80"/>
    <w:rsid w:val="0BD55626"/>
    <w:rsid w:val="0BDE5D27"/>
    <w:rsid w:val="0BE711FC"/>
    <w:rsid w:val="0BEB4E74"/>
    <w:rsid w:val="0C003C56"/>
    <w:rsid w:val="0C4230A7"/>
    <w:rsid w:val="0C5316F4"/>
    <w:rsid w:val="0C5779C3"/>
    <w:rsid w:val="0C6635DE"/>
    <w:rsid w:val="0C7224D8"/>
    <w:rsid w:val="0C7D1D85"/>
    <w:rsid w:val="0C837773"/>
    <w:rsid w:val="0C845235"/>
    <w:rsid w:val="0C960D46"/>
    <w:rsid w:val="0CAF424C"/>
    <w:rsid w:val="0CB96338"/>
    <w:rsid w:val="0CC30DB9"/>
    <w:rsid w:val="0CCC66F2"/>
    <w:rsid w:val="0CD77519"/>
    <w:rsid w:val="0CFB0DC5"/>
    <w:rsid w:val="0D0139DB"/>
    <w:rsid w:val="0D0817FA"/>
    <w:rsid w:val="0D097AA2"/>
    <w:rsid w:val="0D161799"/>
    <w:rsid w:val="0D1C27FC"/>
    <w:rsid w:val="0D1F4161"/>
    <w:rsid w:val="0D4914FC"/>
    <w:rsid w:val="0D4C1C3E"/>
    <w:rsid w:val="0D4F1991"/>
    <w:rsid w:val="0D582917"/>
    <w:rsid w:val="0D5B6AC7"/>
    <w:rsid w:val="0D76201B"/>
    <w:rsid w:val="0D807008"/>
    <w:rsid w:val="0D8861D3"/>
    <w:rsid w:val="0DA2767E"/>
    <w:rsid w:val="0DB4487D"/>
    <w:rsid w:val="0DB8731D"/>
    <w:rsid w:val="0DC1262F"/>
    <w:rsid w:val="0DEF4D79"/>
    <w:rsid w:val="0E0174DF"/>
    <w:rsid w:val="0E0C62AF"/>
    <w:rsid w:val="0E0F1DFC"/>
    <w:rsid w:val="0E194612"/>
    <w:rsid w:val="0E3270CE"/>
    <w:rsid w:val="0E3C23A5"/>
    <w:rsid w:val="0E433DCE"/>
    <w:rsid w:val="0E4B3EC2"/>
    <w:rsid w:val="0E533A98"/>
    <w:rsid w:val="0E552DBD"/>
    <w:rsid w:val="0E5C4357"/>
    <w:rsid w:val="0E777CC9"/>
    <w:rsid w:val="0E8F6128"/>
    <w:rsid w:val="0EA61D2A"/>
    <w:rsid w:val="0EA85325"/>
    <w:rsid w:val="0EBB0E65"/>
    <w:rsid w:val="0EDC548D"/>
    <w:rsid w:val="0EDD4088"/>
    <w:rsid w:val="0EFD25D4"/>
    <w:rsid w:val="0F0C73EC"/>
    <w:rsid w:val="0F37213B"/>
    <w:rsid w:val="0F3C7B3D"/>
    <w:rsid w:val="0F4234F2"/>
    <w:rsid w:val="0F773BE4"/>
    <w:rsid w:val="0F8A79FA"/>
    <w:rsid w:val="0F8D2FAC"/>
    <w:rsid w:val="0F976D7C"/>
    <w:rsid w:val="0FA5177D"/>
    <w:rsid w:val="0FA71861"/>
    <w:rsid w:val="0FC21AA2"/>
    <w:rsid w:val="0FC50043"/>
    <w:rsid w:val="0FCC3F47"/>
    <w:rsid w:val="0FDF51C8"/>
    <w:rsid w:val="10132F6B"/>
    <w:rsid w:val="10211B56"/>
    <w:rsid w:val="10274BB9"/>
    <w:rsid w:val="102901BD"/>
    <w:rsid w:val="102E2363"/>
    <w:rsid w:val="104C4BDE"/>
    <w:rsid w:val="10516BA9"/>
    <w:rsid w:val="107064A2"/>
    <w:rsid w:val="107D1297"/>
    <w:rsid w:val="10876EF1"/>
    <w:rsid w:val="10AD670C"/>
    <w:rsid w:val="10B9749A"/>
    <w:rsid w:val="10B97633"/>
    <w:rsid w:val="10C006F6"/>
    <w:rsid w:val="10D058DC"/>
    <w:rsid w:val="10EA296F"/>
    <w:rsid w:val="10EF7E3B"/>
    <w:rsid w:val="10F40E73"/>
    <w:rsid w:val="10F82901"/>
    <w:rsid w:val="110D7333"/>
    <w:rsid w:val="1111039E"/>
    <w:rsid w:val="111A4CF0"/>
    <w:rsid w:val="11256164"/>
    <w:rsid w:val="1130365D"/>
    <w:rsid w:val="11465B4B"/>
    <w:rsid w:val="11495A5C"/>
    <w:rsid w:val="1149793E"/>
    <w:rsid w:val="114B3C63"/>
    <w:rsid w:val="114E182E"/>
    <w:rsid w:val="11565DD1"/>
    <w:rsid w:val="11791DC7"/>
    <w:rsid w:val="118E210D"/>
    <w:rsid w:val="119F602A"/>
    <w:rsid w:val="11A2259A"/>
    <w:rsid w:val="11DB198A"/>
    <w:rsid w:val="11E31EFD"/>
    <w:rsid w:val="11FD1988"/>
    <w:rsid w:val="120A77D9"/>
    <w:rsid w:val="122042AA"/>
    <w:rsid w:val="12235701"/>
    <w:rsid w:val="12362D6B"/>
    <w:rsid w:val="12411FCD"/>
    <w:rsid w:val="12424DEB"/>
    <w:rsid w:val="12707DB4"/>
    <w:rsid w:val="128058BD"/>
    <w:rsid w:val="12A929EB"/>
    <w:rsid w:val="12B4436E"/>
    <w:rsid w:val="12C80633"/>
    <w:rsid w:val="12CA74B4"/>
    <w:rsid w:val="12CB4B1F"/>
    <w:rsid w:val="12DD63A3"/>
    <w:rsid w:val="12E61D4F"/>
    <w:rsid w:val="12EA13D8"/>
    <w:rsid w:val="12EA7CAB"/>
    <w:rsid w:val="12F34F7C"/>
    <w:rsid w:val="13025AEB"/>
    <w:rsid w:val="130D3C23"/>
    <w:rsid w:val="130F2583"/>
    <w:rsid w:val="13357E6F"/>
    <w:rsid w:val="138E6183"/>
    <w:rsid w:val="13961154"/>
    <w:rsid w:val="13987FF7"/>
    <w:rsid w:val="1399073A"/>
    <w:rsid w:val="13996396"/>
    <w:rsid w:val="13A90978"/>
    <w:rsid w:val="13A91487"/>
    <w:rsid w:val="13DA6A2E"/>
    <w:rsid w:val="13E456AD"/>
    <w:rsid w:val="14232E63"/>
    <w:rsid w:val="14263389"/>
    <w:rsid w:val="1437391C"/>
    <w:rsid w:val="1455727F"/>
    <w:rsid w:val="146252AA"/>
    <w:rsid w:val="14905AD7"/>
    <w:rsid w:val="14B628F2"/>
    <w:rsid w:val="14B773BA"/>
    <w:rsid w:val="14BF17D8"/>
    <w:rsid w:val="14D66B32"/>
    <w:rsid w:val="14DB6F5D"/>
    <w:rsid w:val="14DC5162"/>
    <w:rsid w:val="14E2309A"/>
    <w:rsid w:val="14E42A7A"/>
    <w:rsid w:val="15081E4A"/>
    <w:rsid w:val="15085418"/>
    <w:rsid w:val="151731DD"/>
    <w:rsid w:val="15216FE9"/>
    <w:rsid w:val="152A5BD3"/>
    <w:rsid w:val="153A513B"/>
    <w:rsid w:val="1541393A"/>
    <w:rsid w:val="154C0C9E"/>
    <w:rsid w:val="15530148"/>
    <w:rsid w:val="155F2505"/>
    <w:rsid w:val="156E2EE7"/>
    <w:rsid w:val="15943C87"/>
    <w:rsid w:val="159B73EF"/>
    <w:rsid w:val="159F276E"/>
    <w:rsid w:val="15C121A4"/>
    <w:rsid w:val="15CA2AD8"/>
    <w:rsid w:val="15D529B5"/>
    <w:rsid w:val="15D6118D"/>
    <w:rsid w:val="15E80FAA"/>
    <w:rsid w:val="15EE0824"/>
    <w:rsid w:val="15F116A8"/>
    <w:rsid w:val="160865B1"/>
    <w:rsid w:val="160D1AE4"/>
    <w:rsid w:val="161B39EC"/>
    <w:rsid w:val="163421C4"/>
    <w:rsid w:val="163A5FDF"/>
    <w:rsid w:val="165C4B8B"/>
    <w:rsid w:val="165E31B4"/>
    <w:rsid w:val="1667145D"/>
    <w:rsid w:val="166D16E9"/>
    <w:rsid w:val="167B5E34"/>
    <w:rsid w:val="167D6A72"/>
    <w:rsid w:val="168033B1"/>
    <w:rsid w:val="169253F3"/>
    <w:rsid w:val="16966975"/>
    <w:rsid w:val="16BD3F38"/>
    <w:rsid w:val="16D3187D"/>
    <w:rsid w:val="16E20533"/>
    <w:rsid w:val="16E449F8"/>
    <w:rsid w:val="16ED69F3"/>
    <w:rsid w:val="16F10391"/>
    <w:rsid w:val="17153297"/>
    <w:rsid w:val="17417C1D"/>
    <w:rsid w:val="17721FDE"/>
    <w:rsid w:val="17851F12"/>
    <w:rsid w:val="178E0216"/>
    <w:rsid w:val="179E27F2"/>
    <w:rsid w:val="17B75D55"/>
    <w:rsid w:val="17BA7B80"/>
    <w:rsid w:val="17C268E4"/>
    <w:rsid w:val="17D411F6"/>
    <w:rsid w:val="17EB7B46"/>
    <w:rsid w:val="17F26DE0"/>
    <w:rsid w:val="17FC233F"/>
    <w:rsid w:val="1804464A"/>
    <w:rsid w:val="180B7A02"/>
    <w:rsid w:val="180E7846"/>
    <w:rsid w:val="182A40AC"/>
    <w:rsid w:val="18396BD2"/>
    <w:rsid w:val="183B0AB7"/>
    <w:rsid w:val="183C1177"/>
    <w:rsid w:val="18550DF2"/>
    <w:rsid w:val="18554071"/>
    <w:rsid w:val="185619DC"/>
    <w:rsid w:val="1862404C"/>
    <w:rsid w:val="186B56B7"/>
    <w:rsid w:val="187D72CB"/>
    <w:rsid w:val="189E057B"/>
    <w:rsid w:val="18A56E31"/>
    <w:rsid w:val="18A81215"/>
    <w:rsid w:val="18B04AD6"/>
    <w:rsid w:val="18B13C34"/>
    <w:rsid w:val="18B8377C"/>
    <w:rsid w:val="18BD731B"/>
    <w:rsid w:val="18D35675"/>
    <w:rsid w:val="18D44E22"/>
    <w:rsid w:val="18F21BB8"/>
    <w:rsid w:val="18F80913"/>
    <w:rsid w:val="18F83D95"/>
    <w:rsid w:val="19043991"/>
    <w:rsid w:val="190C374D"/>
    <w:rsid w:val="191A70B6"/>
    <w:rsid w:val="19232435"/>
    <w:rsid w:val="193439F2"/>
    <w:rsid w:val="19360852"/>
    <w:rsid w:val="194224F4"/>
    <w:rsid w:val="19544165"/>
    <w:rsid w:val="195A2017"/>
    <w:rsid w:val="19603DA9"/>
    <w:rsid w:val="196C3F34"/>
    <w:rsid w:val="197452B1"/>
    <w:rsid w:val="19836C81"/>
    <w:rsid w:val="198926DC"/>
    <w:rsid w:val="199D1DBC"/>
    <w:rsid w:val="19A95A50"/>
    <w:rsid w:val="19C453C4"/>
    <w:rsid w:val="19C81D91"/>
    <w:rsid w:val="19CB7C7E"/>
    <w:rsid w:val="19D51A97"/>
    <w:rsid w:val="19D946C6"/>
    <w:rsid w:val="19DF683C"/>
    <w:rsid w:val="19EF0293"/>
    <w:rsid w:val="19F86688"/>
    <w:rsid w:val="1A0102EC"/>
    <w:rsid w:val="1A250B84"/>
    <w:rsid w:val="1A2909F1"/>
    <w:rsid w:val="1A433C9B"/>
    <w:rsid w:val="1A531C24"/>
    <w:rsid w:val="1A7C1A7D"/>
    <w:rsid w:val="1A96118E"/>
    <w:rsid w:val="1AA34BE7"/>
    <w:rsid w:val="1AAC2C49"/>
    <w:rsid w:val="1AB91C43"/>
    <w:rsid w:val="1ABA4F98"/>
    <w:rsid w:val="1ADF29E7"/>
    <w:rsid w:val="1B0158BB"/>
    <w:rsid w:val="1B0371F9"/>
    <w:rsid w:val="1B1B2960"/>
    <w:rsid w:val="1B2351BD"/>
    <w:rsid w:val="1B357A94"/>
    <w:rsid w:val="1B364BDF"/>
    <w:rsid w:val="1B845948"/>
    <w:rsid w:val="1BA55A8A"/>
    <w:rsid w:val="1BC11AE1"/>
    <w:rsid w:val="1BD1050B"/>
    <w:rsid w:val="1BD30308"/>
    <w:rsid w:val="1BDB2C90"/>
    <w:rsid w:val="1BDE62BB"/>
    <w:rsid w:val="1BE6136C"/>
    <w:rsid w:val="1BEA71B7"/>
    <w:rsid w:val="1C0162E8"/>
    <w:rsid w:val="1C081E01"/>
    <w:rsid w:val="1C0C37BD"/>
    <w:rsid w:val="1C1F2472"/>
    <w:rsid w:val="1C1F689F"/>
    <w:rsid w:val="1C27614D"/>
    <w:rsid w:val="1C5E3703"/>
    <w:rsid w:val="1C6864B1"/>
    <w:rsid w:val="1C821D87"/>
    <w:rsid w:val="1C897968"/>
    <w:rsid w:val="1C950E31"/>
    <w:rsid w:val="1C9F7622"/>
    <w:rsid w:val="1CAC3C90"/>
    <w:rsid w:val="1CBB1AF4"/>
    <w:rsid w:val="1CC7132A"/>
    <w:rsid w:val="1CC77169"/>
    <w:rsid w:val="1CD27F22"/>
    <w:rsid w:val="1CD31A41"/>
    <w:rsid w:val="1CE0480F"/>
    <w:rsid w:val="1CE24EBD"/>
    <w:rsid w:val="1D0267F2"/>
    <w:rsid w:val="1D0E0C5B"/>
    <w:rsid w:val="1D506CA3"/>
    <w:rsid w:val="1D516AA3"/>
    <w:rsid w:val="1D5E146A"/>
    <w:rsid w:val="1D602E7D"/>
    <w:rsid w:val="1D7A4B98"/>
    <w:rsid w:val="1D8A2165"/>
    <w:rsid w:val="1D90496E"/>
    <w:rsid w:val="1DAA22D3"/>
    <w:rsid w:val="1DB33D07"/>
    <w:rsid w:val="1DC50098"/>
    <w:rsid w:val="1DD358AD"/>
    <w:rsid w:val="1E161EE5"/>
    <w:rsid w:val="1E3368D3"/>
    <w:rsid w:val="1E741EB9"/>
    <w:rsid w:val="1EA84826"/>
    <w:rsid w:val="1EAC0BA4"/>
    <w:rsid w:val="1EB4143B"/>
    <w:rsid w:val="1EBC4F65"/>
    <w:rsid w:val="1ECC6EE4"/>
    <w:rsid w:val="1F01523F"/>
    <w:rsid w:val="1F106BEC"/>
    <w:rsid w:val="1F646DAC"/>
    <w:rsid w:val="1F670DD1"/>
    <w:rsid w:val="1F737267"/>
    <w:rsid w:val="1F831770"/>
    <w:rsid w:val="1FA674AF"/>
    <w:rsid w:val="1FAC5C57"/>
    <w:rsid w:val="1FB4537E"/>
    <w:rsid w:val="1FBF529C"/>
    <w:rsid w:val="1FC53A7B"/>
    <w:rsid w:val="1FDA07D2"/>
    <w:rsid w:val="1FF11715"/>
    <w:rsid w:val="1FF11A30"/>
    <w:rsid w:val="1FFC5B88"/>
    <w:rsid w:val="1FFF4C02"/>
    <w:rsid w:val="20112869"/>
    <w:rsid w:val="20187F57"/>
    <w:rsid w:val="20216DBB"/>
    <w:rsid w:val="20247A96"/>
    <w:rsid w:val="202D4D48"/>
    <w:rsid w:val="20344F2B"/>
    <w:rsid w:val="204039BC"/>
    <w:rsid w:val="20404675"/>
    <w:rsid w:val="20477031"/>
    <w:rsid w:val="205132EF"/>
    <w:rsid w:val="205177EC"/>
    <w:rsid w:val="20624413"/>
    <w:rsid w:val="206F5590"/>
    <w:rsid w:val="20727B4B"/>
    <w:rsid w:val="207F3B89"/>
    <w:rsid w:val="2081196B"/>
    <w:rsid w:val="2099614B"/>
    <w:rsid w:val="209E0C55"/>
    <w:rsid w:val="20AC2368"/>
    <w:rsid w:val="20AE7126"/>
    <w:rsid w:val="20C018B5"/>
    <w:rsid w:val="20E244E1"/>
    <w:rsid w:val="20EF4ED5"/>
    <w:rsid w:val="210223CB"/>
    <w:rsid w:val="2107521D"/>
    <w:rsid w:val="21146C95"/>
    <w:rsid w:val="211F47EB"/>
    <w:rsid w:val="21267E6D"/>
    <w:rsid w:val="213A5E69"/>
    <w:rsid w:val="213E4B6C"/>
    <w:rsid w:val="213F6089"/>
    <w:rsid w:val="21583127"/>
    <w:rsid w:val="21673053"/>
    <w:rsid w:val="217217D6"/>
    <w:rsid w:val="21852BCE"/>
    <w:rsid w:val="21941106"/>
    <w:rsid w:val="21957AA8"/>
    <w:rsid w:val="21B6624F"/>
    <w:rsid w:val="21BF4F55"/>
    <w:rsid w:val="21D75F56"/>
    <w:rsid w:val="21DB08D9"/>
    <w:rsid w:val="21E5650C"/>
    <w:rsid w:val="21EA51E6"/>
    <w:rsid w:val="21EE6B3E"/>
    <w:rsid w:val="22022825"/>
    <w:rsid w:val="22150C9E"/>
    <w:rsid w:val="221553A4"/>
    <w:rsid w:val="221D2191"/>
    <w:rsid w:val="221E2A94"/>
    <w:rsid w:val="223316C0"/>
    <w:rsid w:val="223E10FB"/>
    <w:rsid w:val="223E2AA2"/>
    <w:rsid w:val="22403FE2"/>
    <w:rsid w:val="22546F56"/>
    <w:rsid w:val="22563A79"/>
    <w:rsid w:val="227C65DC"/>
    <w:rsid w:val="227E4DE2"/>
    <w:rsid w:val="228A6FC1"/>
    <w:rsid w:val="228D6BB9"/>
    <w:rsid w:val="22936890"/>
    <w:rsid w:val="22975A29"/>
    <w:rsid w:val="22A421DA"/>
    <w:rsid w:val="22A44F74"/>
    <w:rsid w:val="22B01A03"/>
    <w:rsid w:val="22BA332E"/>
    <w:rsid w:val="22F359C8"/>
    <w:rsid w:val="23054427"/>
    <w:rsid w:val="23132537"/>
    <w:rsid w:val="232846CD"/>
    <w:rsid w:val="232C64D9"/>
    <w:rsid w:val="232C7322"/>
    <w:rsid w:val="234B5127"/>
    <w:rsid w:val="23843AEA"/>
    <w:rsid w:val="2386074B"/>
    <w:rsid w:val="238874A8"/>
    <w:rsid w:val="238D0914"/>
    <w:rsid w:val="23991108"/>
    <w:rsid w:val="23AA5661"/>
    <w:rsid w:val="23CB0BDC"/>
    <w:rsid w:val="23D601FD"/>
    <w:rsid w:val="23F57A71"/>
    <w:rsid w:val="23FD54F7"/>
    <w:rsid w:val="23FE71C3"/>
    <w:rsid w:val="240E783E"/>
    <w:rsid w:val="242026D3"/>
    <w:rsid w:val="2424412B"/>
    <w:rsid w:val="24351572"/>
    <w:rsid w:val="244E20A8"/>
    <w:rsid w:val="24535227"/>
    <w:rsid w:val="24644214"/>
    <w:rsid w:val="246D127D"/>
    <w:rsid w:val="246E1B16"/>
    <w:rsid w:val="247D6632"/>
    <w:rsid w:val="249B727D"/>
    <w:rsid w:val="249E646E"/>
    <w:rsid w:val="24A81B93"/>
    <w:rsid w:val="24AD7A6B"/>
    <w:rsid w:val="24C36EC1"/>
    <w:rsid w:val="24CE4BF9"/>
    <w:rsid w:val="24D44512"/>
    <w:rsid w:val="24D53FEB"/>
    <w:rsid w:val="24F129BA"/>
    <w:rsid w:val="24F21A32"/>
    <w:rsid w:val="24F65398"/>
    <w:rsid w:val="25064A7E"/>
    <w:rsid w:val="25085B93"/>
    <w:rsid w:val="25135768"/>
    <w:rsid w:val="2526702B"/>
    <w:rsid w:val="254538AF"/>
    <w:rsid w:val="255A7ECE"/>
    <w:rsid w:val="25700218"/>
    <w:rsid w:val="257105D4"/>
    <w:rsid w:val="259B4131"/>
    <w:rsid w:val="25A65468"/>
    <w:rsid w:val="25B33400"/>
    <w:rsid w:val="25C31A20"/>
    <w:rsid w:val="25CD39BB"/>
    <w:rsid w:val="25E7066D"/>
    <w:rsid w:val="25ED3BAE"/>
    <w:rsid w:val="26087B71"/>
    <w:rsid w:val="26190965"/>
    <w:rsid w:val="261C451E"/>
    <w:rsid w:val="261C5E2D"/>
    <w:rsid w:val="262031CE"/>
    <w:rsid w:val="266651DD"/>
    <w:rsid w:val="26764234"/>
    <w:rsid w:val="268C1E12"/>
    <w:rsid w:val="269E5A77"/>
    <w:rsid w:val="269E7464"/>
    <w:rsid w:val="269F313A"/>
    <w:rsid w:val="26A86F8A"/>
    <w:rsid w:val="26B35A7D"/>
    <w:rsid w:val="26B75EBF"/>
    <w:rsid w:val="26D064EA"/>
    <w:rsid w:val="26DA5DA6"/>
    <w:rsid w:val="26EF78C6"/>
    <w:rsid w:val="26F468A6"/>
    <w:rsid w:val="27081D58"/>
    <w:rsid w:val="270F3FF9"/>
    <w:rsid w:val="27221AFF"/>
    <w:rsid w:val="272534C4"/>
    <w:rsid w:val="2769335E"/>
    <w:rsid w:val="27815901"/>
    <w:rsid w:val="278E081D"/>
    <w:rsid w:val="278F1741"/>
    <w:rsid w:val="279A585C"/>
    <w:rsid w:val="279E51E7"/>
    <w:rsid w:val="27B53EE7"/>
    <w:rsid w:val="27B627A0"/>
    <w:rsid w:val="27B81C15"/>
    <w:rsid w:val="27CA0D12"/>
    <w:rsid w:val="27CF573E"/>
    <w:rsid w:val="27DF18B6"/>
    <w:rsid w:val="27E3693A"/>
    <w:rsid w:val="27E93408"/>
    <w:rsid w:val="27F57852"/>
    <w:rsid w:val="280016B1"/>
    <w:rsid w:val="280A0B12"/>
    <w:rsid w:val="281B7DE6"/>
    <w:rsid w:val="283D6FD4"/>
    <w:rsid w:val="284477DD"/>
    <w:rsid w:val="28511146"/>
    <w:rsid w:val="285733AF"/>
    <w:rsid w:val="2862030A"/>
    <w:rsid w:val="288C6A3F"/>
    <w:rsid w:val="288E35AB"/>
    <w:rsid w:val="289F19BC"/>
    <w:rsid w:val="28A823D9"/>
    <w:rsid w:val="28A97EBE"/>
    <w:rsid w:val="28C36188"/>
    <w:rsid w:val="28C54CEF"/>
    <w:rsid w:val="28CD0C0C"/>
    <w:rsid w:val="28D43378"/>
    <w:rsid w:val="28D66712"/>
    <w:rsid w:val="28F24477"/>
    <w:rsid w:val="28F51265"/>
    <w:rsid w:val="28FF391E"/>
    <w:rsid w:val="292218A4"/>
    <w:rsid w:val="29233F37"/>
    <w:rsid w:val="292A0EDE"/>
    <w:rsid w:val="292D0EFF"/>
    <w:rsid w:val="293B0EEF"/>
    <w:rsid w:val="294136F8"/>
    <w:rsid w:val="29421985"/>
    <w:rsid w:val="294550D1"/>
    <w:rsid w:val="29587103"/>
    <w:rsid w:val="29645628"/>
    <w:rsid w:val="29660161"/>
    <w:rsid w:val="29697B90"/>
    <w:rsid w:val="297C3D48"/>
    <w:rsid w:val="29C93231"/>
    <w:rsid w:val="29CF0977"/>
    <w:rsid w:val="29DA21AB"/>
    <w:rsid w:val="29EB73DA"/>
    <w:rsid w:val="2A043554"/>
    <w:rsid w:val="2A044F96"/>
    <w:rsid w:val="2A1F0EE0"/>
    <w:rsid w:val="2A264FEF"/>
    <w:rsid w:val="2A6D754C"/>
    <w:rsid w:val="2A85401B"/>
    <w:rsid w:val="2AA9633F"/>
    <w:rsid w:val="2AB60E0D"/>
    <w:rsid w:val="2AC07FF1"/>
    <w:rsid w:val="2AC4710D"/>
    <w:rsid w:val="2ACB6DF0"/>
    <w:rsid w:val="2AD93381"/>
    <w:rsid w:val="2AE335AC"/>
    <w:rsid w:val="2AE36921"/>
    <w:rsid w:val="2AE50A0F"/>
    <w:rsid w:val="2AE801E6"/>
    <w:rsid w:val="2AF34F73"/>
    <w:rsid w:val="2AF36E08"/>
    <w:rsid w:val="2AFA05A7"/>
    <w:rsid w:val="2B0878EE"/>
    <w:rsid w:val="2B2E2C38"/>
    <w:rsid w:val="2B3F5368"/>
    <w:rsid w:val="2B6366C1"/>
    <w:rsid w:val="2B724863"/>
    <w:rsid w:val="2B750ED5"/>
    <w:rsid w:val="2B81281B"/>
    <w:rsid w:val="2B8A2C48"/>
    <w:rsid w:val="2B9656FC"/>
    <w:rsid w:val="2BA16B87"/>
    <w:rsid w:val="2BAC5D8D"/>
    <w:rsid w:val="2BBC60FD"/>
    <w:rsid w:val="2BBF1236"/>
    <w:rsid w:val="2BCD65B3"/>
    <w:rsid w:val="2BDB097D"/>
    <w:rsid w:val="2BF460F7"/>
    <w:rsid w:val="2C024B9E"/>
    <w:rsid w:val="2C08480D"/>
    <w:rsid w:val="2C0D74BE"/>
    <w:rsid w:val="2C1B6A32"/>
    <w:rsid w:val="2C1C58CF"/>
    <w:rsid w:val="2C1E3B67"/>
    <w:rsid w:val="2C2760D2"/>
    <w:rsid w:val="2C336401"/>
    <w:rsid w:val="2C356783"/>
    <w:rsid w:val="2C4938E2"/>
    <w:rsid w:val="2C5301C1"/>
    <w:rsid w:val="2C6F30FB"/>
    <w:rsid w:val="2C736E44"/>
    <w:rsid w:val="2C7547CD"/>
    <w:rsid w:val="2C8E3E70"/>
    <w:rsid w:val="2CB622B2"/>
    <w:rsid w:val="2CC339A0"/>
    <w:rsid w:val="2CD175A7"/>
    <w:rsid w:val="2CD8413E"/>
    <w:rsid w:val="2CE16DC2"/>
    <w:rsid w:val="2CE2111C"/>
    <w:rsid w:val="2CF4259E"/>
    <w:rsid w:val="2CFA51AF"/>
    <w:rsid w:val="2D190C57"/>
    <w:rsid w:val="2D1E76DD"/>
    <w:rsid w:val="2D393B7E"/>
    <w:rsid w:val="2D3B0DA5"/>
    <w:rsid w:val="2D456258"/>
    <w:rsid w:val="2D4F3B68"/>
    <w:rsid w:val="2D535382"/>
    <w:rsid w:val="2D767281"/>
    <w:rsid w:val="2D7F31DD"/>
    <w:rsid w:val="2D8A285C"/>
    <w:rsid w:val="2D9F2CF9"/>
    <w:rsid w:val="2DAF33E5"/>
    <w:rsid w:val="2DCB0DFD"/>
    <w:rsid w:val="2DCC71F4"/>
    <w:rsid w:val="2DE30898"/>
    <w:rsid w:val="2DE4011D"/>
    <w:rsid w:val="2DE65F46"/>
    <w:rsid w:val="2E132C82"/>
    <w:rsid w:val="2E160B93"/>
    <w:rsid w:val="2E2124E3"/>
    <w:rsid w:val="2E345A88"/>
    <w:rsid w:val="2E390FD4"/>
    <w:rsid w:val="2E4931AB"/>
    <w:rsid w:val="2E691B0B"/>
    <w:rsid w:val="2E87029E"/>
    <w:rsid w:val="2E870D5F"/>
    <w:rsid w:val="2E886669"/>
    <w:rsid w:val="2E895327"/>
    <w:rsid w:val="2EA27667"/>
    <w:rsid w:val="2EA31626"/>
    <w:rsid w:val="2EAB23B5"/>
    <w:rsid w:val="2ECD27D0"/>
    <w:rsid w:val="2ED958A0"/>
    <w:rsid w:val="2EE0600D"/>
    <w:rsid w:val="2EE86F33"/>
    <w:rsid w:val="2F0A3B4C"/>
    <w:rsid w:val="2F0E4FEA"/>
    <w:rsid w:val="2F1E3E9E"/>
    <w:rsid w:val="2F38038B"/>
    <w:rsid w:val="2F427B0A"/>
    <w:rsid w:val="2F4550D2"/>
    <w:rsid w:val="2F601501"/>
    <w:rsid w:val="2F622358"/>
    <w:rsid w:val="2F77487B"/>
    <w:rsid w:val="2F797FBC"/>
    <w:rsid w:val="2F7B7560"/>
    <w:rsid w:val="2F7D6021"/>
    <w:rsid w:val="2F8E0819"/>
    <w:rsid w:val="2F946E15"/>
    <w:rsid w:val="2FBE030B"/>
    <w:rsid w:val="2FC064B4"/>
    <w:rsid w:val="2FC95C34"/>
    <w:rsid w:val="2FCD5859"/>
    <w:rsid w:val="2FE1702B"/>
    <w:rsid w:val="2FEC59D4"/>
    <w:rsid w:val="2FEE7A3E"/>
    <w:rsid w:val="2FF54006"/>
    <w:rsid w:val="300774AC"/>
    <w:rsid w:val="30245D94"/>
    <w:rsid w:val="302A123E"/>
    <w:rsid w:val="30343C43"/>
    <w:rsid w:val="304D4F98"/>
    <w:rsid w:val="305E6A82"/>
    <w:rsid w:val="30813C6C"/>
    <w:rsid w:val="30992B82"/>
    <w:rsid w:val="30B60742"/>
    <w:rsid w:val="30D400EA"/>
    <w:rsid w:val="30F602E1"/>
    <w:rsid w:val="310C0515"/>
    <w:rsid w:val="31286FD6"/>
    <w:rsid w:val="312A278B"/>
    <w:rsid w:val="31416BF6"/>
    <w:rsid w:val="31473BCD"/>
    <w:rsid w:val="314F689A"/>
    <w:rsid w:val="315C3C61"/>
    <w:rsid w:val="31627D3D"/>
    <w:rsid w:val="31772AAF"/>
    <w:rsid w:val="317A0E59"/>
    <w:rsid w:val="31846D55"/>
    <w:rsid w:val="31B96635"/>
    <w:rsid w:val="31BC544C"/>
    <w:rsid w:val="31DF18BA"/>
    <w:rsid w:val="31EA181E"/>
    <w:rsid w:val="31FB5D5F"/>
    <w:rsid w:val="321C76FF"/>
    <w:rsid w:val="32204B7D"/>
    <w:rsid w:val="322D450A"/>
    <w:rsid w:val="32335C03"/>
    <w:rsid w:val="32583E0F"/>
    <w:rsid w:val="32596C50"/>
    <w:rsid w:val="325B6754"/>
    <w:rsid w:val="32675798"/>
    <w:rsid w:val="329C51AF"/>
    <w:rsid w:val="329E4B06"/>
    <w:rsid w:val="32A1337E"/>
    <w:rsid w:val="32C12D86"/>
    <w:rsid w:val="32C6216F"/>
    <w:rsid w:val="32D63E40"/>
    <w:rsid w:val="32FC7106"/>
    <w:rsid w:val="33051B30"/>
    <w:rsid w:val="3309495B"/>
    <w:rsid w:val="33095580"/>
    <w:rsid w:val="33331585"/>
    <w:rsid w:val="335334BF"/>
    <w:rsid w:val="33587AEC"/>
    <w:rsid w:val="337338E6"/>
    <w:rsid w:val="33772260"/>
    <w:rsid w:val="33785CC6"/>
    <w:rsid w:val="33856285"/>
    <w:rsid w:val="33865643"/>
    <w:rsid w:val="34210997"/>
    <w:rsid w:val="34233E39"/>
    <w:rsid w:val="34265EC3"/>
    <w:rsid w:val="34297F85"/>
    <w:rsid w:val="34421854"/>
    <w:rsid w:val="344A17E1"/>
    <w:rsid w:val="34510C68"/>
    <w:rsid w:val="345D72B0"/>
    <w:rsid w:val="349275FB"/>
    <w:rsid w:val="34A56409"/>
    <w:rsid w:val="34A56889"/>
    <w:rsid w:val="34AC668B"/>
    <w:rsid w:val="34AE0466"/>
    <w:rsid w:val="34BD32E6"/>
    <w:rsid w:val="34C84924"/>
    <w:rsid w:val="34DC79CB"/>
    <w:rsid w:val="34F810EC"/>
    <w:rsid w:val="34FC0C63"/>
    <w:rsid w:val="34FC6949"/>
    <w:rsid w:val="35043144"/>
    <w:rsid w:val="350E2B57"/>
    <w:rsid w:val="351B725F"/>
    <w:rsid w:val="35355449"/>
    <w:rsid w:val="354C7184"/>
    <w:rsid w:val="356055C8"/>
    <w:rsid w:val="356A623A"/>
    <w:rsid w:val="35847730"/>
    <w:rsid w:val="35850071"/>
    <w:rsid w:val="35994E42"/>
    <w:rsid w:val="35A40665"/>
    <w:rsid w:val="35B24DB4"/>
    <w:rsid w:val="35CB3F46"/>
    <w:rsid w:val="35EF26AB"/>
    <w:rsid w:val="36053EA7"/>
    <w:rsid w:val="360C7209"/>
    <w:rsid w:val="36273F71"/>
    <w:rsid w:val="362A7DCC"/>
    <w:rsid w:val="36454794"/>
    <w:rsid w:val="366B6E7A"/>
    <w:rsid w:val="366C0F09"/>
    <w:rsid w:val="368C4B94"/>
    <w:rsid w:val="369F79BD"/>
    <w:rsid w:val="36B76D47"/>
    <w:rsid w:val="36C2011B"/>
    <w:rsid w:val="36D4061E"/>
    <w:rsid w:val="36E43797"/>
    <w:rsid w:val="37010301"/>
    <w:rsid w:val="37043C7D"/>
    <w:rsid w:val="37301CA2"/>
    <w:rsid w:val="37316C09"/>
    <w:rsid w:val="37340E62"/>
    <w:rsid w:val="37405248"/>
    <w:rsid w:val="374A011A"/>
    <w:rsid w:val="374D1F52"/>
    <w:rsid w:val="37682684"/>
    <w:rsid w:val="37686083"/>
    <w:rsid w:val="376E4F62"/>
    <w:rsid w:val="377416E4"/>
    <w:rsid w:val="378164AE"/>
    <w:rsid w:val="37B47990"/>
    <w:rsid w:val="37BA1102"/>
    <w:rsid w:val="37CF1C23"/>
    <w:rsid w:val="37D975AA"/>
    <w:rsid w:val="38007147"/>
    <w:rsid w:val="380E1BE5"/>
    <w:rsid w:val="381369D0"/>
    <w:rsid w:val="38340F53"/>
    <w:rsid w:val="383C4CF6"/>
    <w:rsid w:val="385D0732"/>
    <w:rsid w:val="38644FB3"/>
    <w:rsid w:val="38975DDF"/>
    <w:rsid w:val="389A2504"/>
    <w:rsid w:val="38A06E7C"/>
    <w:rsid w:val="38A452AD"/>
    <w:rsid w:val="38A54A1E"/>
    <w:rsid w:val="38AE32DB"/>
    <w:rsid w:val="38B34FFC"/>
    <w:rsid w:val="38B4088A"/>
    <w:rsid w:val="38BC3E12"/>
    <w:rsid w:val="38BD1B07"/>
    <w:rsid w:val="38C529DF"/>
    <w:rsid w:val="38C73014"/>
    <w:rsid w:val="38CE3AD2"/>
    <w:rsid w:val="38D202C7"/>
    <w:rsid w:val="38F767AA"/>
    <w:rsid w:val="38FB42C5"/>
    <w:rsid w:val="394E00B9"/>
    <w:rsid w:val="395A2AF2"/>
    <w:rsid w:val="395B2757"/>
    <w:rsid w:val="39754190"/>
    <w:rsid w:val="3993750C"/>
    <w:rsid w:val="399F755A"/>
    <w:rsid w:val="39B27DAD"/>
    <w:rsid w:val="39BA44B3"/>
    <w:rsid w:val="39D22F6A"/>
    <w:rsid w:val="39D33CB4"/>
    <w:rsid w:val="39EC24BE"/>
    <w:rsid w:val="3A28154D"/>
    <w:rsid w:val="3A5E1AA1"/>
    <w:rsid w:val="3A6E138E"/>
    <w:rsid w:val="3AA247D5"/>
    <w:rsid w:val="3AB30FD3"/>
    <w:rsid w:val="3AC85B01"/>
    <w:rsid w:val="3AC85F3C"/>
    <w:rsid w:val="3AE465D6"/>
    <w:rsid w:val="3AFB137E"/>
    <w:rsid w:val="3AFE6241"/>
    <w:rsid w:val="3B060F22"/>
    <w:rsid w:val="3B1341D3"/>
    <w:rsid w:val="3B1A5E6E"/>
    <w:rsid w:val="3B772D82"/>
    <w:rsid w:val="3B7E30F5"/>
    <w:rsid w:val="3B946826"/>
    <w:rsid w:val="3BB30DB8"/>
    <w:rsid w:val="3BB8022B"/>
    <w:rsid w:val="3BBF3FFF"/>
    <w:rsid w:val="3C025A83"/>
    <w:rsid w:val="3C147533"/>
    <w:rsid w:val="3C1A308A"/>
    <w:rsid w:val="3C1D08BA"/>
    <w:rsid w:val="3C28230A"/>
    <w:rsid w:val="3C29259B"/>
    <w:rsid w:val="3C3E6F3A"/>
    <w:rsid w:val="3C4A0492"/>
    <w:rsid w:val="3C4F6B0F"/>
    <w:rsid w:val="3C5479DA"/>
    <w:rsid w:val="3C5520DD"/>
    <w:rsid w:val="3C5E2C4B"/>
    <w:rsid w:val="3C7A386B"/>
    <w:rsid w:val="3C8445DD"/>
    <w:rsid w:val="3C8C77DC"/>
    <w:rsid w:val="3C9E5B50"/>
    <w:rsid w:val="3CA1603C"/>
    <w:rsid w:val="3CD83CC1"/>
    <w:rsid w:val="3D072D96"/>
    <w:rsid w:val="3D2F556A"/>
    <w:rsid w:val="3D3170E2"/>
    <w:rsid w:val="3D3D229D"/>
    <w:rsid w:val="3D523967"/>
    <w:rsid w:val="3D57354F"/>
    <w:rsid w:val="3D6D24F8"/>
    <w:rsid w:val="3D787A04"/>
    <w:rsid w:val="3D812228"/>
    <w:rsid w:val="3D822126"/>
    <w:rsid w:val="3D8714D0"/>
    <w:rsid w:val="3D913808"/>
    <w:rsid w:val="3DCA3723"/>
    <w:rsid w:val="3DDB0A3E"/>
    <w:rsid w:val="3E0F3CCE"/>
    <w:rsid w:val="3E127BF5"/>
    <w:rsid w:val="3E2A64CD"/>
    <w:rsid w:val="3E2A6D40"/>
    <w:rsid w:val="3E357BD6"/>
    <w:rsid w:val="3E441120"/>
    <w:rsid w:val="3E446348"/>
    <w:rsid w:val="3E586D3E"/>
    <w:rsid w:val="3E593E45"/>
    <w:rsid w:val="3E645CE1"/>
    <w:rsid w:val="3E726ED9"/>
    <w:rsid w:val="3E770DF5"/>
    <w:rsid w:val="3E874135"/>
    <w:rsid w:val="3E97299B"/>
    <w:rsid w:val="3E9C5837"/>
    <w:rsid w:val="3EC36DFD"/>
    <w:rsid w:val="3EC92F04"/>
    <w:rsid w:val="3EDD552C"/>
    <w:rsid w:val="3F0939C2"/>
    <w:rsid w:val="3F1519DB"/>
    <w:rsid w:val="3F392AAC"/>
    <w:rsid w:val="3F3C406F"/>
    <w:rsid w:val="3F400F8F"/>
    <w:rsid w:val="3F4139A9"/>
    <w:rsid w:val="3F422D66"/>
    <w:rsid w:val="3F59273C"/>
    <w:rsid w:val="3F683B89"/>
    <w:rsid w:val="3F9D50EA"/>
    <w:rsid w:val="3FA3568F"/>
    <w:rsid w:val="3FB049AA"/>
    <w:rsid w:val="3FB52CBC"/>
    <w:rsid w:val="3FBF4504"/>
    <w:rsid w:val="3FC734B9"/>
    <w:rsid w:val="3FD85061"/>
    <w:rsid w:val="3FE97E51"/>
    <w:rsid w:val="3FED287D"/>
    <w:rsid w:val="3FFE737A"/>
    <w:rsid w:val="40051FC9"/>
    <w:rsid w:val="400C1D80"/>
    <w:rsid w:val="401105B7"/>
    <w:rsid w:val="401A21B6"/>
    <w:rsid w:val="402062E5"/>
    <w:rsid w:val="402169B3"/>
    <w:rsid w:val="402E7B93"/>
    <w:rsid w:val="40360A88"/>
    <w:rsid w:val="40430154"/>
    <w:rsid w:val="40480815"/>
    <w:rsid w:val="406B3137"/>
    <w:rsid w:val="4071308A"/>
    <w:rsid w:val="40D554D7"/>
    <w:rsid w:val="40DD201F"/>
    <w:rsid w:val="41093886"/>
    <w:rsid w:val="41311699"/>
    <w:rsid w:val="413565C0"/>
    <w:rsid w:val="414760C1"/>
    <w:rsid w:val="414A0D93"/>
    <w:rsid w:val="415A0E2A"/>
    <w:rsid w:val="41644BBE"/>
    <w:rsid w:val="416A7D8F"/>
    <w:rsid w:val="41712C9F"/>
    <w:rsid w:val="417F2E2B"/>
    <w:rsid w:val="41AB7DD8"/>
    <w:rsid w:val="41B020F8"/>
    <w:rsid w:val="41B80205"/>
    <w:rsid w:val="41B97CD8"/>
    <w:rsid w:val="41D43F87"/>
    <w:rsid w:val="41F51F5B"/>
    <w:rsid w:val="41F538E7"/>
    <w:rsid w:val="41FA2994"/>
    <w:rsid w:val="420F59D8"/>
    <w:rsid w:val="421B5948"/>
    <w:rsid w:val="421E1F1B"/>
    <w:rsid w:val="42282803"/>
    <w:rsid w:val="42381A10"/>
    <w:rsid w:val="423C56ED"/>
    <w:rsid w:val="423D0D16"/>
    <w:rsid w:val="4253528A"/>
    <w:rsid w:val="425929D7"/>
    <w:rsid w:val="42764C40"/>
    <w:rsid w:val="42771F71"/>
    <w:rsid w:val="42A6781E"/>
    <w:rsid w:val="42BC70D8"/>
    <w:rsid w:val="42BD5DD1"/>
    <w:rsid w:val="42D007FC"/>
    <w:rsid w:val="42D162A8"/>
    <w:rsid w:val="42E012E8"/>
    <w:rsid w:val="42E53CBC"/>
    <w:rsid w:val="42E56C23"/>
    <w:rsid w:val="42F37B9E"/>
    <w:rsid w:val="42F8130A"/>
    <w:rsid w:val="42FC10F5"/>
    <w:rsid w:val="42FE51A5"/>
    <w:rsid w:val="42FF27D0"/>
    <w:rsid w:val="430E2F17"/>
    <w:rsid w:val="43110DAF"/>
    <w:rsid w:val="43141B68"/>
    <w:rsid w:val="43204EB7"/>
    <w:rsid w:val="4328153E"/>
    <w:rsid w:val="434C7692"/>
    <w:rsid w:val="43647193"/>
    <w:rsid w:val="437F4A3A"/>
    <w:rsid w:val="43A238CC"/>
    <w:rsid w:val="43A75C28"/>
    <w:rsid w:val="43DE7AA4"/>
    <w:rsid w:val="43E00F7F"/>
    <w:rsid w:val="43ED0DA2"/>
    <w:rsid w:val="4406466A"/>
    <w:rsid w:val="44197C8F"/>
    <w:rsid w:val="443E10D7"/>
    <w:rsid w:val="444131AB"/>
    <w:rsid w:val="44466E32"/>
    <w:rsid w:val="4448057E"/>
    <w:rsid w:val="444929BF"/>
    <w:rsid w:val="444F4513"/>
    <w:rsid w:val="445241FC"/>
    <w:rsid w:val="448634A0"/>
    <w:rsid w:val="44891F38"/>
    <w:rsid w:val="448D2C95"/>
    <w:rsid w:val="44A06BAB"/>
    <w:rsid w:val="44AE5479"/>
    <w:rsid w:val="44CE23B0"/>
    <w:rsid w:val="44DE5A26"/>
    <w:rsid w:val="44E329A4"/>
    <w:rsid w:val="44E96C3D"/>
    <w:rsid w:val="44F73D6C"/>
    <w:rsid w:val="44F95F62"/>
    <w:rsid w:val="45130A22"/>
    <w:rsid w:val="45262029"/>
    <w:rsid w:val="453A3D4A"/>
    <w:rsid w:val="45427875"/>
    <w:rsid w:val="45485C7D"/>
    <w:rsid w:val="455F490E"/>
    <w:rsid w:val="45955E0E"/>
    <w:rsid w:val="45A72829"/>
    <w:rsid w:val="45B732ED"/>
    <w:rsid w:val="45DE135D"/>
    <w:rsid w:val="45FA295C"/>
    <w:rsid w:val="45FC5642"/>
    <w:rsid w:val="46124813"/>
    <w:rsid w:val="46162A6C"/>
    <w:rsid w:val="4641561A"/>
    <w:rsid w:val="465F1536"/>
    <w:rsid w:val="466C6D69"/>
    <w:rsid w:val="466D3172"/>
    <w:rsid w:val="46A12840"/>
    <w:rsid w:val="46BC791E"/>
    <w:rsid w:val="46C60277"/>
    <w:rsid w:val="46D40510"/>
    <w:rsid w:val="46EF2D39"/>
    <w:rsid w:val="47157A66"/>
    <w:rsid w:val="471B1FCF"/>
    <w:rsid w:val="47201D11"/>
    <w:rsid w:val="47215920"/>
    <w:rsid w:val="472462CA"/>
    <w:rsid w:val="47711D82"/>
    <w:rsid w:val="478D4CFB"/>
    <w:rsid w:val="47961BE1"/>
    <w:rsid w:val="47975DF9"/>
    <w:rsid w:val="47A13037"/>
    <w:rsid w:val="47A70349"/>
    <w:rsid w:val="47A7079E"/>
    <w:rsid w:val="47C9783F"/>
    <w:rsid w:val="47CA20E5"/>
    <w:rsid w:val="47CA4CC4"/>
    <w:rsid w:val="47EE2CE1"/>
    <w:rsid w:val="47F876BE"/>
    <w:rsid w:val="47FF122C"/>
    <w:rsid w:val="48050DD4"/>
    <w:rsid w:val="4817280C"/>
    <w:rsid w:val="481D4374"/>
    <w:rsid w:val="48215BD7"/>
    <w:rsid w:val="482233E9"/>
    <w:rsid w:val="482B2065"/>
    <w:rsid w:val="482E31D7"/>
    <w:rsid w:val="483518BC"/>
    <w:rsid w:val="48544573"/>
    <w:rsid w:val="485B1023"/>
    <w:rsid w:val="486B689A"/>
    <w:rsid w:val="4872241D"/>
    <w:rsid w:val="487D2EE1"/>
    <w:rsid w:val="487E6D9F"/>
    <w:rsid w:val="488D651C"/>
    <w:rsid w:val="48AB7B10"/>
    <w:rsid w:val="48B46016"/>
    <w:rsid w:val="48B977ED"/>
    <w:rsid w:val="48CC4ECA"/>
    <w:rsid w:val="48CD0B4B"/>
    <w:rsid w:val="490F2601"/>
    <w:rsid w:val="491547EB"/>
    <w:rsid w:val="4916284E"/>
    <w:rsid w:val="49281615"/>
    <w:rsid w:val="4942469B"/>
    <w:rsid w:val="49483EBF"/>
    <w:rsid w:val="49575B89"/>
    <w:rsid w:val="4958623C"/>
    <w:rsid w:val="496B1D48"/>
    <w:rsid w:val="49747B8E"/>
    <w:rsid w:val="49753B7E"/>
    <w:rsid w:val="498C522D"/>
    <w:rsid w:val="498D70C9"/>
    <w:rsid w:val="49903C6F"/>
    <w:rsid w:val="499977DC"/>
    <w:rsid w:val="49BE7F95"/>
    <w:rsid w:val="49BF4A32"/>
    <w:rsid w:val="49C14465"/>
    <w:rsid w:val="4A15387A"/>
    <w:rsid w:val="4A16464F"/>
    <w:rsid w:val="4A1C51FA"/>
    <w:rsid w:val="4A1F7606"/>
    <w:rsid w:val="4A2B1390"/>
    <w:rsid w:val="4A2C61CB"/>
    <w:rsid w:val="4A471069"/>
    <w:rsid w:val="4A4963F4"/>
    <w:rsid w:val="4A504480"/>
    <w:rsid w:val="4A531D67"/>
    <w:rsid w:val="4A552A9F"/>
    <w:rsid w:val="4A5F1006"/>
    <w:rsid w:val="4A6344A5"/>
    <w:rsid w:val="4A692C24"/>
    <w:rsid w:val="4A714A2D"/>
    <w:rsid w:val="4A903CF6"/>
    <w:rsid w:val="4A9148F0"/>
    <w:rsid w:val="4A916067"/>
    <w:rsid w:val="4A9E30E6"/>
    <w:rsid w:val="4AA02A32"/>
    <w:rsid w:val="4AA108AB"/>
    <w:rsid w:val="4AAC7C7B"/>
    <w:rsid w:val="4ABE2F33"/>
    <w:rsid w:val="4ACB1257"/>
    <w:rsid w:val="4ACC0D1F"/>
    <w:rsid w:val="4ADC7811"/>
    <w:rsid w:val="4AE90D31"/>
    <w:rsid w:val="4AED0EA4"/>
    <w:rsid w:val="4B076D76"/>
    <w:rsid w:val="4B2B0713"/>
    <w:rsid w:val="4B3C3A46"/>
    <w:rsid w:val="4B470331"/>
    <w:rsid w:val="4B4F3CB9"/>
    <w:rsid w:val="4B6831D6"/>
    <w:rsid w:val="4B6A108A"/>
    <w:rsid w:val="4B814A23"/>
    <w:rsid w:val="4B8446E2"/>
    <w:rsid w:val="4BA017E8"/>
    <w:rsid w:val="4BA570EB"/>
    <w:rsid w:val="4BEE2D46"/>
    <w:rsid w:val="4BF73AD5"/>
    <w:rsid w:val="4C0859C5"/>
    <w:rsid w:val="4C107ECD"/>
    <w:rsid w:val="4C146F3F"/>
    <w:rsid w:val="4C1B22E5"/>
    <w:rsid w:val="4C3346F4"/>
    <w:rsid w:val="4C3C0C7D"/>
    <w:rsid w:val="4C406983"/>
    <w:rsid w:val="4C7E0E60"/>
    <w:rsid w:val="4C83031E"/>
    <w:rsid w:val="4CAD5C7A"/>
    <w:rsid w:val="4CC93E15"/>
    <w:rsid w:val="4D03307E"/>
    <w:rsid w:val="4D0651E0"/>
    <w:rsid w:val="4D10183F"/>
    <w:rsid w:val="4D261EAD"/>
    <w:rsid w:val="4D3439A8"/>
    <w:rsid w:val="4D3A6158"/>
    <w:rsid w:val="4D3E1DA2"/>
    <w:rsid w:val="4D3F1703"/>
    <w:rsid w:val="4D5C646A"/>
    <w:rsid w:val="4D8E2E98"/>
    <w:rsid w:val="4D976058"/>
    <w:rsid w:val="4DAC445F"/>
    <w:rsid w:val="4DC04E80"/>
    <w:rsid w:val="4DCA32FF"/>
    <w:rsid w:val="4DCE4EF1"/>
    <w:rsid w:val="4DD2416D"/>
    <w:rsid w:val="4DD44D2D"/>
    <w:rsid w:val="4DEB67FC"/>
    <w:rsid w:val="4DF90E37"/>
    <w:rsid w:val="4DFC0B9C"/>
    <w:rsid w:val="4E0067B1"/>
    <w:rsid w:val="4E0B4C6B"/>
    <w:rsid w:val="4E172D37"/>
    <w:rsid w:val="4E1B4DE5"/>
    <w:rsid w:val="4E3D4A09"/>
    <w:rsid w:val="4E536525"/>
    <w:rsid w:val="4E6E5249"/>
    <w:rsid w:val="4E6F07B4"/>
    <w:rsid w:val="4E81480E"/>
    <w:rsid w:val="4ED126FB"/>
    <w:rsid w:val="4EDD69C7"/>
    <w:rsid w:val="4EE1225B"/>
    <w:rsid w:val="4EFD6727"/>
    <w:rsid w:val="4F0B5B7E"/>
    <w:rsid w:val="4F0D22E6"/>
    <w:rsid w:val="4F1465AC"/>
    <w:rsid w:val="4F196205"/>
    <w:rsid w:val="4F1D47E7"/>
    <w:rsid w:val="4F1F7C7D"/>
    <w:rsid w:val="4F27355D"/>
    <w:rsid w:val="4F345496"/>
    <w:rsid w:val="4F411151"/>
    <w:rsid w:val="4F583371"/>
    <w:rsid w:val="4F6E4D00"/>
    <w:rsid w:val="4F7F5FC8"/>
    <w:rsid w:val="4F811CD5"/>
    <w:rsid w:val="4F860A89"/>
    <w:rsid w:val="4F8E3152"/>
    <w:rsid w:val="4F92260C"/>
    <w:rsid w:val="4FA94C48"/>
    <w:rsid w:val="4FC57BED"/>
    <w:rsid w:val="4FCE50FC"/>
    <w:rsid w:val="4FD66583"/>
    <w:rsid w:val="4FE50A41"/>
    <w:rsid w:val="4FEE655A"/>
    <w:rsid w:val="50086F27"/>
    <w:rsid w:val="5025018A"/>
    <w:rsid w:val="50282A17"/>
    <w:rsid w:val="502836F6"/>
    <w:rsid w:val="502A4308"/>
    <w:rsid w:val="502C5ABD"/>
    <w:rsid w:val="5032716B"/>
    <w:rsid w:val="503469D8"/>
    <w:rsid w:val="506F2924"/>
    <w:rsid w:val="50782F5F"/>
    <w:rsid w:val="50A1223E"/>
    <w:rsid w:val="50A97438"/>
    <w:rsid w:val="50D54774"/>
    <w:rsid w:val="50DB2515"/>
    <w:rsid w:val="50FD09C6"/>
    <w:rsid w:val="5108204A"/>
    <w:rsid w:val="51184096"/>
    <w:rsid w:val="51224D56"/>
    <w:rsid w:val="512A716C"/>
    <w:rsid w:val="513F3067"/>
    <w:rsid w:val="514221A6"/>
    <w:rsid w:val="51492F83"/>
    <w:rsid w:val="5153031E"/>
    <w:rsid w:val="51867016"/>
    <w:rsid w:val="518A7F77"/>
    <w:rsid w:val="51985AE1"/>
    <w:rsid w:val="51AE2177"/>
    <w:rsid w:val="51C931ED"/>
    <w:rsid w:val="51CF397A"/>
    <w:rsid w:val="51EB7321"/>
    <w:rsid w:val="522A7682"/>
    <w:rsid w:val="522C11F6"/>
    <w:rsid w:val="523349EA"/>
    <w:rsid w:val="52355CDE"/>
    <w:rsid w:val="523E7A0A"/>
    <w:rsid w:val="52814AF5"/>
    <w:rsid w:val="52942AD8"/>
    <w:rsid w:val="52AD3BF8"/>
    <w:rsid w:val="52E85D57"/>
    <w:rsid w:val="52EA721F"/>
    <w:rsid w:val="52FF4481"/>
    <w:rsid w:val="531E41E0"/>
    <w:rsid w:val="53291EA8"/>
    <w:rsid w:val="5368565F"/>
    <w:rsid w:val="537C0687"/>
    <w:rsid w:val="53817039"/>
    <w:rsid w:val="53947DC5"/>
    <w:rsid w:val="53950FD7"/>
    <w:rsid w:val="539A06BB"/>
    <w:rsid w:val="539E62B4"/>
    <w:rsid w:val="53B80396"/>
    <w:rsid w:val="53BF47CF"/>
    <w:rsid w:val="53C605B7"/>
    <w:rsid w:val="53C814B3"/>
    <w:rsid w:val="53D15C06"/>
    <w:rsid w:val="53E0238E"/>
    <w:rsid w:val="53EB5859"/>
    <w:rsid w:val="53EC5EDF"/>
    <w:rsid w:val="54337A58"/>
    <w:rsid w:val="5461152D"/>
    <w:rsid w:val="54616DEA"/>
    <w:rsid w:val="546C1314"/>
    <w:rsid w:val="54AD01A0"/>
    <w:rsid w:val="54B04042"/>
    <w:rsid w:val="54B84D49"/>
    <w:rsid w:val="54DE46E9"/>
    <w:rsid w:val="54E65AA0"/>
    <w:rsid w:val="54FB762D"/>
    <w:rsid w:val="54FF0488"/>
    <w:rsid w:val="551D4F69"/>
    <w:rsid w:val="552A7AB7"/>
    <w:rsid w:val="553817D5"/>
    <w:rsid w:val="553B4DE6"/>
    <w:rsid w:val="554D4044"/>
    <w:rsid w:val="55505642"/>
    <w:rsid w:val="555769BA"/>
    <w:rsid w:val="555C4B89"/>
    <w:rsid w:val="55647997"/>
    <w:rsid w:val="557B69F3"/>
    <w:rsid w:val="55B86BB8"/>
    <w:rsid w:val="55DC198A"/>
    <w:rsid w:val="55E82ECD"/>
    <w:rsid w:val="55EB2F10"/>
    <w:rsid w:val="55EE520C"/>
    <w:rsid w:val="55F57922"/>
    <w:rsid w:val="55F66EBF"/>
    <w:rsid w:val="55FA574B"/>
    <w:rsid w:val="56072690"/>
    <w:rsid w:val="56117996"/>
    <w:rsid w:val="56162717"/>
    <w:rsid w:val="56335731"/>
    <w:rsid w:val="56372C6C"/>
    <w:rsid w:val="564A7BE8"/>
    <w:rsid w:val="566B1FA5"/>
    <w:rsid w:val="5683151E"/>
    <w:rsid w:val="568A5B55"/>
    <w:rsid w:val="568F4100"/>
    <w:rsid w:val="569026B0"/>
    <w:rsid w:val="569D5509"/>
    <w:rsid w:val="569E585C"/>
    <w:rsid w:val="56A659D2"/>
    <w:rsid w:val="56B55A98"/>
    <w:rsid w:val="56BE3C87"/>
    <w:rsid w:val="56DB4EEB"/>
    <w:rsid w:val="56DE2498"/>
    <w:rsid w:val="56E61821"/>
    <w:rsid w:val="56E90F3D"/>
    <w:rsid w:val="56F94759"/>
    <w:rsid w:val="57455A2D"/>
    <w:rsid w:val="574C743D"/>
    <w:rsid w:val="57604B99"/>
    <w:rsid w:val="57640B4F"/>
    <w:rsid w:val="576A2500"/>
    <w:rsid w:val="57752074"/>
    <w:rsid w:val="578E7DC8"/>
    <w:rsid w:val="579C0CFF"/>
    <w:rsid w:val="57AF24E5"/>
    <w:rsid w:val="57B83C39"/>
    <w:rsid w:val="57C64DBB"/>
    <w:rsid w:val="57CE1F98"/>
    <w:rsid w:val="57D9251E"/>
    <w:rsid w:val="57DE7147"/>
    <w:rsid w:val="57E64E1B"/>
    <w:rsid w:val="57EC4CE5"/>
    <w:rsid w:val="57F06973"/>
    <w:rsid w:val="57F94C4E"/>
    <w:rsid w:val="580828D1"/>
    <w:rsid w:val="585B1F9C"/>
    <w:rsid w:val="585F19B2"/>
    <w:rsid w:val="587C3D9D"/>
    <w:rsid w:val="587D49B7"/>
    <w:rsid w:val="588B112B"/>
    <w:rsid w:val="58AE6728"/>
    <w:rsid w:val="58B336C6"/>
    <w:rsid w:val="58B86BD6"/>
    <w:rsid w:val="58E5406A"/>
    <w:rsid w:val="58E926FE"/>
    <w:rsid w:val="58FC6629"/>
    <w:rsid w:val="59053535"/>
    <w:rsid w:val="590E3E73"/>
    <w:rsid w:val="591B3192"/>
    <w:rsid w:val="59233389"/>
    <w:rsid w:val="5927131D"/>
    <w:rsid w:val="592D5461"/>
    <w:rsid w:val="59493BBA"/>
    <w:rsid w:val="594D4276"/>
    <w:rsid w:val="59530AA1"/>
    <w:rsid w:val="595F390E"/>
    <w:rsid w:val="59757D98"/>
    <w:rsid w:val="59775B27"/>
    <w:rsid w:val="5980665F"/>
    <w:rsid w:val="599E6957"/>
    <w:rsid w:val="59AF60E3"/>
    <w:rsid w:val="59B03E6B"/>
    <w:rsid w:val="59BB201C"/>
    <w:rsid w:val="59D407FB"/>
    <w:rsid w:val="59DF08C0"/>
    <w:rsid w:val="59F35530"/>
    <w:rsid w:val="5A070AAD"/>
    <w:rsid w:val="5A381F28"/>
    <w:rsid w:val="5A4D539C"/>
    <w:rsid w:val="5A597573"/>
    <w:rsid w:val="5A5C450F"/>
    <w:rsid w:val="5A6D1A51"/>
    <w:rsid w:val="5A7909D3"/>
    <w:rsid w:val="5AB6346E"/>
    <w:rsid w:val="5AEC5F69"/>
    <w:rsid w:val="5B1E52C6"/>
    <w:rsid w:val="5B2B161C"/>
    <w:rsid w:val="5B360867"/>
    <w:rsid w:val="5B4A39B2"/>
    <w:rsid w:val="5B7C2CA1"/>
    <w:rsid w:val="5B8122F4"/>
    <w:rsid w:val="5B827ECA"/>
    <w:rsid w:val="5B841E27"/>
    <w:rsid w:val="5BA918B2"/>
    <w:rsid w:val="5BB1510C"/>
    <w:rsid w:val="5BBE5042"/>
    <w:rsid w:val="5BD14F60"/>
    <w:rsid w:val="5BD83A16"/>
    <w:rsid w:val="5C045FFA"/>
    <w:rsid w:val="5C70559E"/>
    <w:rsid w:val="5C735EAE"/>
    <w:rsid w:val="5C7D0445"/>
    <w:rsid w:val="5CAD675B"/>
    <w:rsid w:val="5CB070C9"/>
    <w:rsid w:val="5CC75C73"/>
    <w:rsid w:val="5CD953D2"/>
    <w:rsid w:val="5CDB0631"/>
    <w:rsid w:val="5CDF42D8"/>
    <w:rsid w:val="5CE63D4E"/>
    <w:rsid w:val="5CF51584"/>
    <w:rsid w:val="5D652F49"/>
    <w:rsid w:val="5D711CF6"/>
    <w:rsid w:val="5DAB62DE"/>
    <w:rsid w:val="5DBC6A9C"/>
    <w:rsid w:val="5DD66E02"/>
    <w:rsid w:val="5DDC2316"/>
    <w:rsid w:val="5DFF5504"/>
    <w:rsid w:val="5E0C4AFF"/>
    <w:rsid w:val="5E1D4B01"/>
    <w:rsid w:val="5E254C64"/>
    <w:rsid w:val="5E3F047F"/>
    <w:rsid w:val="5E6C3526"/>
    <w:rsid w:val="5E7230A9"/>
    <w:rsid w:val="5E754C0E"/>
    <w:rsid w:val="5E7603F5"/>
    <w:rsid w:val="5E765DE0"/>
    <w:rsid w:val="5E7B7A05"/>
    <w:rsid w:val="5E883DBE"/>
    <w:rsid w:val="5E8C47FF"/>
    <w:rsid w:val="5E962F77"/>
    <w:rsid w:val="5EA22478"/>
    <w:rsid w:val="5EA73162"/>
    <w:rsid w:val="5EA92062"/>
    <w:rsid w:val="5EB05C92"/>
    <w:rsid w:val="5EBC5865"/>
    <w:rsid w:val="5EBD7446"/>
    <w:rsid w:val="5ED12AF8"/>
    <w:rsid w:val="5ED51A54"/>
    <w:rsid w:val="5EFE7C87"/>
    <w:rsid w:val="5F133CFC"/>
    <w:rsid w:val="5F1759EA"/>
    <w:rsid w:val="5F19049C"/>
    <w:rsid w:val="5F1B67BB"/>
    <w:rsid w:val="5F2E3022"/>
    <w:rsid w:val="5F614FDB"/>
    <w:rsid w:val="5F805492"/>
    <w:rsid w:val="5F8A62EF"/>
    <w:rsid w:val="5F90104D"/>
    <w:rsid w:val="5F997FDA"/>
    <w:rsid w:val="5FB254F0"/>
    <w:rsid w:val="5FB53731"/>
    <w:rsid w:val="5FB61EEA"/>
    <w:rsid w:val="5FBA7A09"/>
    <w:rsid w:val="5FC2669C"/>
    <w:rsid w:val="5FC3284A"/>
    <w:rsid w:val="5FCD3759"/>
    <w:rsid w:val="5FDE67C0"/>
    <w:rsid w:val="5FE776F0"/>
    <w:rsid w:val="600567AD"/>
    <w:rsid w:val="60553513"/>
    <w:rsid w:val="605936DC"/>
    <w:rsid w:val="605F5654"/>
    <w:rsid w:val="60686F2F"/>
    <w:rsid w:val="608138C5"/>
    <w:rsid w:val="608D761F"/>
    <w:rsid w:val="6090773C"/>
    <w:rsid w:val="609A789D"/>
    <w:rsid w:val="60C71D00"/>
    <w:rsid w:val="60CB6839"/>
    <w:rsid w:val="60D03EB8"/>
    <w:rsid w:val="60E95C56"/>
    <w:rsid w:val="60EF7F92"/>
    <w:rsid w:val="60FF0F61"/>
    <w:rsid w:val="61085209"/>
    <w:rsid w:val="61154336"/>
    <w:rsid w:val="612A658D"/>
    <w:rsid w:val="612B78B0"/>
    <w:rsid w:val="612F1EE0"/>
    <w:rsid w:val="61331AB2"/>
    <w:rsid w:val="614C629A"/>
    <w:rsid w:val="615B5CB0"/>
    <w:rsid w:val="615C0FA5"/>
    <w:rsid w:val="61892E65"/>
    <w:rsid w:val="618D0738"/>
    <w:rsid w:val="619C5EAE"/>
    <w:rsid w:val="61BE314D"/>
    <w:rsid w:val="61C449C2"/>
    <w:rsid w:val="61CA231B"/>
    <w:rsid w:val="61D80F81"/>
    <w:rsid w:val="61E7399A"/>
    <w:rsid w:val="621C73E4"/>
    <w:rsid w:val="62285FFC"/>
    <w:rsid w:val="622E07A5"/>
    <w:rsid w:val="623372DA"/>
    <w:rsid w:val="62354AB7"/>
    <w:rsid w:val="62372A54"/>
    <w:rsid w:val="623C5B5D"/>
    <w:rsid w:val="62543B48"/>
    <w:rsid w:val="6259005B"/>
    <w:rsid w:val="625A33FC"/>
    <w:rsid w:val="62704AD6"/>
    <w:rsid w:val="62772FF1"/>
    <w:rsid w:val="627C5709"/>
    <w:rsid w:val="628F20FF"/>
    <w:rsid w:val="62AB267A"/>
    <w:rsid w:val="62B47E33"/>
    <w:rsid w:val="62D65F0A"/>
    <w:rsid w:val="62D83683"/>
    <w:rsid w:val="62FD57D5"/>
    <w:rsid w:val="62FF30F3"/>
    <w:rsid w:val="63153865"/>
    <w:rsid w:val="632C31D1"/>
    <w:rsid w:val="63335B22"/>
    <w:rsid w:val="6334748B"/>
    <w:rsid w:val="63445CCE"/>
    <w:rsid w:val="634C4FC7"/>
    <w:rsid w:val="6380443B"/>
    <w:rsid w:val="63B91BFC"/>
    <w:rsid w:val="63BC705E"/>
    <w:rsid w:val="63BF6EC6"/>
    <w:rsid w:val="63C84256"/>
    <w:rsid w:val="63D631F5"/>
    <w:rsid w:val="63DD1FE0"/>
    <w:rsid w:val="63EA6E0B"/>
    <w:rsid w:val="640D3B58"/>
    <w:rsid w:val="641532C9"/>
    <w:rsid w:val="64212733"/>
    <w:rsid w:val="64244860"/>
    <w:rsid w:val="64595CC4"/>
    <w:rsid w:val="646115A3"/>
    <w:rsid w:val="646A4353"/>
    <w:rsid w:val="6475252C"/>
    <w:rsid w:val="64790650"/>
    <w:rsid w:val="64796759"/>
    <w:rsid w:val="64837B48"/>
    <w:rsid w:val="64AD46AD"/>
    <w:rsid w:val="64AD4BA2"/>
    <w:rsid w:val="64CC63D8"/>
    <w:rsid w:val="64CE6A79"/>
    <w:rsid w:val="64E95FC4"/>
    <w:rsid w:val="64EF75EB"/>
    <w:rsid w:val="64EF7D3C"/>
    <w:rsid w:val="650330E4"/>
    <w:rsid w:val="650B539F"/>
    <w:rsid w:val="6530455B"/>
    <w:rsid w:val="65495351"/>
    <w:rsid w:val="656F6310"/>
    <w:rsid w:val="657F1D7C"/>
    <w:rsid w:val="658A41F2"/>
    <w:rsid w:val="6593109C"/>
    <w:rsid w:val="659B7128"/>
    <w:rsid w:val="65B33AFE"/>
    <w:rsid w:val="65BB60DF"/>
    <w:rsid w:val="65BC778B"/>
    <w:rsid w:val="65C54D07"/>
    <w:rsid w:val="65F50878"/>
    <w:rsid w:val="6619418A"/>
    <w:rsid w:val="66482DD6"/>
    <w:rsid w:val="66581C26"/>
    <w:rsid w:val="66753364"/>
    <w:rsid w:val="66864E76"/>
    <w:rsid w:val="66894F08"/>
    <w:rsid w:val="668D6C6D"/>
    <w:rsid w:val="668F2F25"/>
    <w:rsid w:val="669C23D6"/>
    <w:rsid w:val="669E78BF"/>
    <w:rsid w:val="66A3579E"/>
    <w:rsid w:val="66BB14E2"/>
    <w:rsid w:val="66C7170E"/>
    <w:rsid w:val="66C76696"/>
    <w:rsid w:val="66CA5BBC"/>
    <w:rsid w:val="66FF45C6"/>
    <w:rsid w:val="671E4C17"/>
    <w:rsid w:val="673A113F"/>
    <w:rsid w:val="67595506"/>
    <w:rsid w:val="67690C84"/>
    <w:rsid w:val="67743C5F"/>
    <w:rsid w:val="677612DA"/>
    <w:rsid w:val="677F7BDB"/>
    <w:rsid w:val="6790108C"/>
    <w:rsid w:val="67957391"/>
    <w:rsid w:val="679813AD"/>
    <w:rsid w:val="67985EE0"/>
    <w:rsid w:val="67AA7AAC"/>
    <w:rsid w:val="67AF5B25"/>
    <w:rsid w:val="67B63E1E"/>
    <w:rsid w:val="67C5630B"/>
    <w:rsid w:val="67CA120F"/>
    <w:rsid w:val="67D77A15"/>
    <w:rsid w:val="67DE50A5"/>
    <w:rsid w:val="67EF0AB6"/>
    <w:rsid w:val="67F568A2"/>
    <w:rsid w:val="67F67BE3"/>
    <w:rsid w:val="67F90272"/>
    <w:rsid w:val="67FC5ED4"/>
    <w:rsid w:val="680735F0"/>
    <w:rsid w:val="681D54DA"/>
    <w:rsid w:val="681E6838"/>
    <w:rsid w:val="682000DB"/>
    <w:rsid w:val="68260D33"/>
    <w:rsid w:val="68315A8B"/>
    <w:rsid w:val="68364B4E"/>
    <w:rsid w:val="685B7E09"/>
    <w:rsid w:val="68633859"/>
    <w:rsid w:val="686E40B7"/>
    <w:rsid w:val="687F5A83"/>
    <w:rsid w:val="68811F27"/>
    <w:rsid w:val="68A15EA8"/>
    <w:rsid w:val="68A176F3"/>
    <w:rsid w:val="68C350D2"/>
    <w:rsid w:val="68D42CDC"/>
    <w:rsid w:val="68E45AF1"/>
    <w:rsid w:val="68FD0466"/>
    <w:rsid w:val="691F36F4"/>
    <w:rsid w:val="69274D01"/>
    <w:rsid w:val="692C0735"/>
    <w:rsid w:val="692E110F"/>
    <w:rsid w:val="693A6BEE"/>
    <w:rsid w:val="693F548B"/>
    <w:rsid w:val="6979471D"/>
    <w:rsid w:val="698449C3"/>
    <w:rsid w:val="698824A0"/>
    <w:rsid w:val="698E7CC5"/>
    <w:rsid w:val="69B92347"/>
    <w:rsid w:val="69CB10B2"/>
    <w:rsid w:val="69CE50D6"/>
    <w:rsid w:val="69EC34D7"/>
    <w:rsid w:val="69ED7B14"/>
    <w:rsid w:val="69FB1F32"/>
    <w:rsid w:val="6A034649"/>
    <w:rsid w:val="6A096254"/>
    <w:rsid w:val="6A2645B1"/>
    <w:rsid w:val="6A2A3C89"/>
    <w:rsid w:val="6A344A69"/>
    <w:rsid w:val="6A344B44"/>
    <w:rsid w:val="6A3542EF"/>
    <w:rsid w:val="6A3C3ABD"/>
    <w:rsid w:val="6A4414DD"/>
    <w:rsid w:val="6A4C308D"/>
    <w:rsid w:val="6A4E2E9D"/>
    <w:rsid w:val="6A5007FA"/>
    <w:rsid w:val="6A5C267E"/>
    <w:rsid w:val="6A660B7B"/>
    <w:rsid w:val="6A6D7DDD"/>
    <w:rsid w:val="6A823395"/>
    <w:rsid w:val="6A944AD1"/>
    <w:rsid w:val="6AAF190F"/>
    <w:rsid w:val="6AB14934"/>
    <w:rsid w:val="6ABF101C"/>
    <w:rsid w:val="6AD20848"/>
    <w:rsid w:val="6ADE422F"/>
    <w:rsid w:val="6AE1183E"/>
    <w:rsid w:val="6AEB2135"/>
    <w:rsid w:val="6B022F93"/>
    <w:rsid w:val="6B0455B9"/>
    <w:rsid w:val="6B0571EA"/>
    <w:rsid w:val="6B1C4698"/>
    <w:rsid w:val="6B28155F"/>
    <w:rsid w:val="6B293F3E"/>
    <w:rsid w:val="6B311A7A"/>
    <w:rsid w:val="6B421175"/>
    <w:rsid w:val="6B4E50FD"/>
    <w:rsid w:val="6B4F2DA7"/>
    <w:rsid w:val="6B5E682D"/>
    <w:rsid w:val="6B65028E"/>
    <w:rsid w:val="6B6E5D95"/>
    <w:rsid w:val="6B791507"/>
    <w:rsid w:val="6B943E82"/>
    <w:rsid w:val="6BAA7909"/>
    <w:rsid w:val="6BAE35DE"/>
    <w:rsid w:val="6BB52DEE"/>
    <w:rsid w:val="6BE71F72"/>
    <w:rsid w:val="6BF63DFB"/>
    <w:rsid w:val="6BF8500B"/>
    <w:rsid w:val="6BFB34F9"/>
    <w:rsid w:val="6C126FCD"/>
    <w:rsid w:val="6C1F3963"/>
    <w:rsid w:val="6C254844"/>
    <w:rsid w:val="6C357F3F"/>
    <w:rsid w:val="6C3E61D2"/>
    <w:rsid w:val="6C3F6322"/>
    <w:rsid w:val="6C402780"/>
    <w:rsid w:val="6C4758C1"/>
    <w:rsid w:val="6C4C0105"/>
    <w:rsid w:val="6C5A4EDF"/>
    <w:rsid w:val="6C633E5B"/>
    <w:rsid w:val="6C721A39"/>
    <w:rsid w:val="6CAF02FD"/>
    <w:rsid w:val="6CCB085B"/>
    <w:rsid w:val="6CD5093D"/>
    <w:rsid w:val="6CDF5CCB"/>
    <w:rsid w:val="6CE15CAF"/>
    <w:rsid w:val="6CE96E6F"/>
    <w:rsid w:val="6D04570E"/>
    <w:rsid w:val="6D0D4926"/>
    <w:rsid w:val="6D2043B0"/>
    <w:rsid w:val="6D266D39"/>
    <w:rsid w:val="6D2A002E"/>
    <w:rsid w:val="6D494BA9"/>
    <w:rsid w:val="6D57327B"/>
    <w:rsid w:val="6D775618"/>
    <w:rsid w:val="6D853B73"/>
    <w:rsid w:val="6D8E450F"/>
    <w:rsid w:val="6D8F009A"/>
    <w:rsid w:val="6DBA767B"/>
    <w:rsid w:val="6DBD27DC"/>
    <w:rsid w:val="6DBF4A1E"/>
    <w:rsid w:val="6DDC13D4"/>
    <w:rsid w:val="6DEA1F07"/>
    <w:rsid w:val="6E0B5BB1"/>
    <w:rsid w:val="6E182DBA"/>
    <w:rsid w:val="6E24616C"/>
    <w:rsid w:val="6E2C1311"/>
    <w:rsid w:val="6E2D60C7"/>
    <w:rsid w:val="6E3358CC"/>
    <w:rsid w:val="6E364BE1"/>
    <w:rsid w:val="6E3D1BE8"/>
    <w:rsid w:val="6E432B5C"/>
    <w:rsid w:val="6E454A01"/>
    <w:rsid w:val="6E5A02B0"/>
    <w:rsid w:val="6E5C0406"/>
    <w:rsid w:val="6E8471A1"/>
    <w:rsid w:val="6E8E4DD0"/>
    <w:rsid w:val="6E95349C"/>
    <w:rsid w:val="6EA745BA"/>
    <w:rsid w:val="6EC01D33"/>
    <w:rsid w:val="6EDF464D"/>
    <w:rsid w:val="6EE25E69"/>
    <w:rsid w:val="6EFA0E04"/>
    <w:rsid w:val="6F002C34"/>
    <w:rsid w:val="6F0715AA"/>
    <w:rsid w:val="6F1135E8"/>
    <w:rsid w:val="6F371B2B"/>
    <w:rsid w:val="6F63177B"/>
    <w:rsid w:val="6F655700"/>
    <w:rsid w:val="6F756CB7"/>
    <w:rsid w:val="6F8B009D"/>
    <w:rsid w:val="6F8C2896"/>
    <w:rsid w:val="6FA76B3D"/>
    <w:rsid w:val="6FB02FF9"/>
    <w:rsid w:val="6FBE7365"/>
    <w:rsid w:val="6FD9498C"/>
    <w:rsid w:val="6FED4C04"/>
    <w:rsid w:val="6FF2313D"/>
    <w:rsid w:val="70217703"/>
    <w:rsid w:val="70240C2C"/>
    <w:rsid w:val="70410F1F"/>
    <w:rsid w:val="706856BB"/>
    <w:rsid w:val="70826F5B"/>
    <w:rsid w:val="70835E7C"/>
    <w:rsid w:val="70903057"/>
    <w:rsid w:val="70975EF1"/>
    <w:rsid w:val="70B56DD5"/>
    <w:rsid w:val="70C0061A"/>
    <w:rsid w:val="70C8063F"/>
    <w:rsid w:val="70D55591"/>
    <w:rsid w:val="70E14B3E"/>
    <w:rsid w:val="70E66588"/>
    <w:rsid w:val="70E914BC"/>
    <w:rsid w:val="70E91D04"/>
    <w:rsid w:val="70EE311A"/>
    <w:rsid w:val="70F13704"/>
    <w:rsid w:val="70F20E6D"/>
    <w:rsid w:val="70F45060"/>
    <w:rsid w:val="710D50E1"/>
    <w:rsid w:val="711F250B"/>
    <w:rsid w:val="713026FD"/>
    <w:rsid w:val="71464EB6"/>
    <w:rsid w:val="7149122C"/>
    <w:rsid w:val="71533562"/>
    <w:rsid w:val="716B2506"/>
    <w:rsid w:val="718E3B85"/>
    <w:rsid w:val="71A10C8E"/>
    <w:rsid w:val="71DE5E87"/>
    <w:rsid w:val="71E9373A"/>
    <w:rsid w:val="71EF3146"/>
    <w:rsid w:val="72342EF6"/>
    <w:rsid w:val="7238741A"/>
    <w:rsid w:val="72401B00"/>
    <w:rsid w:val="724604EC"/>
    <w:rsid w:val="724F115F"/>
    <w:rsid w:val="72541DFD"/>
    <w:rsid w:val="72615ED7"/>
    <w:rsid w:val="72791866"/>
    <w:rsid w:val="728E4CE1"/>
    <w:rsid w:val="72AF799A"/>
    <w:rsid w:val="72C16704"/>
    <w:rsid w:val="72CB66EF"/>
    <w:rsid w:val="730011BC"/>
    <w:rsid w:val="730814D1"/>
    <w:rsid w:val="73085ADF"/>
    <w:rsid w:val="730C1EB2"/>
    <w:rsid w:val="732003ED"/>
    <w:rsid w:val="733175B8"/>
    <w:rsid w:val="734340CD"/>
    <w:rsid w:val="73446741"/>
    <w:rsid w:val="736001ED"/>
    <w:rsid w:val="73625444"/>
    <w:rsid w:val="73861134"/>
    <w:rsid w:val="73895C0D"/>
    <w:rsid w:val="73904ED8"/>
    <w:rsid w:val="73955FEF"/>
    <w:rsid w:val="739D4E0F"/>
    <w:rsid w:val="73A51A14"/>
    <w:rsid w:val="73A67EDC"/>
    <w:rsid w:val="73BA2BDE"/>
    <w:rsid w:val="73C47009"/>
    <w:rsid w:val="73CA0292"/>
    <w:rsid w:val="73CF49E1"/>
    <w:rsid w:val="73D4336F"/>
    <w:rsid w:val="73F7558C"/>
    <w:rsid w:val="73F834DF"/>
    <w:rsid w:val="74124B56"/>
    <w:rsid w:val="74296F20"/>
    <w:rsid w:val="7434679B"/>
    <w:rsid w:val="7449473C"/>
    <w:rsid w:val="748113BC"/>
    <w:rsid w:val="748E16AD"/>
    <w:rsid w:val="74974054"/>
    <w:rsid w:val="74B31DD3"/>
    <w:rsid w:val="74B37A98"/>
    <w:rsid w:val="74BC7E3A"/>
    <w:rsid w:val="74C33334"/>
    <w:rsid w:val="74D2517E"/>
    <w:rsid w:val="74DB3CF4"/>
    <w:rsid w:val="74E8175D"/>
    <w:rsid w:val="74F9056D"/>
    <w:rsid w:val="750872E6"/>
    <w:rsid w:val="751C73AB"/>
    <w:rsid w:val="75222412"/>
    <w:rsid w:val="752C1638"/>
    <w:rsid w:val="752D30DF"/>
    <w:rsid w:val="753622FA"/>
    <w:rsid w:val="7539293A"/>
    <w:rsid w:val="754E1454"/>
    <w:rsid w:val="756141FF"/>
    <w:rsid w:val="75834878"/>
    <w:rsid w:val="758847DB"/>
    <w:rsid w:val="75975526"/>
    <w:rsid w:val="75B0023A"/>
    <w:rsid w:val="75B002AB"/>
    <w:rsid w:val="75B62430"/>
    <w:rsid w:val="75EB0CD2"/>
    <w:rsid w:val="75F059AD"/>
    <w:rsid w:val="75F442A1"/>
    <w:rsid w:val="75FF12ED"/>
    <w:rsid w:val="76046F76"/>
    <w:rsid w:val="760C3FD7"/>
    <w:rsid w:val="763D2E16"/>
    <w:rsid w:val="76562547"/>
    <w:rsid w:val="76574FB4"/>
    <w:rsid w:val="76772DAC"/>
    <w:rsid w:val="769C30FA"/>
    <w:rsid w:val="76A336A4"/>
    <w:rsid w:val="76C47857"/>
    <w:rsid w:val="76C51ED3"/>
    <w:rsid w:val="76ED484A"/>
    <w:rsid w:val="76F84CA1"/>
    <w:rsid w:val="76FB3F91"/>
    <w:rsid w:val="77041D27"/>
    <w:rsid w:val="770B793B"/>
    <w:rsid w:val="7719679D"/>
    <w:rsid w:val="771D081F"/>
    <w:rsid w:val="77576209"/>
    <w:rsid w:val="775E1549"/>
    <w:rsid w:val="776A0868"/>
    <w:rsid w:val="776C1575"/>
    <w:rsid w:val="77702EB3"/>
    <w:rsid w:val="77775D8A"/>
    <w:rsid w:val="777D5F7D"/>
    <w:rsid w:val="778B47A1"/>
    <w:rsid w:val="778D2A2E"/>
    <w:rsid w:val="779571D0"/>
    <w:rsid w:val="779731B5"/>
    <w:rsid w:val="779D6865"/>
    <w:rsid w:val="779F37D7"/>
    <w:rsid w:val="77A643A5"/>
    <w:rsid w:val="77A861A8"/>
    <w:rsid w:val="77BB54F1"/>
    <w:rsid w:val="77D174C4"/>
    <w:rsid w:val="77E23FF3"/>
    <w:rsid w:val="77E910FE"/>
    <w:rsid w:val="77EE1B6E"/>
    <w:rsid w:val="77F23F08"/>
    <w:rsid w:val="77FD232B"/>
    <w:rsid w:val="77FE06A9"/>
    <w:rsid w:val="78010BE2"/>
    <w:rsid w:val="7809530C"/>
    <w:rsid w:val="780C5916"/>
    <w:rsid w:val="78135379"/>
    <w:rsid w:val="78186DD1"/>
    <w:rsid w:val="781B161D"/>
    <w:rsid w:val="786B633E"/>
    <w:rsid w:val="786F31BE"/>
    <w:rsid w:val="78782368"/>
    <w:rsid w:val="7879565F"/>
    <w:rsid w:val="787E2AA2"/>
    <w:rsid w:val="788A61A6"/>
    <w:rsid w:val="788D24D7"/>
    <w:rsid w:val="789A7084"/>
    <w:rsid w:val="789D138B"/>
    <w:rsid w:val="78B378BF"/>
    <w:rsid w:val="78B7216D"/>
    <w:rsid w:val="78C65398"/>
    <w:rsid w:val="78CE54E9"/>
    <w:rsid w:val="78D7376B"/>
    <w:rsid w:val="78E63B4B"/>
    <w:rsid w:val="791345AA"/>
    <w:rsid w:val="79152B6B"/>
    <w:rsid w:val="79175A94"/>
    <w:rsid w:val="792E4328"/>
    <w:rsid w:val="793675A6"/>
    <w:rsid w:val="79560042"/>
    <w:rsid w:val="795B1560"/>
    <w:rsid w:val="79711C6F"/>
    <w:rsid w:val="797951A1"/>
    <w:rsid w:val="798B6ADC"/>
    <w:rsid w:val="79A8739D"/>
    <w:rsid w:val="79B06684"/>
    <w:rsid w:val="79B81595"/>
    <w:rsid w:val="79C11AE9"/>
    <w:rsid w:val="79C407ED"/>
    <w:rsid w:val="79C57C06"/>
    <w:rsid w:val="79CA75B4"/>
    <w:rsid w:val="79CD24B3"/>
    <w:rsid w:val="79D5755C"/>
    <w:rsid w:val="7A025629"/>
    <w:rsid w:val="7A2D5034"/>
    <w:rsid w:val="7A431165"/>
    <w:rsid w:val="7A5F2767"/>
    <w:rsid w:val="7A6A2741"/>
    <w:rsid w:val="7A776285"/>
    <w:rsid w:val="7A861229"/>
    <w:rsid w:val="7A904EEB"/>
    <w:rsid w:val="7A9269D4"/>
    <w:rsid w:val="7A9778FB"/>
    <w:rsid w:val="7AA6023F"/>
    <w:rsid w:val="7AB27022"/>
    <w:rsid w:val="7AC8747F"/>
    <w:rsid w:val="7ADC62B4"/>
    <w:rsid w:val="7AE01CE2"/>
    <w:rsid w:val="7AF722D8"/>
    <w:rsid w:val="7B2776BE"/>
    <w:rsid w:val="7B3E2D08"/>
    <w:rsid w:val="7B4237B2"/>
    <w:rsid w:val="7B464B8C"/>
    <w:rsid w:val="7B6E3DEE"/>
    <w:rsid w:val="7B925F2A"/>
    <w:rsid w:val="7B93753B"/>
    <w:rsid w:val="7B9E68CF"/>
    <w:rsid w:val="7BA43C3B"/>
    <w:rsid w:val="7BA45378"/>
    <w:rsid w:val="7BAE3AB5"/>
    <w:rsid w:val="7BDA786A"/>
    <w:rsid w:val="7BE62F63"/>
    <w:rsid w:val="7BF4593B"/>
    <w:rsid w:val="7C070B86"/>
    <w:rsid w:val="7C416C3D"/>
    <w:rsid w:val="7C6B2892"/>
    <w:rsid w:val="7C7E4845"/>
    <w:rsid w:val="7C8D3E9C"/>
    <w:rsid w:val="7CA023B4"/>
    <w:rsid w:val="7CA5704B"/>
    <w:rsid w:val="7CAB2D75"/>
    <w:rsid w:val="7CC5046B"/>
    <w:rsid w:val="7CD0057B"/>
    <w:rsid w:val="7CD85416"/>
    <w:rsid w:val="7CDD67B3"/>
    <w:rsid w:val="7CEC6F86"/>
    <w:rsid w:val="7CF315D9"/>
    <w:rsid w:val="7D0249EA"/>
    <w:rsid w:val="7D0679D7"/>
    <w:rsid w:val="7D10774C"/>
    <w:rsid w:val="7D1E7B91"/>
    <w:rsid w:val="7D2A419E"/>
    <w:rsid w:val="7D2E1AD6"/>
    <w:rsid w:val="7D303082"/>
    <w:rsid w:val="7D3B6BCE"/>
    <w:rsid w:val="7D407BDD"/>
    <w:rsid w:val="7D591311"/>
    <w:rsid w:val="7D600AC7"/>
    <w:rsid w:val="7D776CBD"/>
    <w:rsid w:val="7D91489B"/>
    <w:rsid w:val="7D9A415A"/>
    <w:rsid w:val="7D9A7373"/>
    <w:rsid w:val="7DA933CD"/>
    <w:rsid w:val="7DAF4688"/>
    <w:rsid w:val="7DB93760"/>
    <w:rsid w:val="7DBE3B2B"/>
    <w:rsid w:val="7DDA36FC"/>
    <w:rsid w:val="7DE20F2A"/>
    <w:rsid w:val="7DF37854"/>
    <w:rsid w:val="7DFC2E8A"/>
    <w:rsid w:val="7E3842B3"/>
    <w:rsid w:val="7E453189"/>
    <w:rsid w:val="7E4942C3"/>
    <w:rsid w:val="7E4B642E"/>
    <w:rsid w:val="7E4C4CEE"/>
    <w:rsid w:val="7E5354DC"/>
    <w:rsid w:val="7E5660BA"/>
    <w:rsid w:val="7E580B26"/>
    <w:rsid w:val="7E622F02"/>
    <w:rsid w:val="7E627033"/>
    <w:rsid w:val="7E670C92"/>
    <w:rsid w:val="7E6A3D19"/>
    <w:rsid w:val="7E733D90"/>
    <w:rsid w:val="7E745CFF"/>
    <w:rsid w:val="7E895EEB"/>
    <w:rsid w:val="7EA22601"/>
    <w:rsid w:val="7EA974EE"/>
    <w:rsid w:val="7EB24A67"/>
    <w:rsid w:val="7EB40352"/>
    <w:rsid w:val="7EC32F80"/>
    <w:rsid w:val="7ED9652F"/>
    <w:rsid w:val="7EDF4CCF"/>
    <w:rsid w:val="7F182E44"/>
    <w:rsid w:val="7F19131E"/>
    <w:rsid w:val="7F257F06"/>
    <w:rsid w:val="7F286C8F"/>
    <w:rsid w:val="7F3C71EC"/>
    <w:rsid w:val="7F534484"/>
    <w:rsid w:val="7F60218E"/>
    <w:rsid w:val="7F62348B"/>
    <w:rsid w:val="7F7731F2"/>
    <w:rsid w:val="7F9F79E9"/>
    <w:rsid w:val="7FA7090E"/>
    <w:rsid w:val="7FA86AB0"/>
    <w:rsid w:val="7FB42209"/>
    <w:rsid w:val="7FBF5CC3"/>
    <w:rsid w:val="7FC64B30"/>
    <w:rsid w:val="7FC751EC"/>
    <w:rsid w:val="7FD856E9"/>
    <w:rsid w:val="7FDD2E8D"/>
    <w:rsid w:val="7FF16AC7"/>
    <w:rsid w:val="7FF24B9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360" w:lineRule="auto"/>
      <w:ind w:left="0" w:right="0"/>
      <w:jc w:val="left"/>
    </w:pPr>
    <w:rPr>
      <w:rFonts w:ascii="宋体" w:hAnsi="宋体" w:eastAsia="宋体" w:cs="宋体"/>
      <w:sz w:val="24"/>
      <w:szCs w:val="22"/>
      <w:lang w:val="en-US" w:eastAsia="en-US" w:bidi="ar-SA"/>
    </w:rPr>
  </w:style>
  <w:style w:type="paragraph" w:styleId="3">
    <w:name w:val="heading 1"/>
    <w:basedOn w:val="1"/>
    <w:next w:val="1"/>
    <w:qFormat/>
    <w:uiPriority w:val="1"/>
    <w:pPr>
      <w:ind w:left="811"/>
      <w:outlineLvl w:val="0"/>
    </w:pPr>
    <w:rPr>
      <w:rFonts w:ascii="Microsoft JhengHei" w:hAnsi="Microsoft JhengHei" w:eastAsia="宋体" w:cs="Microsoft JhengHei"/>
      <w:b/>
      <w:bCs/>
      <w:sz w:val="28"/>
      <w:szCs w:val="28"/>
    </w:rPr>
  </w:style>
  <w:style w:type="paragraph" w:styleId="4">
    <w:name w:val="heading 2"/>
    <w:basedOn w:val="1"/>
    <w:next w:val="1"/>
    <w:link w:val="56"/>
    <w:qFormat/>
    <w:uiPriority w:val="1"/>
    <w:pPr>
      <w:ind w:left="811"/>
      <w:outlineLvl w:val="1"/>
    </w:pPr>
    <w:rPr>
      <w:b/>
      <w:sz w:val="24"/>
      <w:szCs w:val="28"/>
    </w:rPr>
  </w:style>
  <w:style w:type="paragraph" w:styleId="5">
    <w:name w:val="heading 3"/>
    <w:basedOn w:val="1"/>
    <w:next w:val="1"/>
    <w:link w:val="70"/>
    <w:qFormat/>
    <w:uiPriority w:val="1"/>
    <w:pPr>
      <w:ind w:left="10295" w:right="215" w:firstLine="0" w:firstLineChars="0"/>
      <w:jc w:val="left"/>
      <w:outlineLvl w:val="2"/>
    </w:pPr>
    <w:rPr>
      <w:rFonts w:ascii="宋体" w:hAnsi="宋体" w:eastAsia="宋体"/>
      <w:b/>
      <w:color w:val="000000" w:themeColor="text1"/>
      <w:sz w:val="28"/>
      <w:szCs w:val="28"/>
      <w14:textFill>
        <w14:solidFill>
          <w14:schemeClr w14:val="tx1"/>
        </w14:solidFill>
      </w14:textFill>
    </w:rPr>
  </w:style>
  <w:style w:type="paragraph" w:styleId="6">
    <w:name w:val="heading 4"/>
    <w:basedOn w:val="1"/>
    <w:next w:val="1"/>
    <w:qFormat/>
    <w:uiPriority w:val="1"/>
    <w:pPr>
      <w:outlineLvl w:val="4"/>
    </w:pPr>
    <w:rPr>
      <w:rFonts w:ascii="微软雅黑" w:hAnsi="微软雅黑" w:eastAsia="微软雅黑" w:cs="微软雅黑"/>
      <w:sz w:val="22"/>
      <w:szCs w:val="22"/>
    </w:rPr>
  </w:style>
  <w:style w:type="paragraph" w:styleId="7">
    <w:name w:val="heading 5"/>
    <w:basedOn w:val="1"/>
    <w:next w:val="1"/>
    <w:qFormat/>
    <w:uiPriority w:val="1"/>
    <w:pPr>
      <w:ind w:left="1179"/>
      <w:outlineLvl w:val="4"/>
    </w:pPr>
    <w:rPr>
      <w:rFonts w:ascii="宋体" w:hAnsi="宋体" w:eastAsia="宋体"/>
      <w:b/>
      <w:bCs/>
      <w:sz w:val="21"/>
      <w:szCs w:val="21"/>
    </w:rPr>
  </w:style>
  <w:style w:type="paragraph" w:styleId="8">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25">
    <w:name w:val="Default Paragraph Font"/>
    <w:link w:val="26"/>
    <w:unhideWhenUsed/>
    <w:qFormat/>
    <w:uiPriority w:val="1"/>
    <w:rPr>
      <w:rFonts w:ascii="Tahoma" w:hAnsi="Tahoma"/>
      <w:sz w:val="24"/>
      <w:szCs w:val="20"/>
    </w:rPr>
  </w:style>
  <w:style w:type="table" w:default="1" w:styleId="23">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宋体" w:cs="宋体" w:eastAsiaTheme="minorHAnsi"/>
      <w:color w:val="000000"/>
      <w:sz w:val="24"/>
      <w:szCs w:val="24"/>
      <w:lang w:val="en-US" w:eastAsia="zh-CN" w:bidi="ar-SA"/>
    </w:rPr>
  </w:style>
  <w:style w:type="paragraph" w:styleId="9">
    <w:name w:val="Normal Indent"/>
    <w:basedOn w:val="1"/>
    <w:qFormat/>
    <w:uiPriority w:val="0"/>
    <w:pPr>
      <w:numPr>
        <w:ilvl w:val="0"/>
        <w:numId w:val="0"/>
      </w:numPr>
      <w:autoSpaceDE w:val="0"/>
      <w:autoSpaceDN w:val="0"/>
      <w:adjustRightInd w:val="0"/>
      <w:snapToGrid w:val="0"/>
      <w:spacing w:line="400" w:lineRule="atLeast"/>
      <w:ind w:firstLine="420"/>
      <w:jc w:val="left"/>
      <w:textAlignment w:val="baseline"/>
    </w:pPr>
    <w:rPr>
      <w:kern w:val="0"/>
      <w:sz w:val="24"/>
      <w:szCs w:val="20"/>
    </w:rPr>
  </w:style>
  <w:style w:type="paragraph" w:styleId="10">
    <w:name w:val="caption"/>
    <w:basedOn w:val="1"/>
    <w:next w:val="1"/>
    <w:qFormat/>
    <w:uiPriority w:val="0"/>
    <w:rPr>
      <w:rFonts w:ascii="Cambria" w:hAnsi="Cambria" w:eastAsia="黑体"/>
      <w:sz w:val="20"/>
      <w:szCs w:val="20"/>
    </w:rPr>
  </w:style>
  <w:style w:type="paragraph" w:styleId="11">
    <w:name w:val="Body Text"/>
    <w:basedOn w:val="1"/>
    <w:qFormat/>
    <w:uiPriority w:val="1"/>
    <w:rPr>
      <w:rFonts w:ascii="宋体" w:hAnsi="宋体" w:eastAsia="宋体" w:cs="宋体"/>
      <w:sz w:val="21"/>
      <w:szCs w:val="21"/>
    </w:rPr>
  </w:style>
  <w:style w:type="paragraph" w:styleId="12">
    <w:name w:val="Body Text Indent"/>
    <w:basedOn w:val="1"/>
    <w:qFormat/>
    <w:uiPriority w:val="0"/>
    <w:pPr>
      <w:spacing w:line="400" w:lineRule="exact"/>
      <w:ind w:firstLine="560" w:firstLineChars="200"/>
    </w:pPr>
    <w:rPr>
      <w:rFonts w:ascii="方正仿宋简体" w:eastAsia="方正仿宋简体"/>
      <w:sz w:val="28"/>
      <w:szCs w:val="20"/>
    </w:rPr>
  </w:style>
  <w:style w:type="paragraph" w:styleId="13">
    <w:name w:val="toc 3"/>
    <w:basedOn w:val="1"/>
    <w:next w:val="1"/>
    <w:qFormat/>
    <w:uiPriority w:val="0"/>
    <w:pPr>
      <w:ind w:left="840" w:leftChars="400"/>
    </w:pPr>
  </w:style>
  <w:style w:type="paragraph" w:styleId="14">
    <w:name w:val="Plain Text"/>
    <w:basedOn w:val="1"/>
    <w:qFormat/>
    <w:uiPriority w:val="0"/>
    <w:pPr>
      <w:autoSpaceDE w:val="0"/>
      <w:autoSpaceDN w:val="0"/>
      <w:adjustRightInd w:val="0"/>
      <w:spacing w:line="440" w:lineRule="atLeast"/>
      <w:ind w:firstLine="425"/>
      <w:textAlignment w:val="baseline"/>
    </w:pPr>
    <w:rPr>
      <w:rFonts w:ascii="宋体" w:eastAsia="宋体"/>
      <w:kern w:val="0"/>
      <w:szCs w:val="20"/>
    </w:rPr>
  </w:style>
  <w:style w:type="paragraph" w:styleId="15">
    <w:name w:val="Date"/>
    <w:basedOn w:val="1"/>
    <w:next w:val="1"/>
    <w:qFormat/>
    <w:uiPriority w:val="0"/>
    <w:rPr>
      <w:sz w:val="28"/>
      <w:szCs w:val="20"/>
    </w:rPr>
  </w:style>
  <w:style w:type="paragraph" w:styleId="16">
    <w:name w:val="Body Text Indent 2"/>
    <w:basedOn w:val="1"/>
    <w:qFormat/>
    <w:uiPriority w:val="0"/>
    <w:pPr>
      <w:spacing w:line="480" w:lineRule="exact"/>
      <w:ind w:firstLine="540" w:firstLineChars="225"/>
      <w:jc w:val="left"/>
    </w:pPr>
    <w:rPr>
      <w:color w:val="000000"/>
      <w:sz w:val="24"/>
    </w:rPr>
  </w:style>
  <w:style w:type="paragraph" w:styleId="17">
    <w:name w:val="footer"/>
    <w:basedOn w:val="1"/>
    <w:qFormat/>
    <w:uiPriority w:val="0"/>
    <w:pPr>
      <w:tabs>
        <w:tab w:val="center" w:pos="4153"/>
        <w:tab w:val="right" w:pos="8306"/>
      </w:tabs>
      <w:snapToGrid w:val="0"/>
      <w:jc w:val="left"/>
    </w:pPr>
    <w:rPr>
      <w:sz w:val="18"/>
      <w:szCs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9">
    <w:name w:val="toc 1"/>
    <w:basedOn w:val="1"/>
    <w:next w:val="1"/>
    <w:qFormat/>
    <w:uiPriority w:val="0"/>
    <w:pPr>
      <w:spacing w:line="240" w:lineRule="auto"/>
    </w:pPr>
    <w:rPr>
      <w:rFonts w:ascii="宋体" w:hAnsi="宋体" w:eastAsia="宋体"/>
    </w:rPr>
  </w:style>
  <w:style w:type="paragraph" w:styleId="20">
    <w:name w:val="List"/>
    <w:basedOn w:val="1"/>
    <w:qFormat/>
    <w:uiPriority w:val="0"/>
    <w:pPr>
      <w:spacing w:line="360" w:lineRule="exact"/>
      <w:jc w:val="center"/>
    </w:pPr>
    <w:rPr>
      <w:rFonts w:ascii="仿宋_GB2312" w:eastAsia="仿宋_GB2312"/>
      <w:szCs w:val="20"/>
    </w:rPr>
  </w:style>
  <w:style w:type="paragraph" w:styleId="21">
    <w:name w:val="toc 2"/>
    <w:basedOn w:val="1"/>
    <w:next w:val="1"/>
    <w:qFormat/>
    <w:uiPriority w:val="0"/>
    <w:pPr>
      <w:spacing w:line="240" w:lineRule="auto"/>
      <w:ind w:left="480" w:leftChars="200"/>
    </w:pPr>
    <w:rPr>
      <w:rFonts w:ascii="宋体" w:hAnsi="宋体" w:eastAsia="宋体"/>
      <w:sz w:val="24"/>
    </w:rPr>
  </w:style>
  <w:style w:type="paragraph" w:styleId="22">
    <w:name w:val="HTML Preformatted"/>
    <w:basedOn w:val="1"/>
    <w:qFormat/>
    <w:uiPriority w:val="0"/>
    <w:pPr>
      <w:adjustRightInd w:val="0"/>
      <w:snapToGrid w:val="0"/>
      <w:spacing w:line="312" w:lineRule="auto"/>
    </w:pPr>
    <w:rPr>
      <w:rFonts w:ascii="Courier New" w:hAnsi="Courier New" w:eastAsia="仿宋_GB2312"/>
      <w:sz w:val="20"/>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6">
    <w:name w:val="默认段落字体 Para Char Char Char Char Char Char Char Char Char Char"/>
    <w:basedOn w:val="1"/>
    <w:link w:val="25"/>
    <w:qFormat/>
    <w:uiPriority w:val="0"/>
    <w:rPr>
      <w:rFonts w:ascii="Tahoma" w:hAnsi="Tahoma"/>
      <w:sz w:val="24"/>
      <w:szCs w:val="20"/>
    </w:rPr>
  </w:style>
  <w:style w:type="character" w:styleId="27">
    <w:name w:val="Strong"/>
    <w:basedOn w:val="25"/>
    <w:qFormat/>
    <w:uiPriority w:val="0"/>
    <w:rPr>
      <w:b/>
    </w:rPr>
  </w:style>
  <w:style w:type="character" w:styleId="28">
    <w:name w:val="page number"/>
    <w:basedOn w:val="25"/>
    <w:unhideWhenUsed/>
    <w:qFormat/>
    <w:uiPriority w:val="0"/>
    <w:rPr>
      <w:rFonts w:hint="default"/>
      <w:sz w:val="24"/>
      <w:szCs w:val="24"/>
    </w:rPr>
  </w:style>
  <w:style w:type="character" w:styleId="29">
    <w:name w:val="Emphasis"/>
    <w:basedOn w:val="25"/>
    <w:qFormat/>
    <w:uiPriority w:val="0"/>
    <w:rPr>
      <w:i/>
    </w:rPr>
  </w:style>
  <w:style w:type="character" w:styleId="30">
    <w:name w:val="Hyperlink"/>
    <w:qFormat/>
    <w:uiPriority w:val="0"/>
    <w:rPr>
      <w:color w:val="000000"/>
      <w:u w:val="none"/>
    </w:rPr>
  </w:style>
  <w:style w:type="character" w:styleId="31">
    <w:name w:val="annotation reference"/>
    <w:qFormat/>
    <w:uiPriority w:val="0"/>
    <w:rPr>
      <w:sz w:val="21"/>
      <w:szCs w:val="21"/>
    </w:rPr>
  </w:style>
  <w:style w:type="paragraph" w:customStyle="1" w:styleId="32">
    <w:name w:val="首行缩进"/>
    <w:basedOn w:val="1"/>
    <w:qFormat/>
    <w:uiPriority w:val="0"/>
    <w:pPr>
      <w:spacing w:line="360" w:lineRule="auto"/>
      <w:ind w:firstLine="200" w:firstLineChars="200"/>
    </w:pPr>
    <w:rPr>
      <w:sz w:val="24"/>
    </w:rPr>
  </w:style>
  <w:style w:type="table" w:customStyle="1" w:styleId="33">
    <w:name w:val="Table Normal"/>
    <w:unhideWhenUsed/>
    <w:qFormat/>
    <w:uiPriority w:val="2"/>
    <w:tblPr>
      <w:tblCellMar>
        <w:top w:w="0" w:type="dxa"/>
        <w:left w:w="0" w:type="dxa"/>
        <w:bottom w:w="0" w:type="dxa"/>
        <w:right w:w="0" w:type="dxa"/>
      </w:tblCellMar>
    </w:tblPr>
  </w:style>
  <w:style w:type="paragraph" w:styleId="34">
    <w:name w:val="List Paragraph"/>
    <w:basedOn w:val="1"/>
    <w:qFormat/>
    <w:uiPriority w:val="1"/>
    <w:pPr>
      <w:ind w:left="1651" w:hanging="420"/>
    </w:pPr>
    <w:rPr>
      <w:rFonts w:ascii="宋体" w:hAnsi="宋体" w:eastAsia="宋体" w:cs="宋体"/>
    </w:rPr>
  </w:style>
  <w:style w:type="paragraph" w:customStyle="1" w:styleId="35">
    <w:name w:val="Table Paragraph"/>
    <w:basedOn w:val="1"/>
    <w:qFormat/>
    <w:uiPriority w:val="1"/>
    <w:rPr>
      <w:rFonts w:ascii="微软雅黑" w:hAnsi="微软雅黑" w:eastAsia="微软雅黑" w:cs="微软雅黑"/>
    </w:rPr>
  </w:style>
  <w:style w:type="paragraph" w:customStyle="1" w:styleId="36">
    <w:name w:val="报告书表格"/>
    <w:basedOn w:val="1"/>
    <w:qFormat/>
    <w:uiPriority w:val="0"/>
    <w:pPr>
      <w:snapToGrid/>
      <w:spacing w:line="400" w:lineRule="exact"/>
      <w:jc w:val="center"/>
      <w:textAlignment w:val="baseline"/>
    </w:pPr>
    <w:rPr>
      <w:rFonts w:ascii="Times New Roman"/>
      <w:kern w:val="0"/>
      <w:sz w:val="24"/>
      <w:szCs w:val="20"/>
    </w:rPr>
  </w:style>
  <w:style w:type="character" w:customStyle="1" w:styleId="37">
    <w:name w:val="font41"/>
    <w:basedOn w:val="25"/>
    <w:qFormat/>
    <w:uiPriority w:val="0"/>
    <w:rPr>
      <w:rFonts w:hint="default" w:ascii="Times New Roman" w:hAnsi="Times New Roman" w:cs="Times New Roman"/>
      <w:color w:val="000000"/>
      <w:sz w:val="21"/>
      <w:szCs w:val="21"/>
      <w:u w:val="none"/>
    </w:rPr>
  </w:style>
  <w:style w:type="paragraph" w:customStyle="1" w:styleId="38">
    <w:name w:val="序号"/>
    <w:basedOn w:val="39"/>
    <w:qFormat/>
    <w:uiPriority w:val="0"/>
    <w:pPr>
      <w:numPr>
        <w:ilvl w:val="0"/>
        <w:numId w:val="1"/>
      </w:numPr>
      <w:spacing w:before="20" w:after="20"/>
      <w:ind w:right="0" w:rightChars="0"/>
      <w:jc w:val="right"/>
    </w:pPr>
  </w:style>
  <w:style w:type="paragraph" w:customStyle="1" w:styleId="39">
    <w:name w:val="表格字体"/>
    <w:basedOn w:val="1"/>
    <w:next w:val="1"/>
    <w:qFormat/>
    <w:uiPriority w:val="0"/>
    <w:pPr>
      <w:adjustRightInd w:val="0"/>
      <w:snapToGrid w:val="0"/>
      <w:spacing w:before="48" w:beforeLines="20" w:after="48" w:afterLines="20"/>
      <w:ind w:right="2" w:rightChars="1"/>
      <w:jc w:val="center"/>
    </w:pPr>
    <w:rPr>
      <w:rFonts w:ascii="Times New Roman" w:hAnsi="Times New Roman"/>
      <w:snapToGrid w:val="0"/>
      <w:color w:val="000000"/>
      <w:kern w:val="0"/>
      <w:szCs w:val="21"/>
    </w:rPr>
  </w:style>
  <w:style w:type="character" w:customStyle="1" w:styleId="40">
    <w:name w:val="正文 4 Char"/>
    <w:link w:val="41"/>
    <w:qFormat/>
    <w:uiPriority w:val="0"/>
    <w:rPr>
      <w:rFonts w:ascii="Times New Roman" w:hAnsi="Times New Roman"/>
      <w:bCs/>
      <w:sz w:val="24"/>
      <w:szCs w:val="24"/>
    </w:rPr>
  </w:style>
  <w:style w:type="paragraph" w:customStyle="1" w:styleId="41">
    <w:name w:val="正文 4"/>
    <w:basedOn w:val="1"/>
    <w:link w:val="40"/>
    <w:qFormat/>
    <w:uiPriority w:val="0"/>
    <w:pPr>
      <w:overflowPunct w:val="0"/>
      <w:adjustRightInd w:val="0"/>
      <w:snapToGrid w:val="0"/>
      <w:spacing w:before="48" w:beforeLines="20" w:after="48" w:afterLines="20" w:line="360" w:lineRule="auto"/>
      <w:ind w:firstLine="480" w:firstLineChars="200"/>
      <w:jc w:val="left"/>
    </w:pPr>
    <w:rPr>
      <w:rFonts w:ascii="Times New Roman" w:hAnsi="Times New Roman"/>
      <w:bCs/>
      <w:sz w:val="24"/>
      <w:szCs w:val="24"/>
    </w:rPr>
  </w:style>
  <w:style w:type="paragraph" w:customStyle="1" w:styleId="42">
    <w:name w:val="样式 样式 样式 自动设置 + 五号 段前: 0.5 行 行距: 单倍行距 + 段前: 0.5 行"/>
    <w:basedOn w:val="1"/>
    <w:qFormat/>
    <w:uiPriority w:val="0"/>
    <w:pPr>
      <w:autoSpaceDE w:val="0"/>
      <w:autoSpaceDN w:val="0"/>
      <w:adjustRightInd w:val="0"/>
      <w:snapToGrid w:val="0"/>
    </w:pPr>
    <w:rPr>
      <w:rFonts w:cs="宋体"/>
      <w:szCs w:val="20"/>
    </w:rPr>
  </w:style>
  <w:style w:type="paragraph" w:customStyle="1" w:styleId="43">
    <w:name w:val="表格"/>
    <w:basedOn w:val="9"/>
    <w:next w:val="44"/>
    <w:qFormat/>
    <w:uiPriority w:val="99"/>
    <w:pPr>
      <w:keepNext/>
      <w:adjustRightInd w:val="0"/>
      <w:spacing w:line="312" w:lineRule="atLeast"/>
      <w:jc w:val="center"/>
      <w:textAlignment w:val="baseline"/>
    </w:pPr>
    <w:rPr>
      <w:kern w:val="0"/>
    </w:rPr>
  </w:style>
  <w:style w:type="paragraph" w:customStyle="1" w:styleId="44">
    <w:name w:val="图编号"/>
    <w:basedOn w:val="45"/>
    <w:qFormat/>
    <w:uiPriority w:val="0"/>
    <w:pPr>
      <w:tabs>
        <w:tab w:val="left" w:pos="1140"/>
      </w:tabs>
      <w:spacing w:before="300" w:after="300" w:line="360" w:lineRule="auto"/>
      <w:ind w:left="1140" w:hanging="600"/>
    </w:pPr>
    <w:rPr>
      <w:szCs w:val="20"/>
    </w:rPr>
  </w:style>
  <w:style w:type="paragraph" w:customStyle="1" w:styleId="45">
    <w:name w:val="表格文字"/>
    <w:basedOn w:val="1"/>
    <w:qFormat/>
    <w:uiPriority w:val="0"/>
    <w:pPr>
      <w:spacing w:line="360" w:lineRule="exact"/>
      <w:jc w:val="center"/>
    </w:pPr>
    <w:rPr>
      <w:rFonts w:eastAsia="宋体"/>
      <w:sz w:val="24"/>
    </w:rPr>
  </w:style>
  <w:style w:type="paragraph" w:customStyle="1" w:styleId="46">
    <w:name w:val="Body Text 21"/>
    <w:basedOn w:val="1"/>
    <w:qFormat/>
    <w:uiPriority w:val="0"/>
    <w:pPr>
      <w:adjustRightInd w:val="0"/>
      <w:textAlignment w:val="baseline"/>
    </w:pPr>
    <w:rPr>
      <w:rFonts w:ascii="仿宋_GB2312" w:eastAsia="仿宋体"/>
      <w:sz w:val="24"/>
      <w:szCs w:val="20"/>
    </w:rPr>
  </w:style>
  <w:style w:type="paragraph" w:customStyle="1" w:styleId="47">
    <w:name w:val="样式1"/>
    <w:basedOn w:val="1"/>
    <w:qFormat/>
    <w:uiPriority w:val="0"/>
    <w:rPr>
      <w:szCs w:val="20"/>
    </w:rPr>
  </w:style>
  <w:style w:type="paragraph" w:customStyle="1" w:styleId="48">
    <w:name w:val="xl28"/>
    <w:basedOn w:val="1"/>
    <w:qFormat/>
    <w:uiPriority w:val="0"/>
    <w:pPr>
      <w:widowControl/>
      <w:pBdr>
        <w:bottom w:val="single" w:color="auto" w:sz="4" w:space="0"/>
        <w:right w:val="single" w:color="auto" w:sz="4" w:space="0"/>
      </w:pBdr>
      <w:spacing w:before="100" w:beforeAutospacing="1" w:after="100" w:afterAutospacing="1"/>
      <w:jc w:val="center"/>
    </w:pPr>
    <w:rPr>
      <w:rFonts w:eastAsia="Arial Unicode MS"/>
      <w:color w:val="000000"/>
      <w:kern w:val="0"/>
      <w:szCs w:val="21"/>
    </w:rPr>
  </w:style>
  <w:style w:type="paragraph" w:customStyle="1" w:styleId="49">
    <w:name w:val="表格内容紧缩"/>
    <w:basedOn w:val="50"/>
    <w:qFormat/>
    <w:uiPriority w:val="0"/>
    <w:rPr>
      <w:snapToGrid/>
      <w:spacing w:val="-20"/>
      <w:sz w:val="20"/>
      <w:szCs w:val="20"/>
    </w:rPr>
  </w:style>
  <w:style w:type="paragraph" w:customStyle="1" w:styleId="50">
    <w:name w:val="表格内容"/>
    <w:basedOn w:val="1"/>
    <w:qFormat/>
    <w:uiPriority w:val="0"/>
    <w:pPr>
      <w:adjustRightInd w:val="0"/>
      <w:snapToGrid w:val="0"/>
      <w:jc w:val="center"/>
    </w:pPr>
    <w:rPr>
      <w:snapToGrid w:val="0"/>
      <w:kern w:val="0"/>
      <w:sz w:val="28"/>
      <w:szCs w:val="28"/>
    </w:rPr>
  </w:style>
  <w:style w:type="paragraph" w:customStyle="1" w:styleId="51">
    <w:name w:val="样式10"/>
    <w:basedOn w:val="1"/>
    <w:qFormat/>
    <w:uiPriority w:val="0"/>
    <w:pPr>
      <w:adjustRightInd w:val="0"/>
      <w:spacing w:line="240" w:lineRule="atLeast"/>
      <w:jc w:val="center"/>
      <w:textAlignment w:val="baseline"/>
    </w:pPr>
    <w:rPr>
      <w:rFonts w:eastAsia="仿宋_GB2312"/>
      <w:bCs/>
      <w:sz w:val="24"/>
      <w:szCs w:val="24"/>
    </w:rPr>
  </w:style>
  <w:style w:type="character" w:customStyle="1" w:styleId="52">
    <w:name w:val="font21"/>
    <w:basedOn w:val="25"/>
    <w:qFormat/>
    <w:uiPriority w:val="0"/>
    <w:rPr>
      <w:rFonts w:hint="eastAsia" w:ascii="宋体" w:hAnsi="宋体" w:eastAsia="宋体" w:cs="宋体"/>
      <w:color w:val="000000"/>
      <w:sz w:val="36"/>
      <w:szCs w:val="36"/>
      <w:u w:val="none"/>
      <w:vertAlign w:val="superscript"/>
    </w:rPr>
  </w:style>
  <w:style w:type="character" w:customStyle="1" w:styleId="53">
    <w:name w:val="font01"/>
    <w:basedOn w:val="25"/>
    <w:qFormat/>
    <w:uiPriority w:val="0"/>
    <w:rPr>
      <w:rFonts w:hint="eastAsia" w:ascii="宋体" w:hAnsi="宋体" w:eastAsia="宋体" w:cs="宋体"/>
      <w:color w:val="000000"/>
      <w:sz w:val="36"/>
      <w:szCs w:val="36"/>
      <w:u w:val="none"/>
    </w:rPr>
  </w:style>
  <w:style w:type="character" w:customStyle="1" w:styleId="54">
    <w:name w:val="font11"/>
    <w:basedOn w:val="25"/>
    <w:qFormat/>
    <w:uiPriority w:val="0"/>
    <w:rPr>
      <w:rFonts w:ascii="font-weight : 400" w:hAnsi="font-weight : 400" w:eastAsia="font-weight : 400" w:cs="font-weight : 400"/>
      <w:color w:val="000000"/>
      <w:sz w:val="20"/>
      <w:szCs w:val="20"/>
      <w:u w:val="none"/>
    </w:rPr>
  </w:style>
  <w:style w:type="character" w:customStyle="1" w:styleId="55">
    <w:name w:val="font31"/>
    <w:basedOn w:val="25"/>
    <w:qFormat/>
    <w:uiPriority w:val="0"/>
    <w:rPr>
      <w:rFonts w:hint="default" w:ascii="font-weight : 400" w:hAnsi="font-weight : 400" w:eastAsia="font-weight : 400" w:cs="font-weight : 400"/>
      <w:color w:val="000000"/>
      <w:sz w:val="20"/>
      <w:szCs w:val="20"/>
      <w:u w:val="none"/>
      <w:vertAlign w:val="superscript"/>
    </w:rPr>
  </w:style>
  <w:style w:type="character" w:customStyle="1" w:styleId="56">
    <w:name w:val="标题 2 Char"/>
    <w:link w:val="4"/>
    <w:qFormat/>
    <w:uiPriority w:val="1"/>
    <w:rPr>
      <w:b/>
      <w:sz w:val="24"/>
      <w:szCs w:val="28"/>
    </w:rPr>
  </w:style>
  <w:style w:type="paragraph" w:customStyle="1" w:styleId="57">
    <w:name w:val="样式2"/>
    <w:basedOn w:val="4"/>
    <w:next w:val="11"/>
    <w:qFormat/>
    <w:uiPriority w:val="0"/>
    <w:pPr>
      <w:keepNext w:val="0"/>
      <w:keepLines w:val="0"/>
      <w:adjustRightInd w:val="0"/>
      <w:snapToGrid w:val="0"/>
      <w:spacing w:before="50" w:beforeLines="50" w:after="0" w:line="360" w:lineRule="auto"/>
    </w:pPr>
    <w:rPr>
      <w:rFonts w:ascii="Calibri" w:hAnsi="Calibri" w:eastAsia="方正小标宋_GBK"/>
      <w:b w:val="0"/>
      <w:sz w:val="30"/>
    </w:rPr>
  </w:style>
  <w:style w:type="paragraph" w:customStyle="1" w:styleId="58">
    <w:name w:val="样式11"/>
    <w:basedOn w:val="1"/>
    <w:qFormat/>
    <w:uiPriority w:val="0"/>
    <w:pPr>
      <w:ind w:firstLine="880" w:firstLineChars="200"/>
    </w:pPr>
    <w:rPr>
      <w:rFonts w:ascii="宋体" w:hAnsi="宋体"/>
    </w:rPr>
  </w:style>
  <w:style w:type="paragraph" w:customStyle="1" w:styleId="59">
    <w:name w:val="报告表正文"/>
    <w:basedOn w:val="1"/>
    <w:qFormat/>
    <w:uiPriority w:val="0"/>
    <w:pPr>
      <w:adjustRightInd w:val="0"/>
      <w:spacing w:line="360" w:lineRule="auto"/>
      <w:ind w:left="113" w:right="113" w:firstLine="482"/>
      <w:jc w:val="left"/>
      <w:textAlignment w:val="baseline"/>
    </w:pPr>
    <w:rPr>
      <w:kern w:val="0"/>
      <w:sz w:val="24"/>
      <w:szCs w:val="20"/>
    </w:rPr>
  </w:style>
  <w:style w:type="table" w:customStyle="1" w:styleId="60">
    <w:name w:val="三线表"/>
    <w:basedOn w:val="23"/>
    <w:qFormat/>
    <w:uiPriority w:val="99"/>
    <w:pPr>
      <w:jc w:val="center"/>
    </w:pPr>
    <w:rPr>
      <w:sz w:val="21"/>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paragraph" w:customStyle="1" w:styleId="61">
    <w:name w:val="表头文字"/>
    <w:basedOn w:val="1"/>
    <w:qFormat/>
    <w:uiPriority w:val="0"/>
    <w:pPr>
      <w:jc w:val="center"/>
    </w:pPr>
    <w:rPr>
      <w:b/>
      <w:bCs/>
      <w:color w:val="000000" w:themeColor="text1"/>
      <w:szCs w:val="21"/>
      <w14:textFill>
        <w14:solidFill>
          <w14:schemeClr w14:val="tx1"/>
        </w14:solidFill>
      </w14:textFill>
    </w:rPr>
  </w:style>
  <w:style w:type="paragraph" w:customStyle="1" w:styleId="62">
    <w:name w:val="一级条标题"/>
    <w:next w:val="1"/>
    <w:qFormat/>
    <w:uiPriority w:val="158"/>
    <w:pPr>
      <w:widowControl/>
      <w:wordWrap/>
      <w:autoSpaceDE/>
      <w:autoSpaceDN/>
      <w:jc w:val="both"/>
    </w:pPr>
    <w:rPr>
      <w:rFonts w:ascii="宋体" w:hAnsi="宋体" w:eastAsia="黑体" w:cstheme="minorBidi"/>
      <w:w w:val="100"/>
      <w:sz w:val="20"/>
      <w:szCs w:val="20"/>
      <w:shd w:val="clear"/>
    </w:rPr>
  </w:style>
  <w:style w:type="paragraph" w:customStyle="1" w:styleId="63">
    <w:name w:val="样式 自动设置"/>
    <w:basedOn w:val="1"/>
    <w:qFormat/>
    <w:uiPriority w:val="0"/>
    <w:pPr>
      <w:autoSpaceDE w:val="0"/>
      <w:autoSpaceDN w:val="0"/>
      <w:adjustRightInd w:val="0"/>
      <w:snapToGrid w:val="0"/>
      <w:spacing w:beforeLines="50" w:line="288" w:lineRule="auto"/>
      <w:ind w:firstLine="200" w:firstLineChars="200"/>
    </w:pPr>
    <w:rPr>
      <w:rFonts w:cs="宋体"/>
      <w:sz w:val="24"/>
      <w:szCs w:val="24"/>
    </w:rPr>
  </w:style>
  <w:style w:type="character" w:customStyle="1" w:styleId="64">
    <w:name w:val="font51"/>
    <w:basedOn w:val="25"/>
    <w:qFormat/>
    <w:uiPriority w:val="0"/>
    <w:rPr>
      <w:rFonts w:hint="default" w:ascii="Times New Roman" w:hAnsi="Times New Roman" w:cs="Times New Roman"/>
      <w:b/>
      <w:color w:val="000000"/>
      <w:sz w:val="28"/>
      <w:szCs w:val="28"/>
      <w:u w:val="none"/>
    </w:rPr>
  </w:style>
  <w:style w:type="paragraph" w:customStyle="1" w:styleId="65">
    <w:name w:val="表内文字"/>
    <w:basedOn w:val="1"/>
    <w:qFormat/>
    <w:uiPriority w:val="0"/>
    <w:pPr>
      <w:jc w:val="center"/>
    </w:pPr>
    <w:rPr>
      <w:kern w:val="0"/>
    </w:rPr>
  </w:style>
  <w:style w:type="character" w:customStyle="1" w:styleId="66">
    <w:name w:val="page number"/>
    <w:basedOn w:val="25"/>
    <w:qFormat/>
    <w:uiPriority w:val="0"/>
  </w:style>
  <w:style w:type="paragraph" w:customStyle="1" w:styleId="67">
    <w:name w:val="样式 样式 左侧:  2 字符 + 首行缩进:  2 字符 Char"/>
    <w:basedOn w:val="1"/>
    <w:qFormat/>
    <w:uiPriority w:val="0"/>
    <w:pPr>
      <w:tabs>
        <w:tab w:val="left" w:pos="540"/>
      </w:tabs>
      <w:adjustRightInd w:val="0"/>
      <w:ind w:firstLine="537" w:firstLineChars="200"/>
      <w:jc w:val="left"/>
    </w:pPr>
    <w:rPr>
      <w:bCs/>
      <w:color w:val="FF0000"/>
      <w:szCs w:val="28"/>
    </w:rPr>
  </w:style>
  <w:style w:type="paragraph" w:customStyle="1" w:styleId="68">
    <w:name w:val="表标题"/>
    <w:basedOn w:val="1"/>
    <w:qFormat/>
    <w:uiPriority w:val="0"/>
    <w:pPr>
      <w:spacing w:line="500" w:lineRule="exact"/>
      <w:ind w:firstLine="200" w:firstLineChars="200"/>
      <w:jc w:val="center"/>
    </w:pPr>
    <w:rPr>
      <w:rFonts w:ascii="仿宋_GB2312"/>
      <w:b/>
      <w:bCs/>
      <w:sz w:val="24"/>
    </w:rPr>
  </w:style>
  <w:style w:type="paragraph" w:customStyle="1" w:styleId="69">
    <w:name w:val="样式 表格 + 黑色"/>
    <w:basedOn w:val="43"/>
    <w:qFormat/>
    <w:uiPriority w:val="0"/>
    <w:pPr>
      <w:widowControl w:val="0"/>
      <w:adjustRightInd w:val="0"/>
      <w:snapToGrid w:val="0"/>
    </w:pPr>
    <w:rPr>
      <w:color w:val="000000"/>
      <w:spacing w:val="-4"/>
      <w:sz w:val="21"/>
      <w:szCs w:val="21"/>
    </w:rPr>
  </w:style>
  <w:style w:type="character" w:customStyle="1" w:styleId="70">
    <w:name w:val="标题 3 Char"/>
    <w:link w:val="5"/>
    <w:qFormat/>
    <w:uiPriority w:val="1"/>
    <w:rPr>
      <w:rFonts w:ascii="宋体" w:hAnsi="宋体" w:eastAsia="宋体"/>
      <w:b/>
      <w:color w:val="000000" w:themeColor="text1"/>
      <w:sz w:val="28"/>
      <w:szCs w:val="28"/>
      <w14:textFill>
        <w14:solidFill>
          <w14:schemeClr w14:val="tx1"/>
        </w14:solidFill>
      </w14:textFill>
    </w:rPr>
  </w:style>
  <w:style w:type="paragraph" w:customStyle="1" w:styleId="71">
    <w:name w:val="样式 首行缩进 + 四号 首行缩进:  2 字符 行距: 单倍行距"/>
    <w:next w:val="14"/>
    <w:qFormat/>
    <w:uiPriority w:val="0"/>
    <w:pPr>
      <w:adjustRightInd w:val="0"/>
      <w:ind w:firstLine="537" w:firstLineChars="200"/>
    </w:pPr>
    <w:rPr>
      <w:rFonts w:ascii="Times New Roman" w:hAnsi="Times New Roman" w:eastAsia="仿宋_GB2312" w:cs="Times New Roman"/>
      <w:bCs/>
      <w:color w:val="FF0000"/>
      <w:kern w:val="2"/>
      <w:sz w:val="28"/>
      <w:szCs w:val="28"/>
      <w:lang w:val="en-US" w:eastAsia="zh-CN" w:bidi="ar-SA"/>
    </w:rPr>
  </w:style>
  <w:style w:type="paragraph" w:customStyle="1" w:styleId="72">
    <w:name w:val="图表文字"/>
    <w:basedOn w:val="1"/>
    <w:qFormat/>
    <w:uiPriority w:val="0"/>
    <w:pPr>
      <w:spacing w:line="300" w:lineRule="exact"/>
      <w:jc w:val="center"/>
    </w:pPr>
    <w:rPr>
      <w:bCs/>
      <w:szCs w:val="20"/>
    </w:rPr>
  </w:style>
  <w:style w:type="paragraph" w:customStyle="1" w:styleId="73">
    <w:name w:val="表内字体"/>
    <w:basedOn w:val="1"/>
    <w:qFormat/>
    <w:uiPriority w:val="0"/>
    <w:pPr>
      <w:jc w:val="center"/>
    </w:pPr>
    <w:rPr>
      <w:szCs w:val="20"/>
    </w:rPr>
  </w:style>
  <w:style w:type="paragraph" w:customStyle="1" w:styleId="74">
    <w:name w:val="报告表格"/>
    <w:basedOn w:val="1"/>
    <w:qFormat/>
    <w:uiPriority w:val="0"/>
    <w:pPr>
      <w:autoSpaceDE w:val="0"/>
      <w:autoSpaceDN w:val="0"/>
      <w:adjustRightInd w:val="0"/>
      <w:spacing w:line="240" w:lineRule="auto"/>
      <w:jc w:val="center"/>
    </w:pPr>
    <w:rPr>
      <w:rFonts w:ascii="宋体" w:hAnsi="宋体"/>
      <w:color w:val="000000"/>
      <w:kern w:val="0"/>
      <w:sz w:val="20"/>
      <w:szCs w:val="21"/>
    </w:rPr>
  </w:style>
  <w:style w:type="paragraph" w:customStyle="1" w:styleId="75">
    <w:name w:val="样式 Times New Roman 五号 居中"/>
    <w:basedOn w:val="1"/>
    <w:qFormat/>
    <w:uiPriority w:val="0"/>
    <w:pPr>
      <w:adjustRightInd w:val="0"/>
      <w:jc w:val="center"/>
      <w:textAlignment w:val="baseline"/>
    </w:pPr>
    <w:rPr>
      <w:rFonts w:cs="宋体"/>
      <w:szCs w:val="21"/>
    </w:rPr>
  </w:style>
  <w:style w:type="character" w:customStyle="1" w:styleId="76">
    <w:name w:val="font71"/>
    <w:basedOn w:val="25"/>
    <w:qFormat/>
    <w:uiPriority w:val="0"/>
    <w:rPr>
      <w:rFonts w:hint="eastAsia" w:ascii="宋体" w:hAnsi="宋体" w:eastAsia="宋体" w:cs="宋体"/>
      <w:b/>
      <w:color w:val="000000"/>
      <w:sz w:val="18"/>
      <w:szCs w:val="18"/>
      <w:u w:val="none"/>
    </w:rPr>
  </w:style>
  <w:style w:type="character" w:customStyle="1" w:styleId="77">
    <w:name w:val="font91"/>
    <w:basedOn w:val="25"/>
    <w:qFormat/>
    <w:uiPriority w:val="0"/>
    <w:rPr>
      <w:rFonts w:hint="eastAsia" w:ascii="宋体" w:hAnsi="宋体" w:eastAsia="宋体" w:cs="宋体"/>
      <w:color w:val="000000"/>
      <w:sz w:val="18"/>
      <w:szCs w:val="18"/>
      <w:u w:val="none"/>
    </w:rPr>
  </w:style>
  <w:style w:type="character" w:customStyle="1" w:styleId="78">
    <w:name w:val="font101"/>
    <w:basedOn w:val="25"/>
    <w:qFormat/>
    <w:uiPriority w:val="0"/>
    <w:rPr>
      <w:rFonts w:hint="default" w:ascii="Times New Roman" w:hAnsi="Times New Roman" w:cs="Times New Roman"/>
      <w:color w:val="000000"/>
      <w:sz w:val="18"/>
      <w:szCs w:val="18"/>
      <w:u w:val="none"/>
    </w:rPr>
  </w:style>
  <w:style w:type="character" w:customStyle="1" w:styleId="79">
    <w:name w:val="font61"/>
    <w:basedOn w:val="25"/>
    <w:qFormat/>
    <w:uiPriority w:val="0"/>
    <w:rPr>
      <w:rFonts w:hint="eastAsia" w:ascii="宋体" w:hAnsi="宋体" w:eastAsia="宋体" w:cs="宋体"/>
      <w:color w:val="000000"/>
      <w:sz w:val="18"/>
      <w:szCs w:val="18"/>
      <w:u w:val="none"/>
    </w:rPr>
  </w:style>
  <w:style w:type="character" w:customStyle="1" w:styleId="80">
    <w:name w:val="font122"/>
    <w:basedOn w:val="25"/>
    <w:qFormat/>
    <w:uiPriority w:val="0"/>
    <w:rPr>
      <w:rFonts w:hint="default" w:ascii="Times New Roman" w:hAnsi="Times New Roman" w:cs="Times New Roman"/>
      <w:color w:val="000000"/>
      <w:sz w:val="18"/>
      <w:szCs w:val="18"/>
      <w:u w:val="none"/>
    </w:rPr>
  </w:style>
  <w:style w:type="table" w:customStyle="1" w:styleId="81">
    <w:name w:val="毛的表格"/>
    <w:basedOn w:val="23"/>
    <w:qFormat/>
    <w:uiPriority w:val="0"/>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Pr>
    <w:tcPr>
      <w:shd w:val="clear" w:color="auto" w:fill="auto"/>
      <w:vAlign w:val="center"/>
    </w:tcPr>
  </w:style>
  <w:style w:type="paragraph" w:customStyle="1" w:styleId="82">
    <w:name w:val="+正文"/>
    <w:basedOn w:val="1"/>
    <w:qFormat/>
    <w:uiPriority w:val="0"/>
    <w:pPr>
      <w:widowControl/>
      <w:ind w:firstLine="200" w:firstLineChars="200"/>
    </w:pPr>
    <w:rPr>
      <w:szCs w:val="28"/>
    </w:rPr>
  </w:style>
  <w:style w:type="paragraph" w:customStyle="1" w:styleId="83">
    <w:name w:val="Body text|1"/>
    <w:basedOn w:val="1"/>
    <w:qFormat/>
    <w:uiPriority w:val="0"/>
    <w:pPr>
      <w:widowControl w:val="0"/>
      <w:shd w:val="clear" w:color="auto" w:fill="auto"/>
      <w:spacing w:line="406" w:lineRule="auto"/>
      <w:ind w:firstLine="400"/>
    </w:pPr>
    <w:rPr>
      <w:rFonts w:ascii="宋体" w:hAnsi="宋体" w:eastAsia="宋体" w:cs="宋体"/>
      <w:sz w:val="28"/>
      <w:szCs w:val="28"/>
      <w:u w:val="none"/>
      <w:shd w:val="clear" w:color="auto" w:fill="auto"/>
      <w:lang w:val="zh-TW" w:eastAsia="zh-TW" w:bidi="zh-TW"/>
    </w:rPr>
  </w:style>
  <w:style w:type="paragraph" w:customStyle="1" w:styleId="84">
    <w:name w:val="Header or footer|2"/>
    <w:basedOn w:val="1"/>
    <w:qFormat/>
    <w:uiPriority w:val="0"/>
    <w:pPr>
      <w:widowControl w:val="0"/>
      <w:shd w:val="clear" w:color="auto" w:fill="auto"/>
    </w:pPr>
    <w:rPr>
      <w:sz w:val="20"/>
      <w:szCs w:val="20"/>
      <w:u w:val="none"/>
      <w:shd w:val="clear" w:color="auto" w:fill="auto"/>
      <w:lang w:val="zh-TW" w:eastAsia="zh-TW" w:bidi="zh-TW"/>
    </w:rPr>
  </w:style>
  <w:style w:type="character" w:customStyle="1" w:styleId="85">
    <w:name w:val="font112"/>
    <w:basedOn w:val="25"/>
    <w:qFormat/>
    <w:uiPriority w:val="0"/>
    <w:rPr>
      <w:rFonts w:hint="eastAsia" w:ascii="宋体" w:hAnsi="宋体" w:eastAsia="宋体" w:cs="宋体"/>
      <w:color w:val="000000"/>
      <w:sz w:val="20"/>
      <w:szCs w:val="20"/>
      <w:u w:val="none"/>
    </w:rPr>
  </w:style>
  <w:style w:type="character" w:customStyle="1" w:styleId="86">
    <w:name w:val="font81"/>
    <w:basedOn w:val="25"/>
    <w:qFormat/>
    <w:uiPriority w:val="0"/>
    <w:rPr>
      <w:rFonts w:hint="default" w:ascii="Times New Roman" w:hAnsi="Times New Roman" w:cs="Times New Roman"/>
      <w:color w:val="000000"/>
      <w:sz w:val="20"/>
      <w:szCs w:val="20"/>
      <w:u w:val="none"/>
    </w:rPr>
  </w:style>
  <w:style w:type="paragraph" w:customStyle="1" w:styleId="87">
    <w:name w:val="表"/>
    <w:basedOn w:val="1"/>
    <w:unhideWhenUsed/>
    <w:qFormat/>
    <w:uiPriority w:val="0"/>
    <w:pPr>
      <w:keepNext/>
      <w:keepLines/>
      <w:adjustRightInd w:val="0"/>
      <w:spacing w:before="60" w:beforeLines="0" w:afterLines="0" w:line="240" w:lineRule="auto"/>
      <w:jc w:val="center"/>
    </w:pPr>
    <w:rPr>
      <w:rFonts w:hint="default" w:ascii="Times New Roman" w:hAnsi="Times New Roman" w:eastAsia="仿宋_GB2312"/>
      <w:kern w:val="21"/>
      <w:sz w:val="18"/>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pn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notes" Target="footnotes.xml"/><Relationship Id="rId29" Type="http://schemas.openxmlformats.org/officeDocument/2006/relationships/image" Target="media/image18.jpe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jpe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emf"/><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wmf"/><Relationship Id="rId14" Type="http://schemas.openxmlformats.org/officeDocument/2006/relationships/image" Target="media/image3.wmf"/><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目录页"/>
      <sectRole val="2"/>
    </customSectPr>
    <customSectPr>
      <sectNamePr val="目录页"/>
    </customSectPr>
    <customSectPr>
      <sectNamePr val="目录页"/>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90</Pages>
  <Words>35647</Words>
  <Characters>45850</Characters>
  <TotalTime>10</TotalTime>
  <ScaleCrop>false</ScaleCrop>
  <LinksUpToDate>false</LinksUpToDate>
  <CharactersWithSpaces>46644</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2017-12-26T08:24:00Z</dcterms:created>
  <dc:creator>Administrator</dc:creator>
  <cp:lastModifiedBy>入若耶曦</cp:lastModifiedBy>
  <cp:lastPrinted>2021-11-09T08:25:00Z</cp:lastPrinted>
  <dcterms:modified xsi:type="dcterms:W3CDTF">2021-11-14T13:09:48Z</dcterms:modified>
  <dc:title>杨龙 处员</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2017-10-10T00:00:00Z</vt:filetime>
  </property>
  <property fmtid="{D5CDD505-2E9C-101B-9397-08002B2CF9AE}" pid="3" name="Creator">
    <vt:lpwstr>WPS Office</vt:lpwstr>
  </property>
  <property fmtid="{D5CDD505-2E9C-101B-9397-08002B2CF9AE}" pid="4" name="LastSaved">
    <vt:filetime>2017-12-26T00:00:00Z</vt:filetime>
  </property>
  <property fmtid="{D5CDD505-2E9C-101B-9397-08002B2CF9AE}" pid="5" name="KSOProductBuildVer">
    <vt:lpwstr>2052-11.1.0.11045</vt:lpwstr>
  </property>
  <property fmtid="{D5CDD505-2E9C-101B-9397-08002B2CF9AE}" pid="6" name="ICV">
    <vt:lpwstr>B1F68C18FA73409EA550C8839FB63533</vt:lpwstr>
  </property>
</Properties>
</file>